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紫阳县文化和旅游广电局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1.贯彻落实中省市关于维护文物、旅游、广播电影电视、新闻出版工作的方针政策和法律法规，拟定全县维护文物旅游产业规划和年度计划并组织实施；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2.负责推进全县维护文物旅游广电领域的公共服务体系建设、基础设施建设和体制机制改革；文化旅游新经验的推广应用；拟定旅游产业管理规范性文件文化艺术创作、舞台艺术精品工程计划并组织实施</w:t>
      </w:r>
      <w:r>
        <w:rPr>
          <w:rFonts w:hint="eastAsia" w:ascii="仿宋" w:hAnsi="仿宋" w:eastAsia="仿宋" w:cs="仿宋"/>
          <w:sz w:val="32"/>
          <w:szCs w:val="32"/>
          <w:lang w:eastAsia="zh-CN"/>
        </w:rPr>
        <w:t>；</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3.负责全县广播电视覆盖实施和管理；建立健全广播电视村村通工资长效机制，构建农村广播电视的公共服务体系；拟定全县文物保护及非物质</w:t>
      </w:r>
      <w:r>
        <w:rPr>
          <w:rFonts w:hint="eastAsia" w:ascii="仿宋" w:hAnsi="仿宋" w:eastAsia="仿宋" w:cs="仿宋"/>
          <w:sz w:val="32"/>
          <w:szCs w:val="32"/>
          <w:lang w:val="en-US" w:eastAsia="zh-CN"/>
        </w:rPr>
        <w:t>文化</w:t>
      </w:r>
      <w:bookmarkStart w:id="0" w:name="_GoBack"/>
      <w:bookmarkEnd w:id="0"/>
      <w:r>
        <w:rPr>
          <w:rFonts w:hint="eastAsia" w:ascii="仿宋" w:hAnsi="仿宋" w:eastAsia="仿宋" w:cs="仿宋"/>
          <w:sz w:val="32"/>
          <w:szCs w:val="32"/>
        </w:rPr>
        <w:t>遗产保护规划，优秀民间文化和地域文化的传承普及工作；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组织全县维护市场综合执法工作；文化营业场所实行经营许可证管理和出版物市场管理；组织协调全县维护市场“扫黄打非”工作，组织查处非法出版物和非法出版活动的案件；指导文化文物旅游广电系统教育培训和人才培训计划，组织实施从业人员职业资格和等级资格管理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本单位现设有政办股、文化文物股、旅游股、广电股四个股室，另有文化旅游市场综合执法大队、图书馆、文馆所、博物馆等下属单位。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（一）突出设施提升，狠抓项目建设。</w:t>
      </w:r>
    </w:p>
    <w:p>
      <w:pPr>
        <w:pStyle w:val="2"/>
        <w:spacing w:after="0" w:line="560" w:lineRule="exact"/>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一是全面推进文笔山、大巴山茶马古道度假景区规划的编制工作，全力实施大巴山茶马古道创AAAA级景区工作，指导文旅公司落地创A涉及的各类工程建设；全面实施全域旅游规划的实施；配合擂鼓台景区运营公司，落地《擂鼓台旅游发展规划》。二是指导蒿坪镇做好创建AAA级景区工作，同时指导蒿坪镇做好省级旅游特色名镇、省级旅游示范村的创建工作。三是积极推进重点旅游项目实施，完成文笔山景区六期步道、大巴山茶马古道景区二期工程、擂鼓台景区游客中心建设项目实施。四是加快大巴山茶马古道AAAA级旅游景区和文笔山省级旅游度假区创建工作，牵头指导蒿坪镇金石村“紫阳味道”特色餐饮区建设。</w:t>
      </w:r>
    </w:p>
    <w:p>
      <w:pPr>
        <w:widowControl/>
        <w:spacing w:line="560" w:lineRule="exact"/>
        <w:ind w:firstLine="640"/>
        <w:textAlignment w:val="top"/>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（二）突出文化惠民，提升服务效能。</w:t>
      </w:r>
    </w:p>
    <w:p>
      <w:pPr>
        <w:widowControl/>
        <w:spacing w:line="560" w:lineRule="exact"/>
        <w:ind w:firstLine="640"/>
        <w:textAlignment w:val="top"/>
        <w:rPr>
          <w:rFonts w:ascii="仿宋_GB2312" w:hAnsi="仿宋_GB2312" w:eastAsia="仿宋_GB2312" w:cs="仿宋_GB2312"/>
          <w:color w:val="4F81BD"/>
          <w:sz w:val="32"/>
          <w:szCs w:val="32"/>
        </w:rPr>
      </w:pPr>
      <w:r>
        <w:rPr>
          <w:rFonts w:hint="eastAsia" w:ascii="仿宋_GB2312" w:hAnsi="仿宋_GB2312" w:eastAsia="仿宋_GB2312" w:cs="仿宋_GB2312"/>
          <w:sz w:val="32"/>
          <w:szCs w:val="32"/>
        </w:rPr>
        <w:t>一是持续推进公共数字文化建设，不断提升服务水平。二是</w:t>
      </w:r>
      <w:r>
        <w:rPr>
          <w:rFonts w:hint="eastAsia" w:ascii="仿宋_GB2312" w:hAnsi="仿宋_GB2312" w:eastAsia="仿宋_GB2312" w:cs="仿宋_GB2312"/>
          <w:color w:val="000000"/>
          <w:kern w:val="0"/>
          <w:sz w:val="32"/>
          <w:szCs w:val="32"/>
          <w:lang w:bidi="ar"/>
        </w:rPr>
        <w:t>围绕乡村振兴、紫阳味道、富硒茶观光园、焕古硒茶小镇、汉王擂鼓台等重要内容及旅游景点创作一批有亮点、有卖点、有看点的舞台精品，</w:t>
      </w:r>
      <w:r>
        <w:rPr>
          <w:rFonts w:hint="eastAsia" w:ascii="仿宋_GB2312" w:hAnsi="仿宋_GB2312" w:eastAsia="仿宋_GB2312" w:cs="仿宋_GB2312"/>
          <w:sz w:val="32"/>
          <w:szCs w:val="32"/>
        </w:rPr>
        <w:t>精心打磨</w:t>
      </w:r>
      <w:r>
        <w:rPr>
          <w:rFonts w:hint="eastAsia" w:ascii="仿宋_GB2312" w:hAnsi="仿宋_GB2312" w:eastAsia="仿宋_GB2312" w:cs="仿宋_GB2312"/>
          <w:color w:val="000000"/>
          <w:kern w:val="0"/>
          <w:sz w:val="32"/>
          <w:szCs w:val="32"/>
          <w:lang w:bidi="ar"/>
        </w:rPr>
        <w:t>音乐电影《贡茶传奇》</w:t>
      </w:r>
      <w:r>
        <w:rPr>
          <w:rFonts w:hint="eastAsia" w:ascii="仿宋_GB2312" w:hAnsi="仿宋_GB2312" w:eastAsia="仿宋_GB2312" w:cs="仿宋_GB2312"/>
          <w:sz w:val="32"/>
          <w:szCs w:val="32"/>
        </w:rPr>
        <w:t>并实现市场化演出。三是加快推进9本文化丛书出版工作。四是四围绕“春茶、夏水、秋收、冬养”四季文旅主题活动，策划组织好传统节日、重要节日庆典活动。五是充分利用县“文图”两馆优势资源，广泛开展“书香紫阳”全民阅读推广活动，加大公益性辅导培训力度，积极开展“菜单式文化服务”“文化文艺志愿服务”等文化惠民活动。六是</w:t>
      </w:r>
      <w:r>
        <w:rPr>
          <w:rFonts w:hint="eastAsia" w:ascii="仿宋_GB2312" w:hAnsi="仿宋_GB2312" w:eastAsia="仿宋_GB2312" w:cs="仿宋_GB2312"/>
          <w:color w:val="000000"/>
          <w:kern w:val="0"/>
          <w:sz w:val="32"/>
          <w:szCs w:val="32"/>
          <w:lang w:bidi="ar"/>
        </w:rPr>
        <w:t>完成对县内部分乡镇30名农民歌手视频拍摄、录音曲谱整理，并建立资料库，完成收集相关音视频资料30套。</w:t>
      </w:r>
      <w:r>
        <w:rPr>
          <w:rFonts w:hint="eastAsia" w:ascii="仿宋_GB2312" w:hAnsi="仿宋_GB2312" w:eastAsia="仿宋_GB2312" w:cs="仿宋_GB2312"/>
          <w:sz w:val="32"/>
          <w:szCs w:val="32"/>
        </w:rPr>
        <w:t>七是</w:t>
      </w:r>
      <w:r>
        <w:rPr>
          <w:rFonts w:hint="eastAsia" w:ascii="仿宋_GB2312" w:hAnsi="仿宋_GB2312" w:eastAsia="仿宋_GB2312" w:cs="仿宋_GB2312"/>
          <w:color w:val="000000"/>
          <w:kern w:val="0"/>
          <w:sz w:val="32"/>
          <w:szCs w:val="32"/>
          <w:lang w:bidi="ar"/>
        </w:rPr>
        <w:t>做好紫阳民歌“六进”工作，持续</w:t>
      </w:r>
      <w:r>
        <w:rPr>
          <w:rFonts w:hint="eastAsia" w:ascii="仿宋_GB2312" w:hAnsi="仿宋_GB2312" w:eastAsia="仿宋_GB2312" w:cs="仿宋_GB2312"/>
          <w:sz w:val="32"/>
          <w:szCs w:val="32"/>
        </w:rPr>
        <w:t>推进</w:t>
      </w:r>
      <w:r>
        <w:rPr>
          <w:rFonts w:hint="eastAsia" w:ascii="仿宋_GB2312" w:hAnsi="仿宋_GB2312" w:eastAsia="仿宋_GB2312" w:cs="仿宋_GB2312"/>
          <w:color w:val="000000"/>
          <w:kern w:val="0"/>
          <w:sz w:val="32"/>
          <w:szCs w:val="32"/>
          <w:lang w:bidi="ar"/>
        </w:rPr>
        <w:t>“戏曲进乡村”惠民演出和</w:t>
      </w:r>
      <w:r>
        <w:rPr>
          <w:rFonts w:hint="eastAsia" w:ascii="仿宋_GB2312" w:hAnsi="仿宋_GB2312" w:eastAsia="仿宋_GB2312" w:cs="仿宋_GB2312"/>
          <w:sz w:val="32"/>
          <w:szCs w:val="32"/>
        </w:rPr>
        <w:t>农村公益性电影放映</w:t>
      </w:r>
      <w:r>
        <w:rPr>
          <w:rFonts w:hint="eastAsia" w:ascii="仿宋_GB2312" w:hAnsi="仿宋_GB2312" w:eastAsia="仿宋_GB2312" w:cs="仿宋_GB2312"/>
          <w:color w:val="2B2B2B"/>
          <w:kern w:val="0"/>
          <w:sz w:val="32"/>
          <w:szCs w:val="32"/>
        </w:rPr>
        <w:t>，</w:t>
      </w:r>
      <w:r>
        <w:rPr>
          <w:rFonts w:hint="eastAsia" w:ascii="仿宋_GB2312" w:hAnsi="仿宋_GB2312" w:eastAsia="仿宋_GB2312" w:cs="仿宋_GB2312"/>
          <w:sz w:val="32"/>
          <w:szCs w:val="32"/>
        </w:rPr>
        <w:t>进一步提升公共服务效能。</w:t>
      </w:r>
    </w:p>
    <w:p>
      <w:pPr>
        <w:spacing w:line="560" w:lineRule="exact"/>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（三）突出保护利用，强化文物安全。</w:t>
      </w:r>
    </w:p>
    <w:p>
      <w:pPr>
        <w:spacing w:line="560" w:lineRule="exact"/>
        <w:ind w:firstLine="64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是积极与省市主管局沟通汇报，尽快启动瓦房店会馆群防雷工程、瓦房店会馆群屋面抢修保护项目及东城门中原军区布告数字化保护及利用项目。二是将我县革命文物遗址、旧址积极申报为省级文物保护单位。三是按照省市文物局要求，</w:t>
      </w:r>
      <w:r>
        <w:rPr>
          <w:rFonts w:hint="eastAsia" w:ascii="仿宋_GB2312" w:hAnsi="仿宋_GB2312" w:eastAsia="仿宋_GB2312" w:cs="仿宋_GB2312"/>
          <w:sz w:val="32"/>
          <w:szCs w:val="32"/>
        </w:rPr>
        <w:t>制作我县县级文物保护单位及一般文物责任标识标牌界桩安装</w:t>
      </w:r>
      <w:r>
        <w:rPr>
          <w:rFonts w:hint="eastAsia" w:ascii="仿宋_GB2312" w:hAnsi="仿宋_GB2312" w:eastAsia="仿宋_GB2312" w:cs="仿宋_GB2312"/>
          <w:color w:val="000000"/>
          <w:kern w:val="0"/>
          <w:sz w:val="32"/>
          <w:szCs w:val="32"/>
          <w:lang w:bidi="ar"/>
        </w:rPr>
        <w:t>并制定保护方案。三是加强我县重点文物保护和安全管理，对全县田野文物进行巡查，摸清田野文物保护现状及存在的问题。四是加大我县零散文物征集及与茶叶、民俗相关物件等用品。</w:t>
      </w:r>
    </w:p>
    <w:p>
      <w:pPr>
        <w:widowControl/>
        <w:spacing w:line="560" w:lineRule="exact"/>
        <w:ind w:firstLine="640"/>
        <w:textAlignment w:val="top"/>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（四）突出市场营销，加强宣传推介。</w:t>
      </w:r>
    </w:p>
    <w:p>
      <w:pPr>
        <w:widowControl/>
        <w:spacing w:line="560" w:lineRule="exact"/>
        <w:ind w:firstLine="64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lang w:bidi="ar"/>
        </w:rPr>
        <w:t>打破传统舞台演艺的束缚，专注“抖音”“快手”等平台，打造少而精的紫阳旅游景点，生产一系列群众喜爱又能广泛传播的视频作品，打造一批社会舆论好、关注度高的网红主播。</w:t>
      </w:r>
      <w:r>
        <w:rPr>
          <w:rFonts w:hint="eastAsia" w:ascii="仿宋_GB2312" w:hAnsi="仿宋_GB2312" w:eastAsia="仿宋_GB2312" w:cs="仿宋_GB2312"/>
          <w:sz w:val="32"/>
          <w:szCs w:val="32"/>
        </w:rPr>
        <w:t>二是打造网红打卡地，通过品牌效应，提高知名度，吸引游客。积极参与旅游推介会、旅游交易会等推广活动，有效拓展旅游客源市场。运用好新媒体宣传，挖掘我县独特的自然、文化资源制作高质量旅游宣传片，抓好紫阳文旅抖音号、文旅紫阳微信公众号等媒体宣传，持续提升我县旅游知名度和影响力。</w:t>
      </w:r>
    </w:p>
    <w:p>
      <w:pPr>
        <w:spacing w:line="560" w:lineRule="exact"/>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（五）突出市场安全，强化履职尽责。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全力做好行业领域疫情防控工作，重点抓好网吧、KTV、电影院、大型游艺场、旅游景区、校外艺术培训机构等人员密集场所疫情防控责任落实，加强日常监管、督促指导，确保行业领域疫情防控安全平稳大局。二是全力做好行业领域执法检查力度，从严落实疫情防控、安全生产、扫黑除恶、扫黄打非、平安建设等工作要求，加强对校园周边网吧、图书印刷出版市场、KTV、影院等日常执法监督检查力度，营造紫阳县文化娱乐场所良好经营风气和氛围。三是全力做好广播电视安全播出工作，加强对广播电视制播、转播、有线无线传输、发射管理，做好重大节假日广播电视安全播出应急预案，确保安全播出；继续做好农村有线电视户户通工程，应急广播提升工程，提高广播电视覆盖率；组织广电技术人员对全县广播电视传输、接收设备、广播电视“户户通”维修服务点进行全面检查维护，做好应急广播网维护维修工作，确保长期通、优质通。</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截止2022年底，本单位人员编制38人，其中行政编制12人、事业编制26人；实有人员31人，其中行政12人、事业21人。单位管理的离退休人员41人。</w:t>
      </w:r>
    </w:p>
    <w:p>
      <w:pPr>
        <w:spacing w:line="360" w:lineRule="auto"/>
        <w:ind w:firstLine="880"/>
        <w:rPr>
          <w:rFonts w:ascii="仿宋" w:hAnsi="仿宋" w:eastAsia="仿宋" w:cs="仿宋"/>
          <w:sz w:val="32"/>
          <w:szCs w:val="32"/>
        </w:rPr>
      </w:pPr>
    </w:p>
    <w:p>
      <w:pPr>
        <w:spacing w:line="360" w:lineRule="auto"/>
        <w:ind w:firstLine="480"/>
        <w:jc w:val="center"/>
        <w:rPr>
          <w:rFonts w:hint="eastAsia"/>
        </w:rPr>
      </w:pPr>
    </w:p>
    <w:p>
      <w:pPr>
        <w:spacing w:line="360" w:lineRule="auto"/>
        <w:ind w:firstLine="480"/>
        <w:jc w:val="center"/>
        <w:rPr>
          <w:rFonts w:hint="eastAsia"/>
        </w:rPr>
      </w:pPr>
      <w:r>
        <w:rPr>
          <w:rFonts w:ascii="黑体" w:hAnsi="宋体" w:eastAsia="黑体"/>
          <w:color w:val="000000"/>
          <w:kern w:val="0"/>
          <w:sz w:val="44"/>
          <w:szCs w:val="44"/>
          <w:lang w:bidi="ar"/>
        </w:rPr>
        <w:pict>
          <v:shape id="Object 11" o:spid="_x0000_s1026" o:spt="75" type="#_x0000_t75" style="position:absolute;left:0pt;margin-left:39.75pt;margin-top:119.35pt;height:215.55pt;width:354.9pt;mso-position-vertical-relative:page;mso-wrap-distance-bottom:0pt;mso-wrap-distance-top:0pt;z-index:251659264;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Object 11" DrawAspect="Content" ObjectID="_1468075725" r:id="rId12">
            <o:LockedField>false</o:LockedField>
          </o:OLEObject>
        </w:pict>
      </w:r>
    </w:p>
    <w:p>
      <w:pPr>
        <w:spacing w:line="360" w:lineRule="auto"/>
        <w:ind w:firstLine="480"/>
        <w:jc w:val="center"/>
        <w:rPr>
          <w:rFonts w:hint="eastAsia"/>
        </w:rPr>
      </w:pPr>
    </w:p>
    <w:p>
      <w:pPr>
        <w:spacing w:line="360" w:lineRule="auto"/>
        <w:ind w:firstLine="480"/>
        <w:jc w:val="cente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430.58万元，其中一般公共预算拨款收入430.58万元、政府性基金拨款收入0万元，2023年本单位预算收入较上年增加6.12万元，主要原因是年度正常调资，人员经费增加；2023年本单位预算支出430.58万元，其中一般公共预算拨款支出430.58万元、政府性基金拨款支出0万元，2023年本单位预算支出较上年增加6.12万元，主要原因是年度正常调资，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430.58万元，其中一般公共预算拨款收入430.58万元、政府性基金拨款收入0万元，2023年本单位财政拨款收入较上年增加6.12万元，主要原因是年度正常调资，人员经费增加；2023年本单位财政拨款支出430.58万元，其中一般公共预算拨款支出430.58万元、政府性基金拨款支出0万元，2023年本单位财政拨款支出较上年增加6.12万元，主要原因是年度正常调资，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2023年本单位当年一般公共预算拨款支出430.58万元，较上年增加6.12万元，主要原因是年度正常调资，人员经费增加。</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本单位2023年当年一般公共预算支出430.58万元，其中：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（1）行政运行（2070101）342.1万元，较上年增加7.24万元，原因是年度正常调资，人员经费增加；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（2）机关事业单位基本养老保险缴费支出（2080505）39.43万元，较上年增加1.08万元，原因是年度正常调资，机关事业单位基本养老保险缴费增加；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（3）行政单位医疗（2101101）19.38万元，较上年增加0.62万元，原因是年度正常调资，行政单位医疗费用增加；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（4）住房公积金（2210101）29.67万元，较上年减少2.82万元，原因是有人员退休及调出；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2023年本单位当年一般公共预算支出430.58万元，其中：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工资福利支出（301）357.81万元，较上年增加15.58万元，原因是年度正常调资，人员经费增加；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商品和服务支出（302）66.99万元，较上年减少9.56万元，原因是人员减少，厉行节约，压缩了专项业务经费开支；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对个人和家庭的补助支出（303）5.78万元，较上年增加0.1万元，原因是新增一名退休人员；</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2023年本单位当年一般公共预算支出430.58万元，其中：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机关工资福利支出（501）357.81万元，较上年增加15.58万元，原因是年度正常调资，人员经费增加；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机关商品和服务支出（502）66.99万元，较上年减少9.56万元，原因是人员减少，厉行节约，压缩了专项业务经费开支；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对个人和家庭的补助（509）5.78万元，较上年增加0.1万元，原因是新增一名退休人员；</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1.67万元，较上年减少0.22万元（11%），减少的主要原因是人员减少。其中：因公出国（境）经费0万元，较上年增加（减少）0万元（0%），增加（减少）的主要原因是无因公出国（境）发生；公务接待费1.67万元，较上年减少0.22万元（11%），减少的主要原因是人员减少；公务用车运行费0万元，较上年增加（减少）0万元（0%），增加（减少）的主要原因是无公务用车运行维护费发生；公务用车购置费0万元，较上年增加（减少）0万元（0%），增加（减少）的主要原因是无公务用车购置发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0%），增加（减少）的主要原因是无会议费发生。培训费0万元，较上年增加（减少）0万元（0%），增加（减少）的主要原因是无培训费发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截止2022年底，本单位所属预算单位共有车辆1辆，单价20万元以上的设备1台（套）。2023年当年单位预算安排购置车辆0辆；安排购置单价20万元以上的设备0台（套）。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10"/>
        <w:numPr>
          <w:ilvl w:val="0"/>
          <w:numId w:val="0"/>
        </w:numPr>
        <w:spacing w:line="360" w:lineRule="auto"/>
        <w:ind w:left="480" w:leftChars="0"/>
        <w:rPr>
          <w:rFonts w:ascii="仿宋" w:hAnsi="仿宋" w:eastAsia="仿宋" w:cs="仿宋"/>
          <w:b/>
          <w:bCs/>
          <w:sz w:val="32"/>
          <w:szCs w:val="32"/>
        </w:rPr>
      </w:pPr>
      <w:r>
        <w:rPr>
          <w:rFonts w:hint="eastAsia" w:ascii="仿宋" w:hAnsi="仿宋" w:eastAsia="仿宋" w:cs="仿宋"/>
          <w:b/>
          <w:bCs/>
          <w:sz w:val="32"/>
          <w:szCs w:val="32"/>
          <w:lang w:val="en-US" w:eastAsia="zh-CN"/>
        </w:rPr>
        <w:t xml:space="preserve">  七、</w:t>
      </w: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2023年当年本单位政府采购预算共0万元，其中政府采购货物类预算0万元、政府采购服务类预算0万元、政府采购工程类预算0万元（详见公开报表中的政府采购表）。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2023年本单位绩效目标管理全覆盖，涉及当年一般公共预算拨款430.58万元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本单位当年机关运行经费预算安排18.41万元，较上年减少18.14万元，主要原因是厉行节约，压缩不必要的开支。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ED0381D"/>
    <w:rsid w:val="0029297D"/>
    <w:rsid w:val="004A1CB8"/>
    <w:rsid w:val="00D70262"/>
    <w:rsid w:val="018F2D13"/>
    <w:rsid w:val="02953D9A"/>
    <w:rsid w:val="03791D26"/>
    <w:rsid w:val="0466605A"/>
    <w:rsid w:val="04F35073"/>
    <w:rsid w:val="061D2748"/>
    <w:rsid w:val="068960FB"/>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D10672A"/>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3FCC0894"/>
    <w:rsid w:val="4008265B"/>
    <w:rsid w:val="41851E44"/>
    <w:rsid w:val="420B5D06"/>
    <w:rsid w:val="4248700C"/>
    <w:rsid w:val="465670F7"/>
    <w:rsid w:val="471D22FA"/>
    <w:rsid w:val="472B48D8"/>
    <w:rsid w:val="4741375D"/>
    <w:rsid w:val="47C702DF"/>
    <w:rsid w:val="48422B9F"/>
    <w:rsid w:val="488947B6"/>
    <w:rsid w:val="4B5131D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7B492E"/>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p0"/>
    <w:basedOn w:val="1"/>
    <w:next w:val="5"/>
    <w:qFormat/>
    <w:uiPriority w:val="0"/>
    <w:pPr>
      <w:widowControl/>
    </w:pPr>
    <w:rPr>
      <w:kern w:val="0"/>
      <w:szCs w:val="21"/>
    </w:rPr>
  </w:style>
  <w:style w:type="paragraph" w:styleId="5">
    <w:name w:val="index 7"/>
    <w:basedOn w:val="1"/>
    <w:next w:val="1"/>
    <w:qFormat/>
    <w:uiPriority w:val="0"/>
    <w:pPr>
      <w:ind w:left="2520"/>
    </w:pPr>
  </w:style>
  <w:style w:type="paragraph" w:styleId="6">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字符"/>
    <w:basedOn w:val="8"/>
    <w:link w:val="6"/>
    <w:uiPriority w:val="0"/>
    <w:rPr>
      <w:kern w:val="2"/>
      <w:sz w:val="18"/>
      <w:szCs w:val="18"/>
    </w:rPr>
  </w:style>
  <w:style w:type="paragraph" w:styleId="10">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4708</Words>
  <Characters>5057</Characters>
  <Lines>36</Lines>
  <Paragraphs>10</Paragraphs>
  <TotalTime>13</TotalTime>
  <ScaleCrop>false</ScaleCrop>
  <LinksUpToDate>false</LinksUpToDate>
  <CharactersWithSpaces>5088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2023-10-23T06:21:33Z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FA87BF94CA12411689EE063372694907</vt:lpwstr>
  </property>
</Properties>
</file>