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hint="eastAsia"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紫阳县电化教育中心</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pStyle w:val="7"/>
        <w:numPr>
          <w:ilvl w:val="0"/>
          <w:numId w:val="1"/>
        </w:numPr>
        <w:tabs>
          <w:tab w:val="left" w:pos="1004"/>
        </w:tabs>
        <w:spacing w:after="80" w:line="540" w:lineRule="exact"/>
        <w:ind w:firstLine="600"/>
        <w:rPr>
          <w:rFonts w:ascii="仿宋_GB2312" w:hAnsi="仿宋_GB2312" w:eastAsia="仿宋_GB2312" w:cs="仿宋_GB2312"/>
        </w:rPr>
      </w:pPr>
      <w:r>
        <w:rPr>
          <w:rFonts w:hint="eastAsia" w:ascii="仿宋_GB2312" w:hAnsi="仿宋_GB2312" w:eastAsia="仿宋_GB2312" w:cs="仿宋_GB2312"/>
          <w:color w:val="000000"/>
        </w:rPr>
        <w:t>完善机制，加快推进全县教育信息化进程</w:t>
      </w:r>
    </w:p>
    <w:p>
      <w:pPr>
        <w:pStyle w:val="7"/>
        <w:numPr>
          <w:ilvl w:val="0"/>
          <w:numId w:val="1"/>
        </w:numPr>
        <w:tabs>
          <w:tab w:val="left" w:pos="1004"/>
        </w:tabs>
        <w:spacing w:after="80" w:line="540" w:lineRule="exact"/>
        <w:ind w:firstLine="600"/>
        <w:rPr>
          <w:rFonts w:ascii="仿宋_GB2312" w:hAnsi="仿宋_GB2312" w:eastAsia="仿宋_GB2312" w:cs="仿宋_GB2312"/>
        </w:rPr>
      </w:pPr>
      <w:bookmarkStart w:id="0" w:name="bookmark6"/>
      <w:bookmarkEnd w:id="0"/>
      <w:r>
        <w:rPr>
          <w:rFonts w:hint="eastAsia" w:ascii="仿宋_GB2312" w:hAnsi="仿宋_GB2312" w:eastAsia="仿宋_GB2312" w:cs="仿宋_GB2312"/>
          <w:color w:val="000000"/>
        </w:rPr>
        <w:t>深化应用，有效提升教师和学生信息素养</w:t>
      </w:r>
    </w:p>
    <w:p>
      <w:pPr>
        <w:pStyle w:val="7"/>
        <w:numPr>
          <w:ilvl w:val="0"/>
          <w:numId w:val="1"/>
        </w:numPr>
        <w:tabs>
          <w:tab w:val="left" w:pos="1004"/>
        </w:tabs>
        <w:spacing w:after="80" w:line="540" w:lineRule="exact"/>
        <w:ind w:firstLine="600"/>
        <w:rPr>
          <w:rFonts w:ascii="仿宋_GB2312" w:hAnsi="仿宋_GB2312" w:eastAsia="仿宋_GB2312" w:cs="仿宋_GB2312"/>
        </w:rPr>
      </w:pPr>
      <w:bookmarkStart w:id="1" w:name="bookmark7"/>
      <w:bookmarkEnd w:id="1"/>
      <w:r>
        <w:rPr>
          <w:rFonts w:hint="eastAsia" w:ascii="仿宋_GB2312" w:hAnsi="仿宋_GB2312" w:eastAsia="仿宋_GB2312" w:cs="仿宋_GB2312"/>
          <w:color w:val="000000"/>
        </w:rPr>
        <w:t>融合创新，全面展示教育信息化应用成果</w:t>
      </w:r>
    </w:p>
    <w:p>
      <w:pPr>
        <w:pStyle w:val="7"/>
        <w:numPr>
          <w:ilvl w:val="0"/>
          <w:numId w:val="1"/>
        </w:numPr>
        <w:tabs>
          <w:tab w:val="left" w:pos="1006"/>
        </w:tabs>
        <w:spacing w:after="80" w:line="540" w:lineRule="exact"/>
        <w:ind w:firstLine="600"/>
        <w:rPr>
          <w:rFonts w:ascii="仿宋_GB2312" w:hAnsi="仿宋_GB2312" w:eastAsia="仿宋_GB2312" w:cs="仿宋_GB2312"/>
          <w:sz w:val="24"/>
          <w:szCs w:val="24"/>
        </w:rPr>
      </w:pPr>
      <w:bookmarkStart w:id="2" w:name="bookmark8"/>
      <w:bookmarkEnd w:id="2"/>
      <w:r>
        <w:rPr>
          <w:rFonts w:hint="eastAsia" w:ascii="仿宋_GB2312" w:hAnsi="仿宋_GB2312" w:eastAsia="仿宋_GB2312" w:cs="仿宋_GB2312"/>
          <w:color w:val="000000"/>
        </w:rPr>
        <w:t>服务全局，以教育公平促进教育均衡发</w:t>
      </w:r>
      <w:r>
        <w:rPr>
          <w:rFonts w:hint="eastAsia" w:ascii="仿宋_GB2312" w:hAnsi="仿宋_GB2312" w:eastAsia="仿宋_GB2312" w:cs="仿宋_GB2312"/>
          <w:color w:val="000000"/>
          <w:sz w:val="24"/>
          <w:szCs w:val="24"/>
        </w:rPr>
        <w:t>展</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pStyle w:val="7"/>
        <w:spacing w:after="140" w:line="540" w:lineRule="exact"/>
        <w:ind w:firstLine="600"/>
        <w:jc w:val="left"/>
        <w:rPr>
          <w:rFonts w:ascii="仿宋_GB2312" w:hAnsi="仿宋_GB2312" w:eastAsia="仿宋_GB2312" w:cs="仿宋_GB2312"/>
        </w:rPr>
      </w:pPr>
      <w:r>
        <w:rPr>
          <w:rFonts w:hint="eastAsia" w:ascii="仿宋_GB2312" w:hAnsi="仿宋_GB2312" w:eastAsia="仿宋_GB2312" w:cs="仿宋_GB2312"/>
          <w:color w:val="000000"/>
        </w:rPr>
        <w:t>本单位现设有办公室，教育技术部，影视教育部</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pStyle w:val="8"/>
        <w:keepNext/>
        <w:keepLines/>
        <w:numPr>
          <w:ilvl w:val="0"/>
          <w:numId w:val="2"/>
        </w:numPr>
        <w:spacing w:line="540" w:lineRule="exact"/>
        <w:ind w:firstLine="643"/>
        <w:rPr>
          <w:rFonts w:ascii="仿宋_GB2312" w:hAnsi="仿宋_GB2312" w:eastAsia="仿宋_GB2312" w:cs="仿宋_GB2312"/>
          <w:sz w:val="32"/>
          <w:szCs w:val="32"/>
        </w:rPr>
      </w:pPr>
      <w:bookmarkStart w:id="3" w:name="bookmark12"/>
      <w:bookmarkStart w:id="4" w:name="bookmark14"/>
      <w:bookmarkStart w:id="5" w:name="bookmark11"/>
      <w:r>
        <w:rPr>
          <w:rFonts w:hint="eastAsia" w:ascii="仿宋_GB2312" w:hAnsi="仿宋_GB2312" w:eastAsia="仿宋_GB2312" w:cs="仿宋_GB2312"/>
          <w:color w:val="000000"/>
          <w:sz w:val="32"/>
          <w:szCs w:val="32"/>
        </w:rPr>
        <w:t>加强内部管理，做好服务指导</w:t>
      </w:r>
      <w:bookmarkEnd w:id="3"/>
      <w:bookmarkEnd w:id="4"/>
      <w:bookmarkEnd w:id="5"/>
    </w:p>
    <w:p>
      <w:pPr>
        <w:pStyle w:val="7"/>
        <w:spacing w:after="80"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持续开展政治业务学习，增强单位凝聚力和战斗力。通过例会、影视教育、交流学习、团建活动等形式，扎实开展学习习近平新时代中国特色社会主义</w:t>
      </w:r>
      <w:bookmarkStart w:id="34" w:name="_GoBack"/>
      <w:bookmarkEnd w:id="34"/>
      <w:r>
        <w:rPr>
          <w:rFonts w:hint="eastAsia" w:ascii="仿宋_GB2312" w:hAnsi="仿宋_GB2312" w:eastAsia="仿宋_GB2312" w:cs="仿宋_GB2312"/>
          <w:color w:val="000000"/>
          <w:sz w:val="32"/>
          <w:szCs w:val="32"/>
        </w:rPr>
        <w:t>思想、党史学习、师德师风建设、普法教育等活动，强化单位全体工作人员的意识形态，筑牢思想防线。继续开展单位工作人员自身业务学习提升活动，组织单位全体工作人员开展两次专业素养提升培训活动，通过理论加实操的模式，提升业务水平。组织一次交流活动，到教育信息化工作有亮点、有先进经验的兄弟单位进行交流学习，更新工作思路，激发工作热情。</w:t>
      </w:r>
    </w:p>
    <w:p>
      <w:pPr>
        <w:pStyle w:val="8"/>
        <w:keepNext/>
        <w:keepLines/>
        <w:numPr>
          <w:ilvl w:val="0"/>
          <w:numId w:val="2"/>
        </w:numPr>
        <w:tabs>
          <w:tab w:val="left" w:pos="979"/>
        </w:tabs>
        <w:spacing w:line="541" w:lineRule="exact"/>
        <w:ind w:firstLine="643"/>
        <w:rPr>
          <w:rFonts w:ascii="仿宋_GB2312" w:hAnsi="仿宋_GB2312" w:eastAsia="仿宋_GB2312" w:cs="仿宋_GB2312"/>
          <w:sz w:val="32"/>
          <w:szCs w:val="32"/>
        </w:rPr>
      </w:pPr>
      <w:bookmarkStart w:id="6" w:name="bookmark17"/>
      <w:bookmarkEnd w:id="6"/>
      <w:bookmarkStart w:id="7" w:name="bookmark16"/>
      <w:bookmarkStart w:id="8" w:name="bookmark15"/>
      <w:bookmarkStart w:id="9" w:name="bookmark18"/>
      <w:r>
        <w:rPr>
          <w:rFonts w:hint="eastAsia" w:ascii="仿宋_GB2312" w:hAnsi="仿宋_GB2312" w:eastAsia="仿宋_GB2312" w:cs="仿宋_GB2312"/>
          <w:color w:val="000000"/>
          <w:sz w:val="32"/>
          <w:szCs w:val="32"/>
        </w:rPr>
        <w:t>充实骨干力量，完善电教体系</w:t>
      </w:r>
      <w:bookmarkEnd w:id="7"/>
      <w:bookmarkEnd w:id="8"/>
      <w:bookmarkEnd w:id="9"/>
    </w:p>
    <w:p>
      <w:pPr>
        <w:pStyle w:val="7"/>
        <w:spacing w:line="541"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在各学校（园）已成立电教（信息）中心，并将电教（信息）中心负责人纳入学校（园）中层领导队伍的基础上，在全县镇中心小学以上选拔县级电教兼职教研员（每校（园）推荐不低于2名在信息技术应用、实验教学等方面经验丰富且能力突出的教师）充实电教骨干力量。组织学校电教（信息）中心负责人和电教兼职教研员开展一次座谈交流会和一次培训会，为紫阳教育信息化发展积蓄智慧力量、引领专业成长。</w:t>
      </w:r>
    </w:p>
    <w:p>
      <w:pPr>
        <w:pStyle w:val="8"/>
        <w:keepNext/>
        <w:keepLines/>
        <w:numPr>
          <w:ilvl w:val="0"/>
          <w:numId w:val="2"/>
        </w:numPr>
        <w:tabs>
          <w:tab w:val="left" w:pos="959"/>
        </w:tabs>
        <w:spacing w:line="541" w:lineRule="exact"/>
        <w:ind w:firstLine="643"/>
        <w:jc w:val="left"/>
        <w:rPr>
          <w:rFonts w:ascii="仿宋_GB2312" w:hAnsi="仿宋_GB2312" w:eastAsia="仿宋_GB2312" w:cs="仿宋_GB2312"/>
          <w:sz w:val="32"/>
          <w:szCs w:val="32"/>
        </w:rPr>
      </w:pPr>
      <w:bookmarkStart w:id="10" w:name="bookmark21"/>
      <w:bookmarkEnd w:id="10"/>
      <w:bookmarkStart w:id="11" w:name="bookmark19"/>
      <w:bookmarkStart w:id="12" w:name="bookmark20"/>
      <w:bookmarkStart w:id="13" w:name="bookmark22"/>
      <w:r>
        <w:rPr>
          <w:rFonts w:hint="eastAsia" w:ascii="仿宋_GB2312" w:hAnsi="仿宋_GB2312" w:eastAsia="仿宋_GB2312" w:cs="仿宋_GB2312"/>
          <w:color w:val="000000"/>
          <w:sz w:val="32"/>
          <w:szCs w:val="32"/>
        </w:rPr>
        <w:t>持续投入建设，改善电教环境</w:t>
      </w:r>
      <w:bookmarkEnd w:id="11"/>
      <w:bookmarkEnd w:id="12"/>
      <w:bookmarkEnd w:id="13"/>
    </w:p>
    <w:p>
      <w:pPr>
        <w:pStyle w:val="7"/>
        <w:spacing w:line="547"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主动参与指导全县教育信息化及实验装备的配置工作，力争完善县域教育城域网建设、17所镇中心学校规范建设校园中心机房和网络综合布线建设、网络安防设施建设及综合服务平台建设。在县域城域网建设完善的基础上，实施8所镇中心小学和11所县直学校的数字校园建设，配置县级资源平台服务器，搭建教学资源平台，充实教学资源和学习资源并开放给全县两类学校使用。（完善学校中心机房和网络综合布线建设，预算1400万元）。在已创建一所省级智慧校园示范校的基础上，争取资金投入，再创建一所智慧幼儿园和一所智慧小学。</w:t>
      </w:r>
    </w:p>
    <w:p>
      <w:pPr>
        <w:pStyle w:val="8"/>
        <w:keepNext/>
        <w:keepLines/>
        <w:numPr>
          <w:ilvl w:val="0"/>
          <w:numId w:val="2"/>
        </w:numPr>
        <w:tabs>
          <w:tab w:val="left" w:pos="959"/>
        </w:tabs>
        <w:spacing w:line="541" w:lineRule="exact"/>
        <w:ind w:firstLine="643"/>
        <w:jc w:val="left"/>
        <w:rPr>
          <w:rFonts w:ascii="仿宋_GB2312" w:hAnsi="仿宋_GB2312" w:eastAsia="仿宋_GB2312" w:cs="仿宋_GB2312"/>
          <w:sz w:val="32"/>
          <w:szCs w:val="32"/>
        </w:rPr>
      </w:pPr>
      <w:bookmarkStart w:id="14" w:name="bookmark25"/>
      <w:bookmarkEnd w:id="14"/>
      <w:bookmarkStart w:id="15" w:name="bookmark26"/>
      <w:bookmarkStart w:id="16" w:name="bookmark23"/>
      <w:bookmarkStart w:id="17" w:name="bookmark24"/>
      <w:r>
        <w:rPr>
          <w:rFonts w:hint="eastAsia" w:ascii="仿宋_GB2312" w:hAnsi="仿宋_GB2312" w:eastAsia="仿宋_GB2312" w:cs="仿宋_GB2312"/>
          <w:color w:val="000000"/>
          <w:sz w:val="32"/>
          <w:szCs w:val="32"/>
        </w:rPr>
        <w:t>强化工作措施，狠抓网络安全</w:t>
      </w:r>
      <w:bookmarkEnd w:id="15"/>
      <w:bookmarkEnd w:id="16"/>
      <w:bookmarkEnd w:id="17"/>
    </w:p>
    <w:p>
      <w:pPr>
        <w:pStyle w:val="7"/>
        <w:spacing w:line="541"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继续抓好网络安全工作不放松，通过加大网络安全检查力度和检查频次，提升教育系统对网络安全的重视度。上半年，召开网络安全暨电教工作会议，培训学校网络安全管理人员；以检查学校网络安全档案、网络安全环境等方式开展一次网络安全巡回检查，及时排查网络安全隐患；下半年，利用第九届</w:t>
      </w:r>
      <w:r>
        <w:rPr>
          <w:rFonts w:hint="eastAsia" w:ascii="仿宋_GB2312" w:hAnsi="仿宋_GB2312" w:eastAsia="仿宋_GB2312" w:cs="仿宋_GB2312"/>
          <w:color w:val="000000"/>
          <w:sz w:val="32"/>
          <w:szCs w:val="32"/>
          <w:lang w:val="zh-CN" w:eastAsia="zh-CN" w:bidi="zh-CN"/>
        </w:rPr>
        <w:t>“国</w:t>
      </w:r>
      <w:r>
        <w:rPr>
          <w:rFonts w:hint="eastAsia" w:ascii="仿宋_GB2312" w:hAnsi="仿宋_GB2312" w:eastAsia="仿宋_GB2312" w:cs="仿宋_GB2312"/>
          <w:color w:val="000000"/>
          <w:sz w:val="32"/>
          <w:szCs w:val="32"/>
        </w:rPr>
        <w:t>家网络安全宣</w:t>
      </w:r>
      <w:r>
        <w:rPr>
          <w:rFonts w:hint="eastAsia" w:ascii="仿宋_GB2312" w:hAnsi="仿宋_GB2312" w:eastAsia="仿宋_GB2312" w:cs="仿宋_GB2312"/>
          <w:color w:val="000000"/>
          <w:sz w:val="32"/>
          <w:szCs w:val="32"/>
          <w:lang w:val="zh-CN" w:eastAsia="zh-CN" w:bidi="zh-CN"/>
        </w:rPr>
        <w:t>传周”</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年9月12日-9月18日）做好网络安全宣传工作，切实提升师生的网络安全意识，国庆节前夕开展一次网络安全应急处理演练。严格落实好重大节假日期间的网络安全零报告制度。</w:t>
      </w:r>
    </w:p>
    <w:p>
      <w:pPr>
        <w:pStyle w:val="8"/>
        <w:keepNext/>
        <w:keepLines/>
        <w:numPr>
          <w:ilvl w:val="0"/>
          <w:numId w:val="2"/>
        </w:numPr>
        <w:tabs>
          <w:tab w:val="left" w:pos="1011"/>
        </w:tabs>
        <w:ind w:firstLine="643"/>
        <w:rPr>
          <w:rFonts w:ascii="仿宋_GB2312" w:hAnsi="仿宋_GB2312" w:eastAsia="仿宋_GB2312" w:cs="仿宋_GB2312"/>
          <w:sz w:val="32"/>
          <w:szCs w:val="32"/>
        </w:rPr>
      </w:pPr>
      <w:bookmarkStart w:id="18" w:name="bookmark29"/>
      <w:bookmarkEnd w:id="18"/>
      <w:bookmarkStart w:id="19" w:name="bookmark28"/>
      <w:bookmarkStart w:id="20" w:name="bookmark27"/>
      <w:bookmarkStart w:id="21" w:name="bookmark30"/>
      <w:r>
        <w:rPr>
          <w:rFonts w:hint="eastAsia" w:ascii="仿宋_GB2312" w:hAnsi="仿宋_GB2312" w:eastAsia="仿宋_GB2312" w:cs="仿宋_GB2312"/>
          <w:color w:val="000000"/>
          <w:sz w:val="32"/>
          <w:szCs w:val="32"/>
        </w:rPr>
        <w:t>抓实教师培训，注重应用实效</w:t>
      </w:r>
      <w:bookmarkEnd w:id="19"/>
      <w:bookmarkEnd w:id="20"/>
      <w:bookmarkEnd w:id="21"/>
    </w:p>
    <w:p>
      <w:pPr>
        <w:pStyle w:val="7"/>
        <w:spacing w:line="539"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持续推进信息技术与学科教学的融合创新发展，完成全县所有学校2700名教师的信息技术应用能力测评工作。做好提升工程</w:t>
      </w:r>
      <w:r>
        <w:rPr>
          <w:rFonts w:hint="eastAsia" w:ascii="仿宋_GB2312" w:hAnsi="仿宋_GB2312" w:eastAsia="仿宋_GB2312" w:cs="仿宋_GB2312"/>
          <w:color w:val="000000"/>
          <w:sz w:val="32"/>
          <w:szCs w:val="32"/>
          <w:lang w:val="en-US" w:eastAsia="zh-CN" w:bidi="en-US"/>
        </w:rPr>
        <w:t>2.</w:t>
      </w:r>
      <w:r>
        <w:rPr>
          <w:rFonts w:hint="eastAsia" w:ascii="仿宋_GB2312" w:hAnsi="仿宋_GB2312" w:eastAsia="仿宋_GB2312" w:cs="仿宋_GB2312"/>
          <w:color w:val="000000"/>
          <w:sz w:val="32"/>
          <w:szCs w:val="32"/>
        </w:rPr>
        <w:t>0的总结工作，形成长效机制，以测评工作为起点，把提升全县教师的信息技术应用能力相关培训作为长期工作抓好抓实。暑假期间，联合师训教研中心开展以希沃白板应用、视频会议系统辅助教育教学、教育资源共享、办公软件应用、互联网+教育等相关软件应用为内容的教师继续教育培训，全面提升教师信息技术应用能力，创新教育教学模式。</w:t>
      </w:r>
    </w:p>
    <w:p>
      <w:pPr>
        <w:pStyle w:val="8"/>
        <w:keepNext/>
        <w:keepLines/>
        <w:numPr>
          <w:ilvl w:val="0"/>
          <w:numId w:val="2"/>
        </w:numPr>
        <w:tabs>
          <w:tab w:val="left" w:pos="1016"/>
        </w:tabs>
        <w:ind w:firstLine="643"/>
        <w:rPr>
          <w:rFonts w:ascii="仿宋_GB2312" w:hAnsi="仿宋_GB2312" w:eastAsia="仿宋_GB2312" w:cs="仿宋_GB2312"/>
          <w:sz w:val="32"/>
          <w:szCs w:val="32"/>
        </w:rPr>
      </w:pPr>
      <w:bookmarkStart w:id="22" w:name="bookmark33"/>
      <w:bookmarkEnd w:id="22"/>
      <w:bookmarkStart w:id="23" w:name="bookmark34"/>
      <w:bookmarkStart w:id="24" w:name="bookmark32"/>
      <w:bookmarkStart w:id="25" w:name="bookmark31"/>
      <w:r>
        <w:rPr>
          <w:rFonts w:hint="eastAsia" w:ascii="仿宋_GB2312" w:hAnsi="仿宋_GB2312" w:eastAsia="仿宋_GB2312" w:cs="仿宋_GB2312"/>
          <w:color w:val="000000"/>
          <w:sz w:val="32"/>
          <w:szCs w:val="32"/>
        </w:rPr>
        <w:t>规范实验教学，提升实验技能</w:t>
      </w:r>
      <w:bookmarkEnd w:id="23"/>
      <w:bookmarkEnd w:id="24"/>
      <w:bookmarkEnd w:id="25"/>
    </w:p>
    <w:p>
      <w:pPr>
        <w:pStyle w:val="7"/>
        <w:spacing w:line="539"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巡回到校检查指导部室常规管理，深入教室听评实验教学课，督促各级各类学校规范开足开齐实验课程。积极组织全县理化生教师参加省市举办的相关培训和赛事活动。举办一次初中理化生教师实验操作技能展示交流活动，提升全县初中理化生教师实验操作能力。组织开展一次全县中小学部室管理员培训会，提升部室管理员的管理能力，加强中小学部室的规范管理。</w:t>
      </w:r>
    </w:p>
    <w:p>
      <w:pPr>
        <w:pStyle w:val="8"/>
        <w:keepNext/>
        <w:keepLines/>
        <w:numPr>
          <w:ilvl w:val="0"/>
          <w:numId w:val="2"/>
        </w:numPr>
        <w:tabs>
          <w:tab w:val="left" w:pos="1016"/>
        </w:tabs>
        <w:ind w:firstLine="643"/>
        <w:rPr>
          <w:rFonts w:ascii="仿宋_GB2312" w:hAnsi="仿宋_GB2312" w:eastAsia="仿宋_GB2312" w:cs="仿宋_GB2312"/>
          <w:sz w:val="32"/>
          <w:szCs w:val="32"/>
        </w:rPr>
      </w:pPr>
      <w:bookmarkStart w:id="26" w:name="bookmark37"/>
      <w:bookmarkEnd w:id="26"/>
      <w:bookmarkStart w:id="27" w:name="bookmark38"/>
      <w:bookmarkStart w:id="28" w:name="bookmark35"/>
      <w:bookmarkStart w:id="29" w:name="bookmark36"/>
      <w:r>
        <w:rPr>
          <w:rFonts w:hint="eastAsia" w:ascii="仿宋_GB2312" w:hAnsi="仿宋_GB2312" w:eastAsia="仿宋_GB2312" w:cs="仿宋_GB2312"/>
          <w:color w:val="000000"/>
          <w:sz w:val="32"/>
          <w:szCs w:val="32"/>
        </w:rPr>
        <w:t>关注教育热点，探索</w:t>
      </w:r>
      <w:r>
        <w:rPr>
          <w:rFonts w:hint="eastAsia" w:ascii="仿宋_GB2312" w:hAnsi="仿宋_GB2312" w:eastAsia="仿宋_GB2312" w:cs="仿宋_GB2312"/>
          <w:color w:val="000000"/>
          <w:sz w:val="32"/>
          <w:szCs w:val="32"/>
          <w:lang w:val="zh-CN" w:eastAsia="zh-CN" w:bidi="zh-CN"/>
        </w:rPr>
        <w:t>“互</w:t>
      </w:r>
      <w:r>
        <w:rPr>
          <w:rFonts w:hint="eastAsia" w:ascii="仿宋_GB2312" w:hAnsi="仿宋_GB2312" w:eastAsia="仿宋_GB2312" w:cs="仿宋_GB2312"/>
          <w:color w:val="000000"/>
          <w:sz w:val="32"/>
          <w:szCs w:val="32"/>
        </w:rPr>
        <w:t>联网</w:t>
      </w:r>
      <w:r>
        <w:rPr>
          <w:rFonts w:hint="eastAsia" w:ascii="仿宋_GB2312" w:hAnsi="仿宋_GB2312" w:eastAsia="仿宋_GB2312" w:cs="仿宋_GB2312"/>
          <w:color w:val="000000"/>
          <w:sz w:val="32"/>
          <w:szCs w:val="32"/>
          <w:lang w:val="en-US" w:eastAsia="zh-CN" w:bidi="en-US"/>
        </w:rPr>
        <w:t>+"</w:t>
      </w:r>
      <w:bookmarkEnd w:id="27"/>
      <w:bookmarkEnd w:id="28"/>
      <w:bookmarkEnd w:id="29"/>
    </w:p>
    <w:p>
      <w:pPr>
        <w:pStyle w:val="7"/>
        <w:spacing w:line="539"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做好</w:t>
      </w:r>
      <w:r>
        <w:rPr>
          <w:rFonts w:hint="eastAsia" w:ascii="仿宋_GB2312" w:hAnsi="仿宋_GB2312" w:eastAsia="仿宋_GB2312" w:cs="仿宋_GB2312"/>
          <w:color w:val="000000"/>
          <w:sz w:val="32"/>
          <w:szCs w:val="32"/>
          <w:lang w:val="zh-CN" w:eastAsia="zh-CN" w:bidi="zh-CN"/>
        </w:rPr>
        <w:t>“德润安康"</w:t>
      </w:r>
      <w:r>
        <w:rPr>
          <w:rFonts w:hint="eastAsia" w:ascii="仿宋_GB2312" w:hAnsi="仿宋_GB2312" w:eastAsia="仿宋_GB2312" w:cs="仿宋_GB2312"/>
          <w:color w:val="000000"/>
          <w:sz w:val="32"/>
          <w:szCs w:val="32"/>
        </w:rPr>
        <w:t>资源平台的推广应用工作，积极开展信息化环境下的</w:t>
      </w:r>
      <w:r>
        <w:rPr>
          <w:rFonts w:hint="eastAsia" w:ascii="仿宋_GB2312" w:hAnsi="仿宋_GB2312" w:eastAsia="仿宋_GB2312" w:cs="仿宋_GB2312"/>
          <w:color w:val="000000"/>
          <w:sz w:val="32"/>
          <w:szCs w:val="32"/>
          <w:lang w:val="zh-CN" w:eastAsia="zh-CN" w:bidi="zh-CN"/>
        </w:rPr>
        <w:t>“三个课堂"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eastAsia="zh-CN" w:bidi="zh-CN"/>
        </w:rPr>
        <w:t>“双减</w:t>
      </w:r>
      <w:r>
        <w:rPr>
          <w:rFonts w:hint="eastAsia" w:ascii="仿宋_GB2312" w:hAnsi="仿宋_GB2312" w:eastAsia="仿宋_GB2312" w:cs="仿宋_GB2312"/>
          <w:color w:val="000000"/>
          <w:sz w:val="32"/>
          <w:szCs w:val="32"/>
          <w:lang w:val="en-US" w:eastAsia="zh-CN" w:bidi="en-US"/>
        </w:rPr>
        <w:t>"</w:t>
      </w:r>
      <w:r>
        <w:rPr>
          <w:rFonts w:hint="eastAsia" w:ascii="仿宋_GB2312" w:hAnsi="仿宋_GB2312" w:eastAsia="仿宋_GB2312" w:cs="仿宋_GB2312"/>
          <w:color w:val="000000"/>
          <w:sz w:val="32"/>
          <w:szCs w:val="32"/>
          <w:lang w:val="zh-CN" w:eastAsia="zh-CN" w:bidi="zh-CN"/>
        </w:rPr>
        <w:t>、"新高考</w:t>
      </w:r>
      <w:r>
        <w:rPr>
          <w:rFonts w:hint="eastAsia" w:ascii="仿宋_GB2312" w:hAnsi="仿宋_GB2312" w:eastAsia="仿宋_GB2312" w:cs="仿宋_GB2312"/>
          <w:color w:val="000000"/>
          <w:sz w:val="32"/>
          <w:szCs w:val="32"/>
        </w:rPr>
        <w:t>"试点应用实践工作，以“互联网</w:t>
      </w:r>
      <w:r>
        <w:rPr>
          <w:rFonts w:hint="eastAsia" w:ascii="仿宋_GB2312" w:hAnsi="仿宋_GB2312" w:eastAsia="仿宋_GB2312" w:cs="仿宋_GB2312"/>
          <w:color w:val="000000"/>
          <w:sz w:val="32"/>
          <w:szCs w:val="32"/>
          <w:lang w:val="en-US" w:eastAsia="zh-CN" w:bidi="en-US"/>
        </w:rPr>
        <w:t>+"</w:t>
      </w:r>
      <w:r>
        <w:rPr>
          <w:rFonts w:hint="eastAsia" w:ascii="仿宋_GB2312" w:hAnsi="仿宋_GB2312" w:eastAsia="仿宋_GB2312" w:cs="仿宋_GB2312"/>
          <w:color w:val="000000"/>
          <w:sz w:val="32"/>
          <w:szCs w:val="32"/>
        </w:rPr>
        <w:t>模式提升工作实效。（重点完成全县42所小规模学校的</w:t>
      </w:r>
      <w:r>
        <w:rPr>
          <w:rFonts w:hint="eastAsia" w:ascii="仿宋_GB2312" w:hAnsi="仿宋_GB2312" w:eastAsia="仿宋_GB2312" w:cs="仿宋_GB2312"/>
          <w:color w:val="000000"/>
          <w:sz w:val="32"/>
          <w:szCs w:val="32"/>
          <w:lang w:val="zh-CN" w:eastAsia="zh-CN" w:bidi="zh-CN"/>
        </w:rPr>
        <w:t>“三</w:t>
      </w:r>
      <w:r>
        <w:rPr>
          <w:rFonts w:hint="eastAsia" w:ascii="仿宋_GB2312" w:hAnsi="仿宋_GB2312" w:eastAsia="仿宋_GB2312" w:cs="仿宋_GB2312"/>
          <w:color w:val="000000"/>
          <w:sz w:val="32"/>
          <w:szCs w:val="32"/>
        </w:rPr>
        <w:t>个课堂</w:t>
      </w:r>
      <w:r>
        <w:rPr>
          <w:rFonts w:hint="eastAsia" w:ascii="仿宋_GB2312" w:hAnsi="仿宋_GB2312" w:eastAsia="仿宋_GB2312" w:cs="仿宋_GB2312"/>
          <w:color w:val="000000"/>
          <w:sz w:val="32"/>
          <w:szCs w:val="32"/>
          <w:lang w:val="zh-CN" w:eastAsia="zh-CN" w:bidi="zh-CN"/>
        </w:rPr>
        <w:t>”设</w:t>
      </w:r>
      <w:r>
        <w:rPr>
          <w:rFonts w:hint="eastAsia" w:ascii="仿宋_GB2312" w:hAnsi="仿宋_GB2312" w:eastAsia="仿宋_GB2312" w:cs="仿宋_GB2312"/>
          <w:color w:val="000000"/>
          <w:sz w:val="32"/>
          <w:szCs w:val="32"/>
        </w:rPr>
        <w:t>备配置工作，预算260万元；开展机器人社团活动，为全县30所镇中心小学以上学校配置机器人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预算180万元）。</w:t>
      </w:r>
    </w:p>
    <w:p>
      <w:pPr>
        <w:pStyle w:val="7"/>
        <w:spacing w:line="539"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紫阳县中小学影视教育工作实施方案》（紫教体科发〔2020〕81号）要求，从组织管理、制度落实、条件保障、安全保障等方面采取有效措施，统筹安排，营造影视文化氛围，深化影视教育的育人效果，积极开展互联网+德育工作的探索与实践活动，形成典型案例并进行推广。组织各学校积极参加省、市、县微电影创作、爱国主义影评征文、微剧本创作评选等赛事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指导</w:t>
      </w:r>
      <w:r>
        <w:rPr>
          <w:rFonts w:hint="eastAsia" w:ascii="仿宋_GB2312" w:hAnsi="仿宋_GB2312" w:eastAsia="仿宋_GB2312" w:cs="仿宋_GB2312"/>
          <w:color w:val="000000"/>
          <w:sz w:val="32"/>
          <w:szCs w:val="32"/>
          <w:lang w:eastAsia="zh-CN"/>
        </w:rPr>
        <w:t>普通高中</w:t>
      </w:r>
      <w:r>
        <w:rPr>
          <w:rFonts w:hint="eastAsia" w:ascii="仿宋_GB2312" w:hAnsi="仿宋_GB2312" w:eastAsia="仿宋_GB2312" w:cs="仿宋_GB2312"/>
          <w:color w:val="000000"/>
          <w:sz w:val="32"/>
          <w:szCs w:val="32"/>
        </w:rPr>
        <w:t>开好影视教育选修课，不断充实影视教育内容、形式和手段，</w:t>
      </w:r>
      <w:r>
        <w:rPr>
          <w:rFonts w:hint="eastAsia" w:ascii="仿宋_GB2312" w:hAnsi="仿宋_GB2312" w:eastAsia="仿宋_GB2312" w:cs="仿宋_GB2312"/>
          <w:color w:val="000000"/>
          <w:sz w:val="32"/>
          <w:szCs w:val="32"/>
          <w:lang w:eastAsia="zh-CN"/>
        </w:rPr>
        <w:t>提高</w:t>
      </w:r>
      <w:r>
        <w:rPr>
          <w:rFonts w:hint="eastAsia" w:ascii="仿宋_GB2312" w:hAnsi="仿宋_GB2312" w:eastAsia="仿宋_GB2312" w:cs="仿宋_GB2312"/>
          <w:color w:val="000000"/>
          <w:sz w:val="32"/>
          <w:szCs w:val="32"/>
        </w:rPr>
        <w:t>学生实践能力和综合素养。</w:t>
      </w:r>
    </w:p>
    <w:p>
      <w:pPr>
        <w:pStyle w:val="8"/>
        <w:keepNext/>
        <w:keepLines/>
        <w:numPr>
          <w:ilvl w:val="0"/>
          <w:numId w:val="2"/>
        </w:numPr>
        <w:ind w:firstLine="643"/>
        <w:rPr>
          <w:rFonts w:ascii="仿宋_GB2312" w:hAnsi="仿宋_GB2312" w:eastAsia="仿宋_GB2312" w:cs="仿宋_GB2312"/>
          <w:sz w:val="32"/>
          <w:szCs w:val="32"/>
        </w:rPr>
      </w:pPr>
      <w:bookmarkStart w:id="30" w:name="bookmark41"/>
      <w:bookmarkEnd w:id="30"/>
      <w:bookmarkStart w:id="31" w:name="bookmark42"/>
      <w:bookmarkStart w:id="32" w:name="bookmark40"/>
      <w:bookmarkStart w:id="33" w:name="bookmark39"/>
      <w:r>
        <w:rPr>
          <w:rFonts w:hint="eastAsia" w:ascii="仿宋_GB2312" w:hAnsi="仿宋_GB2312" w:eastAsia="仿宋_GB2312" w:cs="仿宋_GB2312"/>
          <w:color w:val="000000"/>
          <w:sz w:val="32"/>
          <w:szCs w:val="32"/>
        </w:rPr>
        <w:t>做好驻村工作，推进乡村振兴</w:t>
      </w:r>
      <w:bookmarkEnd w:id="31"/>
      <w:bookmarkEnd w:id="32"/>
      <w:bookmarkEnd w:id="33"/>
    </w:p>
    <w:p>
      <w:pPr>
        <w:spacing w:line="360" w:lineRule="auto"/>
        <w:ind w:firstLine="640"/>
        <w:rPr>
          <w:color w:val="000000"/>
        </w:rPr>
      </w:pPr>
      <w:r>
        <w:rPr>
          <w:rFonts w:hint="eastAsia" w:ascii="仿宋_GB2312" w:hAnsi="仿宋_GB2312" w:eastAsia="仿宋_GB2312" w:cs="仿宋_GB2312"/>
          <w:color w:val="000000"/>
          <w:sz w:val="32"/>
          <w:szCs w:val="32"/>
        </w:rPr>
        <w:t>按照县委、县政府相关要求，扎实做好乡村振兴相关工作。制定红椿镇纪家沟村乡村振兴年度工作计划；第一书记牵头做好党建工作，加强村级党建阵地建设，营造党建文化氛围；对标对表查漏补缺，规范完善档案建设；</w:t>
      </w:r>
      <w:r>
        <w:rPr>
          <w:rFonts w:hint="eastAsia" w:ascii="仿宋_GB2312" w:hAnsi="仿宋_GB2312" w:eastAsia="仿宋_GB2312" w:cs="仿宋_GB2312"/>
          <w:color w:val="000000"/>
          <w:sz w:val="32"/>
          <w:szCs w:val="32"/>
          <w:lang w:eastAsia="zh-CN"/>
        </w:rPr>
        <w:t>高</w:t>
      </w:r>
      <w:r>
        <w:rPr>
          <w:rFonts w:hint="eastAsia" w:ascii="仿宋_GB2312" w:hAnsi="仿宋_GB2312" w:eastAsia="仿宋_GB2312" w:cs="仿宋_GB2312"/>
          <w:color w:val="000000"/>
          <w:sz w:val="32"/>
          <w:szCs w:val="32"/>
        </w:rPr>
        <w:t>频次开展走访调研，了解村情民意；根据村情选定村级产业，做实集体经济组织；加大环境整治力度，提升村容村貌；拓宽村民就业渠道，巩固脱贫成果；拉近干群关系，多办实事</w:t>
      </w:r>
      <w:r>
        <w:rPr>
          <w:color w:val="000000"/>
        </w:rPr>
        <w:t>。</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360" w:lineRule="auto"/>
        <w:ind w:left="240" w:leftChars="100" w:firstLine="240" w:firstLineChars="100"/>
      </w:pPr>
      <w:r>
        <w:drawing>
          <wp:inline distT="0" distB="0" distL="114300" distR="114300">
            <wp:extent cx="4748530" cy="2889250"/>
            <wp:effectExtent l="0" t="0" r="13970" b="6350"/>
            <wp:docPr id="7" name="Picutre 7"/>
            <wp:cNvGraphicFramePr/>
            <a:graphic xmlns:a="http://schemas.openxmlformats.org/drawingml/2006/main">
              <a:graphicData uri="http://schemas.openxmlformats.org/drawingml/2006/picture">
                <pic:pic xmlns:pic="http://schemas.openxmlformats.org/drawingml/2006/picture">
                  <pic:nvPicPr>
                    <pic:cNvPr id="7" name="Picutre 7"/>
                    <pic:cNvPicPr/>
                  </pic:nvPicPr>
                  <pic:blipFill>
                    <a:blip r:embed="rId12"/>
                    <a:stretch>
                      <a:fillRect/>
                    </a:stretch>
                  </pic:blipFill>
                  <pic:spPr>
                    <a:xfrm>
                      <a:off x="0" y="0"/>
                      <a:ext cx="4748530" cy="2889250"/>
                    </a:xfrm>
                    <a:prstGeom prst="rect">
                      <a:avLst/>
                    </a:prstGeom>
                  </pic:spPr>
                </pic:pic>
              </a:graphicData>
            </a:graphic>
          </wp:inline>
        </w:drawing>
      </w:r>
    </w:p>
    <w:p>
      <w:pPr>
        <w:spacing w:line="360" w:lineRule="auto"/>
        <w:ind w:left="240" w:leftChars="100" w:firstLine="320" w:firstLineChars="100"/>
        <w:rPr>
          <w:rFonts w:ascii="仿宋" w:hAnsi="仿宋" w:eastAsia="仿宋" w:cs="仿宋"/>
          <w:sz w:val="32"/>
          <w:szCs w:val="32"/>
        </w:rPr>
      </w:pPr>
      <w:r>
        <w:rPr>
          <w:rFonts w:hint="eastAsia" w:ascii="仿宋" w:hAnsi="仿宋" w:eastAsia="仿宋" w:cs="仿宋"/>
          <w:sz w:val="32"/>
          <w:szCs w:val="32"/>
        </w:rPr>
        <w:t>截止2022年底，本单位人员编制5人，其中行政编制0人、事业编制5人；实有人员5人，其中行政0人、事业5人。单位管理的离退休人员0人。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71万元，其中一般公共预算拨款收入71万元、政府性基金拨款收入0万元，2023年本单位预算收入较上年增加2.1万元，主要原因是人员工资调整；2023年本单位预算支出71万元，其中一般公共预算拨款支出71万元、政府性基金拨款支出0万元，2023年本单位预算支出较上年增加2.1万元，主要原因是人员工资调整。</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71万元，其中一般公共预算拨款收入71万元、政府性基金拨款收入0万元，2023年本单位财政拨款收入较上年增加2.1万元，主要原因是人员工资调整；2023年本单位财政拨款支出71万元，其中一般公共预算拨款支出71万元、政府性基金拨款支出0万元，2023年本单位财政拨款支出较上年增加2.1万元，主要原因是人员工资调整。</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一般公共预算当年拨款规模变化情况。</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2023年本单位当年一般公共预算拨款支出71万元，较上年增加2.1万元，主要原因是人员工资调整。</w:t>
      </w:r>
    </w:p>
    <w:p>
      <w:pPr>
        <w:numPr>
          <w:ilvl w:val="0"/>
          <w:numId w:val="3"/>
        </w:num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支出按功能科目分类的明细情况。</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行政运行（2050599）</w:t>
      </w:r>
      <w:r>
        <w:rPr>
          <w:rFonts w:hint="eastAsia" w:ascii="仿宋_GB2312" w:hAnsi="仿宋_GB2312" w:eastAsia="仿宋_GB2312" w:cs="仿宋_GB2312"/>
          <w:sz w:val="32"/>
          <w:szCs w:val="32"/>
        </w:rPr>
        <w:t>57.22万元，较上年增加1.7万元，原因是有人员调入和工资调整；</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（2）机关事业单位基本养老保险缴费（2080505）支出6.18万元，较上年增加0.28万元，原因是当年人员工资调整；</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（3）事业单位医疗（2101102）3.03万元，较上年增加0.17万元，原因是有人员调入和工资调整；</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（4）住房公积金支出（2210201）4.57万元，较上年增加1.71万元，原因是当年人员工资调整。</w:t>
      </w:r>
    </w:p>
    <w:p>
      <w:pPr>
        <w:spacing w:line="360" w:lineRule="auto"/>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支出按经济科目分类的明细情况。</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（1）按照单位预算支出经济分类的类级科目说明。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2023年本单位当年一般公共预算支出71万元，其中：</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工资福利支出（301）53.8万元，较上年增加2.1万元，原因是人员工资调整；</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对个人和家庭的补助支出（303）0.42万元，较上年增加0万元，原因是当年遗属人员人数和补助标准没有发生变化；</w:t>
      </w:r>
    </w:p>
    <w:p>
      <w:pPr>
        <w:numPr>
          <w:ilvl w:val="0"/>
          <w:numId w:val="4"/>
        </w:num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按照政府预算支出经济分类的类级科目说明。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2023年本单位当年一般公共预算支出71万元，其中：</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机关工资福利支出（501）53.8万元，较上年增加2.1万元，原因是当年人员工资调整；</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对事业单位经常性补助（505）0.42万元，较上年增加0万元，原因是当年遗属人员人数和补助标准没有发生变化；</w:t>
      </w:r>
    </w:p>
    <w:p>
      <w:pPr>
        <w:spacing w:line="360" w:lineRule="auto"/>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rPr>
        <w:t>2022年结转财政资金一般公共预算拨款支出情况。</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本单位无2022年结转的一般公共预算拨款资金支出。</w:t>
      </w:r>
    </w:p>
    <w:p>
      <w:pPr>
        <w:numPr>
          <w:ilvl w:val="0"/>
          <w:numId w:val="5"/>
        </w:numPr>
        <w:spacing w:line="360" w:lineRule="auto"/>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政府性基金预算支出情况。</w:t>
      </w:r>
    </w:p>
    <w:p>
      <w:pPr>
        <w:numPr>
          <w:ilvl w:val="0"/>
          <w:numId w:val="6"/>
        </w:numPr>
        <w:spacing w:line="360" w:lineRule="auto"/>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当年政府性基金预算支出情况。</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本单位无当年政府性基金预算收支，并已公开空表。</w:t>
      </w:r>
    </w:p>
    <w:p>
      <w:pPr>
        <w:numPr>
          <w:ilvl w:val="0"/>
          <w:numId w:val="6"/>
        </w:numPr>
        <w:spacing w:line="360" w:lineRule="auto"/>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上年结转政府性基金预算支出情况。</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本单位无2022年结转的政府性基金预算拨款支出。</w:t>
      </w:r>
    </w:p>
    <w:p>
      <w:pPr>
        <w:numPr>
          <w:ilvl w:val="0"/>
          <w:numId w:val="5"/>
        </w:numPr>
        <w:spacing w:line="360" w:lineRule="auto"/>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国有资本经营预算拨款收支情况。</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本单位无当年国有资本经营预算拨款收支，并在财政拨款收支总体情况表中列示。</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本单位无2022年结转的国有资本经营预算拨款支出。</w:t>
      </w:r>
    </w:p>
    <w:p>
      <w:pPr>
        <w:spacing w:line="360" w:lineRule="auto"/>
        <w:ind w:firstLine="643"/>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第三部分其他说明情况</w:t>
      </w:r>
    </w:p>
    <w:p>
      <w:pPr>
        <w:spacing w:line="360" w:lineRule="auto"/>
        <w:ind w:firstLine="964" w:firstLineChars="3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五、单位预算“三公”经费等预算情况说明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（1）2023年本单位当年一般公共预算“三公”经费预算支出0万元，较上年增加0万元。其中：因公出国（境）经费0万元，较上年增加0万元；公务接待费0万元，较上年增加0万元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公务用车运行费0万元，较上年增加）0万元；公务用车购置费0万元，较上年增加0万元。</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（2）2023年本单位当年会议费预算支出万元，较上年增加0万元。培训费0万元，较上年增加0万元。</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本单位无2022年结转的财政拨款‘三公’经费和会议费、培训费支出。</w:t>
      </w:r>
    </w:p>
    <w:p>
      <w:pPr>
        <w:spacing w:line="360" w:lineRule="auto"/>
        <w:ind w:firstLine="964" w:firstLineChars="3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六、单位国有资产占有使用及资产购置情况说明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截止2022年底，本单位所属预算单位共有车辆0辆，单价20万元以上的设备0台（套）。2023年当年单位预算安排购置车辆0辆；安排购置单价20万元以上的设备0台（套）。</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本单位无2022年结转的财政拨款支出资产购置。</w:t>
      </w:r>
    </w:p>
    <w:p>
      <w:pPr>
        <w:pStyle w:val="6"/>
        <w:numPr>
          <w:ilvl w:val="0"/>
          <w:numId w:val="7"/>
        </w:numPr>
        <w:spacing w:line="360" w:lineRule="auto"/>
        <w:ind w:firstLine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单位政府采购情况说明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本单位2023年无政府采购预算，并已公开空表。</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本单位无2022年结转的政府采购资金支出。</w:t>
      </w:r>
    </w:p>
    <w:p>
      <w:pPr>
        <w:spacing w:line="360" w:lineRule="auto"/>
        <w:ind w:firstLine="964" w:firstLineChars="3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八、单位预算绩效目标说明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2023年本单位绩效目标管理全覆盖，涉及当年一般公共预算拨款71万元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当年政府性基金预算拨款0万元，当年国有资本经营预算拨款0万元（详见公开报表中的绩效目标表）。</w:t>
      </w:r>
    </w:p>
    <w:p>
      <w:pPr>
        <w:spacing w:line="6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本单位无2022年结转的财政拨款支出涉及的绩效目标管理。</w:t>
      </w:r>
    </w:p>
    <w:p>
      <w:pPr>
        <w:spacing w:line="360" w:lineRule="auto"/>
        <w:ind w:firstLine="964" w:firstLineChars="3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九、机关运行经费安排说明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本单位当年机关运行经费预算安排1.78万元，较上年持平。</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本单位无2022年结转的财政拨款机关运行经费支出。</w:t>
      </w:r>
    </w:p>
    <w:p>
      <w:pPr>
        <w:spacing w:line="360" w:lineRule="auto"/>
        <w:ind w:firstLine="964" w:firstLineChars="3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十、专业名词解释</w:t>
      </w:r>
    </w:p>
    <w:p>
      <w:pPr>
        <w:spacing w:line="360" w:lineRule="auto"/>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两个及两个以上，必须有，机关运行经费默认为第1个名词解释，其他专业名词解释可由单位根据业务内容等自行选择。</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2.“三公”经费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360" w:lineRule="auto"/>
        <w:ind w:firstLine="643"/>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第四部分公开报表</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（详见附表）</w:t>
      </w:r>
      <w:r>
        <w:rPr>
          <w:rFonts w:hint="eastAsia" w:ascii="仿宋_GB2312" w:hAnsi="仿宋_GB2312" w:eastAsia="仿宋_GB2312" w:cs="仿宋_GB2312"/>
          <w:sz w:val="32"/>
          <w:szCs w:val="32"/>
        </w:rPr>
        <w:tab/>
      </w:r>
    </w:p>
    <w:p>
      <w:pPr>
        <w:spacing w:line="360" w:lineRule="auto"/>
        <w:ind w:left="6238" w:leftChars="1729" w:hanging="2088" w:hangingChars="650"/>
        <w:rPr>
          <w:rFonts w:ascii="仿宋" w:hAnsi="仿宋" w:eastAsia="仿宋" w:cs="仿宋"/>
          <w:b/>
          <w:bCs/>
          <w:sz w:val="32"/>
          <w:szCs w:val="32"/>
        </w:rPr>
      </w:pPr>
      <w:r>
        <w:rPr>
          <w:rFonts w:hint="eastAsia" w:ascii="仿宋" w:hAnsi="仿宋" w:eastAsia="仿宋" w:cs="仿宋"/>
          <w:b/>
          <w:bCs/>
          <w:sz w:val="32"/>
          <w:szCs w:val="32"/>
        </w:rPr>
        <w:t xml:space="preserve">紫阳县电化教育中心           </w:t>
      </w:r>
    </w:p>
    <w:p>
      <w:pPr>
        <w:spacing w:line="360" w:lineRule="auto"/>
        <w:ind w:left="6236" w:leftChars="1862" w:hanging="1767" w:hangingChars="550"/>
        <w:rPr>
          <w:rFonts w:ascii="仿宋" w:hAnsi="仿宋" w:eastAsia="仿宋" w:cs="仿宋"/>
          <w:b/>
          <w:bCs/>
          <w:sz w:val="32"/>
          <w:szCs w:val="32"/>
        </w:rPr>
      </w:pPr>
      <w:r>
        <w:rPr>
          <w:rFonts w:hint="eastAsia" w:ascii="仿宋" w:hAnsi="仿宋" w:eastAsia="仿宋" w:cs="仿宋"/>
          <w:b/>
          <w:bCs/>
          <w:sz w:val="32"/>
          <w:szCs w:val="32"/>
        </w:rPr>
        <w:t>2023年3月17日</w:t>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CF092B84"/>
    <w:multiLevelType w:val="singleLevel"/>
    <w:tmpl w:val="CF092B84"/>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lvl>
  </w:abstractNum>
  <w:abstractNum w:abstractNumId="2">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3">
    <w:nsid w:val="02686215"/>
    <w:multiLevelType w:val="singleLevel"/>
    <w:tmpl w:val="02686215"/>
    <w:lvl w:ilvl="0" w:tentative="0">
      <w:start w:val="2"/>
      <w:numFmt w:val="decimal"/>
      <w:suff w:val="nothing"/>
      <w:lvlText w:val="%1、"/>
      <w:lvlJc w:val="left"/>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4FA0671B"/>
    <w:multiLevelType w:val="multilevel"/>
    <w:tmpl w:val="4FA0671B"/>
    <w:lvl w:ilvl="0" w:tentative="0">
      <w:start w:val="7"/>
      <w:numFmt w:val="japaneseCounting"/>
      <w:lvlText w:val="%1、"/>
      <w:lvlJc w:val="left"/>
      <w:pPr>
        <w:ind w:left="1041" w:hanging="720"/>
      </w:pPr>
      <w:rPr>
        <w:rFonts w:hint="default"/>
      </w:r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6">
    <w:nsid w:val="5D0214CA"/>
    <w:multiLevelType w:val="singleLevel"/>
    <w:tmpl w:val="5D0214CA"/>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zQxNTkyMTU5YzU5OGVlMGRlMDk4NTA5YzZkZmMifQ=="/>
  </w:docVars>
  <w:rsids>
    <w:rsidRoot w:val="1ED0381D"/>
    <w:rsid w:val="00772C10"/>
    <w:rsid w:val="00BF7318"/>
    <w:rsid w:val="00D70262"/>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4501F6"/>
    <w:rsid w:val="147F7E6C"/>
    <w:rsid w:val="14C85364"/>
    <w:rsid w:val="14FA613E"/>
    <w:rsid w:val="15053ED9"/>
    <w:rsid w:val="15BA67E3"/>
    <w:rsid w:val="15EB6487"/>
    <w:rsid w:val="166918D6"/>
    <w:rsid w:val="176724C1"/>
    <w:rsid w:val="181004E1"/>
    <w:rsid w:val="18AF7F70"/>
    <w:rsid w:val="1A431FF4"/>
    <w:rsid w:val="1B746107"/>
    <w:rsid w:val="1CD64124"/>
    <w:rsid w:val="1D605973"/>
    <w:rsid w:val="1E0072C5"/>
    <w:rsid w:val="1E1E7AD2"/>
    <w:rsid w:val="1ED0381D"/>
    <w:rsid w:val="20FE50B8"/>
    <w:rsid w:val="210F400E"/>
    <w:rsid w:val="22515D67"/>
    <w:rsid w:val="229A281A"/>
    <w:rsid w:val="233F08D2"/>
    <w:rsid w:val="2383657E"/>
    <w:rsid w:val="23F45765"/>
    <w:rsid w:val="242E73FF"/>
    <w:rsid w:val="246C5345"/>
    <w:rsid w:val="24AB40AF"/>
    <w:rsid w:val="24FC6952"/>
    <w:rsid w:val="25D04EA0"/>
    <w:rsid w:val="26CC76FD"/>
    <w:rsid w:val="26D03AAE"/>
    <w:rsid w:val="272308AF"/>
    <w:rsid w:val="28064C78"/>
    <w:rsid w:val="2864072E"/>
    <w:rsid w:val="2A3E38E1"/>
    <w:rsid w:val="2BF2458F"/>
    <w:rsid w:val="2F3B562F"/>
    <w:rsid w:val="2FC8494E"/>
    <w:rsid w:val="314B37FB"/>
    <w:rsid w:val="31B733F7"/>
    <w:rsid w:val="385D1A98"/>
    <w:rsid w:val="38DA6B51"/>
    <w:rsid w:val="38F70388"/>
    <w:rsid w:val="3A4434B4"/>
    <w:rsid w:val="3B055E9C"/>
    <w:rsid w:val="3C6B1F08"/>
    <w:rsid w:val="3D28036F"/>
    <w:rsid w:val="3D8407DF"/>
    <w:rsid w:val="3DFF32ED"/>
    <w:rsid w:val="3F503091"/>
    <w:rsid w:val="4008265B"/>
    <w:rsid w:val="41851E44"/>
    <w:rsid w:val="420B5D06"/>
    <w:rsid w:val="4248700C"/>
    <w:rsid w:val="42FD246D"/>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A6E4C7A"/>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8F29EC"/>
    <w:rsid w:val="6DBE3A60"/>
    <w:rsid w:val="6E8A04A9"/>
    <w:rsid w:val="6F3075D5"/>
    <w:rsid w:val="6F5403ED"/>
    <w:rsid w:val="71A236EE"/>
    <w:rsid w:val="73843559"/>
    <w:rsid w:val="75AC088F"/>
    <w:rsid w:val="76590D5F"/>
    <w:rsid w:val="77AD3FB4"/>
    <w:rsid w:val="77DF5707"/>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unhideWhenUsed/>
    <w:qFormat/>
    <w:uiPriority w:val="99"/>
    <w:pPr>
      <w:ind w:firstLine="420"/>
    </w:pPr>
  </w:style>
  <w:style w:type="paragraph" w:customStyle="1" w:styleId="7">
    <w:name w:val="Body text|1"/>
    <w:basedOn w:val="1"/>
    <w:qFormat/>
    <w:uiPriority w:val="0"/>
    <w:pPr>
      <w:spacing w:line="379" w:lineRule="auto"/>
      <w:ind w:firstLine="400"/>
    </w:pPr>
    <w:rPr>
      <w:rFonts w:ascii="宋体" w:hAnsi="宋体" w:cs="宋体"/>
      <w:sz w:val="30"/>
      <w:szCs w:val="30"/>
      <w:lang w:val="zh-TW" w:eastAsia="zh-TW" w:bidi="zh-TW"/>
    </w:rPr>
  </w:style>
  <w:style w:type="paragraph" w:customStyle="1" w:styleId="8">
    <w:name w:val="Heading #2|1"/>
    <w:basedOn w:val="1"/>
    <w:qFormat/>
    <w:uiPriority w:val="0"/>
    <w:pPr>
      <w:spacing w:line="539" w:lineRule="exact"/>
      <w:ind w:firstLine="610"/>
      <w:outlineLvl w:val="1"/>
    </w:pPr>
    <w:rPr>
      <w:rFonts w:ascii="宋体" w:hAnsi="宋体" w:cs="宋体"/>
      <w:b/>
      <w:bCs/>
      <w:sz w:val="30"/>
      <w:szCs w:val="30"/>
      <w:lang w:val="zh-TW" w:eastAsia="zh-TW" w:bidi="zh-TW"/>
    </w:rPr>
  </w:style>
  <w:style w:type="character" w:customStyle="1" w:styleId="9">
    <w:name w:val="页眉 字符"/>
    <w:basedOn w:val="5"/>
    <w:link w:val="3"/>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4341</Words>
  <Characters>4570</Characters>
  <Lines>33</Lines>
  <Paragraphs>9</Paragraphs>
  <TotalTime>6</TotalTime>
  <ScaleCrop>false</ScaleCrop>
  <LinksUpToDate>false</LinksUpToDate>
  <CharactersWithSpaces>4600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 ┃Ｍ.onk°</cp:lastModifiedBy>
  <cp:lastPrinted>2020-08-03T08:28:00Z</cp:lastPrinted>
  <dcterms:modified xsi:type="dcterms:W3CDTF">2023-10-20T09:38:48Z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CAF4C4EA64404B83B4E6BE0114410B71</vt:lpwstr>
  </property>
</Properties>
</file>