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textAlignment w:val="auto"/>
        <w:rPr>
          <w:rFonts w:hint="eastAsia" w:asciiTheme="minorEastAsia" w:hAnsiTheme="minorEastAsia" w:eastAsiaTheme="minorEastAsia" w:cstheme="minorEastAsia"/>
          <w:kern w:val="0"/>
          <w:sz w:val="28"/>
          <w:szCs w:val="28"/>
          <w:lang w:val="en-US" w:eastAsia="zh-CN" w:bidi="ar-SA"/>
        </w:rPr>
      </w:pPr>
    </w:p>
    <w:p>
      <w:pPr>
        <w:bidi w:val="0"/>
        <w:rPr>
          <w:rFonts w:hint="eastAsia" w:ascii="黑体" w:hAnsi="黑体" w:eastAsia="黑体" w:cs="黑体"/>
          <w:b/>
          <w:bCs/>
          <w:sz w:val="36"/>
          <w:szCs w:val="36"/>
          <w:lang w:val="en-US" w:eastAsia="zh-CN"/>
        </w:rPr>
      </w:pPr>
      <w:bookmarkStart w:id="0" w:name="_Toc17240"/>
      <w:r>
        <w:rPr>
          <w:rFonts w:hint="eastAsia" w:ascii="黑体" w:hAnsi="黑体" w:eastAsia="黑体" w:cs="黑体"/>
          <w:b/>
          <w:bCs/>
          <w:sz w:val="36"/>
          <w:szCs w:val="36"/>
          <w:lang w:val="en-US" w:eastAsia="zh-CN"/>
        </w:rPr>
        <w:t>《紫阳县“十四五”数字经济发展规划》（2021-2025年）</w:t>
      </w:r>
      <w:bookmarkEnd w:id="0"/>
    </w:p>
    <w:p>
      <w:pPr>
        <w:bidi w:val="0"/>
        <w:jc w:val="center"/>
        <w:rPr>
          <w:rFonts w:hint="eastAsia" w:ascii="黑体" w:hAnsi="黑体" w:eastAsia="黑体" w:cs="黑体"/>
          <w:b/>
          <w:bCs/>
          <w:sz w:val="36"/>
          <w:szCs w:val="36"/>
          <w:lang w:val="en-US" w:eastAsia="zh-CN"/>
        </w:rPr>
      </w:pPr>
      <w:bookmarkStart w:id="1" w:name="_Toc8669"/>
      <w:r>
        <w:rPr>
          <w:rFonts w:hint="eastAsia" w:ascii="黑体" w:hAnsi="黑体" w:eastAsia="黑体" w:cs="黑体"/>
          <w:b/>
          <w:bCs/>
          <w:sz w:val="36"/>
          <w:szCs w:val="36"/>
          <w:lang w:val="en-US" w:eastAsia="zh-CN"/>
        </w:rPr>
        <w:t>（征求意见稿）</w:t>
      </w:r>
      <w:bookmarkEnd w:id="1"/>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both"/>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firstLine="560"/>
        <w:jc w:val="center"/>
        <w:textAlignment w:val="auto"/>
        <w:rPr>
          <w:rFonts w:hint="eastAsia" w:asciiTheme="minorEastAsia" w:hAnsiTheme="minorEastAsia" w:eastAsiaTheme="minorEastAsia" w:cstheme="minorEastAsia"/>
          <w:b/>
          <w:bCs/>
          <w:kern w:val="0"/>
          <w:sz w:val="36"/>
          <w:szCs w:val="36"/>
          <w:lang w:val="en-US" w:eastAsia="zh-CN" w:bidi="ar-SA"/>
        </w:rPr>
      </w:pPr>
      <w:r>
        <w:rPr>
          <w:rFonts w:hint="eastAsia" w:ascii="黑体" w:hAnsi="黑体" w:eastAsia="黑体" w:cs="黑体"/>
          <w:b/>
          <w:bCs/>
          <w:color w:val="auto"/>
          <w:kern w:val="0"/>
          <w:sz w:val="36"/>
          <w:szCs w:val="36"/>
          <w:lang w:val="en-US" w:eastAsia="zh-CN" w:bidi="ar-SA"/>
        </w:rPr>
        <w:t>中共紫阳县委网络安全和信息化委员会办公室</w:t>
      </w: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jc w:val="center"/>
        <w:textAlignment w:val="auto"/>
        <w:rPr>
          <w:rFonts w:hint="eastAsia" w:ascii="黑体" w:hAnsi="黑体" w:eastAsia="黑体" w:cs="黑体"/>
          <w:b/>
          <w:bCs/>
          <w:color w:val="auto"/>
          <w:kern w:val="0"/>
          <w:sz w:val="36"/>
          <w:szCs w:val="36"/>
          <w:lang w:val="en-US" w:eastAsia="zh-CN" w:bidi="ar-SA"/>
        </w:rPr>
      </w:pPr>
      <w:r>
        <w:rPr>
          <w:rFonts w:hint="eastAsia" w:ascii="黑体" w:hAnsi="黑体" w:eastAsia="黑体" w:cs="黑体"/>
          <w:b/>
          <w:bCs/>
          <w:color w:val="auto"/>
          <w:kern w:val="0"/>
          <w:sz w:val="36"/>
          <w:szCs w:val="36"/>
          <w:lang w:val="en-US" w:eastAsia="zh-CN" w:bidi="ar-SA"/>
        </w:rPr>
        <w:t>紫阳县发展和改革局</w:t>
      </w: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jc w:val="center"/>
        <w:textAlignment w:val="auto"/>
        <w:rPr>
          <w:rFonts w:hint="eastAsia" w:asciiTheme="minorEastAsia" w:hAnsiTheme="minorEastAsia" w:eastAsiaTheme="minorEastAsia" w:cstheme="minorEastAsia"/>
          <w:b/>
          <w:bCs/>
          <w:color w:val="FF0000"/>
          <w:kern w:val="0"/>
          <w:sz w:val="36"/>
          <w:szCs w:val="36"/>
          <w:lang w:val="en-US" w:eastAsia="zh-CN" w:bidi="ar-SA"/>
        </w:rPr>
      </w:pPr>
      <w:r>
        <w:rPr>
          <w:rFonts w:hint="eastAsia" w:ascii="黑体" w:hAnsi="黑体" w:eastAsia="黑体" w:cs="黑体"/>
          <w:b/>
          <w:bCs/>
          <w:color w:val="auto"/>
          <w:kern w:val="0"/>
          <w:sz w:val="36"/>
          <w:szCs w:val="36"/>
          <w:lang w:val="en-US" w:eastAsia="zh-CN" w:bidi="ar-SA"/>
        </w:rPr>
        <w:t>陕西飞腾工程咨询设计有限公司</w:t>
      </w: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jc w:val="center"/>
        <w:textAlignment w:val="auto"/>
        <w:rPr>
          <w:rFonts w:hint="eastAsia" w:asciiTheme="minorEastAsia" w:hAnsiTheme="minorEastAsia" w:eastAsiaTheme="minorEastAsia" w:cstheme="minorEastAsia"/>
          <w:kern w:val="0"/>
          <w:sz w:val="28"/>
          <w:szCs w:val="28"/>
          <w:lang w:val="en-US" w:eastAsia="zh-CN" w:bidi="ar-SA"/>
        </w:rPr>
      </w:pP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jc w:val="center"/>
        <w:textAlignment w:val="auto"/>
        <w:rPr>
          <w:rFonts w:hint="eastAsia" w:ascii="黑体" w:hAnsi="黑体" w:eastAsia="黑体" w:cs="黑体"/>
          <w:b/>
          <w:bCs/>
          <w:kern w:val="0"/>
          <w:sz w:val="44"/>
          <w:szCs w:val="44"/>
          <w:lang w:val="en-US" w:eastAsia="zh-CN" w:bidi="ar-SA"/>
        </w:rPr>
      </w:pPr>
      <w:r>
        <w:rPr>
          <w:rFonts w:hint="eastAsia" w:ascii="黑体" w:hAnsi="黑体" w:eastAsia="黑体" w:cs="黑体"/>
          <w:b/>
          <w:bCs/>
          <w:kern w:val="0"/>
          <w:sz w:val="32"/>
          <w:szCs w:val="32"/>
          <w:lang w:val="en-US" w:eastAsia="zh-CN" w:bidi="ar-SA"/>
        </w:rPr>
        <w:t>2021年3月</w:t>
      </w:r>
    </w:p>
    <w:p>
      <w:pPr>
        <w:pStyle w:val="7"/>
        <w:pageBreakBefore w:val="0"/>
        <w:widowControl w:val="0"/>
        <w:kinsoku/>
        <w:wordWrap/>
        <w:overflowPunct/>
        <w:topLinePunct w:val="0"/>
        <w:autoSpaceDE/>
        <w:autoSpaceDN/>
        <w:bidi w:val="0"/>
        <w:adjustRightInd/>
        <w:snapToGrid/>
        <w:spacing w:before="80" w:after="0" w:line="360" w:lineRule="auto"/>
        <w:ind w:left="0" w:leftChars="0" w:firstLine="0" w:firstLineChars="0"/>
        <w:jc w:val="center"/>
        <w:textAlignment w:val="auto"/>
        <w:rPr>
          <w:rFonts w:hint="eastAsia" w:asciiTheme="minorEastAsia" w:hAnsiTheme="minorEastAsia" w:eastAsiaTheme="minorEastAsia" w:cstheme="minorEastAsia"/>
          <w:kern w:val="0"/>
          <w:sz w:val="28"/>
          <w:szCs w:val="28"/>
          <w:lang w:val="en-US" w:eastAsia="zh-CN" w:bidi="ar-SA"/>
        </w:rPr>
        <w:sectPr>
          <w:headerReference r:id="rId5" w:type="first"/>
          <w:footerReference r:id="rId6" w:type="first"/>
          <w:head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0"/>
          <w:cols w:space="425" w:num="1"/>
          <w:docGrid w:type="lines" w:linePitch="312" w:charSpace="0"/>
        </w:sectPr>
      </w:pPr>
    </w:p>
    <w:p>
      <w:pPr>
        <w:pStyle w:val="11"/>
        <w:keepNext w:val="0"/>
        <w:keepLines w:val="0"/>
        <w:pageBreakBefore w:val="0"/>
        <w:widowControl/>
        <w:tabs>
          <w:tab w:val="right" w:leader="dot" w:pos="9638"/>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cs="黑体"/>
          <w:sz w:val="32"/>
          <w:szCs w:val="32"/>
          <w:lang w:val="en-US" w:eastAsia="zh-CN"/>
        </w:rPr>
      </w:pPr>
      <w:bookmarkStart w:id="2" w:name="_Toc4214"/>
      <w:r>
        <w:rPr>
          <w:rFonts w:hint="eastAsia" w:ascii="黑体" w:hAnsi="黑体" w:eastAsia="黑体" w:cs="黑体"/>
          <w:sz w:val="30"/>
          <w:szCs w:val="30"/>
          <w:lang w:val="en-US" w:eastAsia="zh-CN"/>
        </w:rPr>
        <w:t>目</w:t>
      </w:r>
      <w:r>
        <w:rPr>
          <w:rFonts w:hint="eastAsia" w:ascii="黑体" w:hAnsi="黑体" w:cs="黑体"/>
          <w:sz w:val="30"/>
          <w:szCs w:val="30"/>
          <w:lang w:val="en-US" w:eastAsia="zh-CN"/>
        </w:rPr>
        <w:t xml:space="preserve">     </w:t>
      </w:r>
      <w:r>
        <w:rPr>
          <w:rFonts w:hint="eastAsia" w:ascii="黑体" w:hAnsi="黑体" w:eastAsia="黑体" w:cs="黑体"/>
          <w:sz w:val="30"/>
          <w:szCs w:val="30"/>
          <w:lang w:val="en-US" w:eastAsia="zh-CN"/>
        </w:rPr>
        <w:t>录</w:t>
      </w:r>
      <w:bookmarkEnd w:id="2"/>
    </w:p>
    <w:p>
      <w:pPr>
        <w:pStyle w:val="16"/>
        <w:tabs>
          <w:tab w:val="right" w:leader="dot" w:pos="9638"/>
        </w:tabs>
        <w:rPr>
          <w:rFonts w:hint="eastAsia" w:ascii="黑体" w:hAnsi="黑体" w:eastAsia="黑体" w:cs="黑体"/>
          <w:sz w:val="21"/>
          <w:szCs w:val="21"/>
        </w:rPr>
      </w:pPr>
      <w:r>
        <w:rPr>
          <w:rFonts w:hint="eastAsia" w:ascii="黑体" w:hAnsi="黑体" w:eastAsia="黑体" w:cs="黑体"/>
          <w:b/>
          <w:bCs/>
          <w:sz w:val="24"/>
          <w:szCs w:val="24"/>
          <w:lang w:val="en-US" w:eastAsia="zh-CN"/>
        </w:rPr>
        <w:fldChar w:fldCharType="begin"/>
      </w:r>
      <w:r>
        <w:rPr>
          <w:rFonts w:hint="eastAsia" w:ascii="黑体" w:hAnsi="黑体" w:eastAsia="黑体" w:cs="黑体"/>
          <w:b/>
          <w:bCs/>
          <w:sz w:val="24"/>
          <w:szCs w:val="24"/>
          <w:lang w:val="en-US" w:eastAsia="zh-CN"/>
        </w:rPr>
        <w:instrText xml:space="preserve">TOC \o "1-3" \h \u </w:instrText>
      </w:r>
      <w:r>
        <w:rPr>
          <w:rFonts w:hint="eastAsia" w:ascii="黑体" w:hAnsi="黑体" w:eastAsia="黑体" w:cs="黑体"/>
          <w:b/>
          <w:bCs/>
          <w:sz w:val="24"/>
          <w:szCs w:val="24"/>
          <w:lang w:val="en-US" w:eastAsia="zh-CN"/>
        </w:rPr>
        <w:fldChar w:fldCharType="separate"/>
      </w: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_Toc18316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序    言</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_Toc18316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_Toc26176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第一章 紫阳县基本县情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_Toc26176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_Toc6376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第二章 发展基础与面临的形势</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_Toc6376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_Toc29080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2.1发展基础</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_Toc29080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_Toc32446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2.2问题挑战</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_Toc32446 \h </w:instrText>
      </w:r>
      <w:r>
        <w:rPr>
          <w:rFonts w:hint="eastAsia" w:ascii="黑体" w:hAnsi="黑体" w:eastAsia="黑体" w:cs="黑体"/>
          <w:sz w:val="21"/>
          <w:szCs w:val="21"/>
        </w:rPr>
        <w:fldChar w:fldCharType="separate"/>
      </w:r>
      <w:r>
        <w:rPr>
          <w:rFonts w:hint="eastAsia" w:ascii="黑体" w:hAnsi="黑体" w:eastAsia="黑体" w:cs="黑体"/>
          <w:sz w:val="21"/>
          <w:szCs w:val="21"/>
        </w:rPr>
        <w:t>12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_Toc5658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2.3 面临形势</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_Toc5658 \h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_Toc17999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第三章 总体要求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_Toc17999 \h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_Toc31429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3.1发展思路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_Toc31429 \h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_Toc22102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3.2基本原则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_Toc22102 \h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_Toc16441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3.3发展定位</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_Toc16441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_Toc5754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3.4发展目标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_Toc5754 \h </w:instrText>
      </w:r>
      <w:r>
        <w:rPr>
          <w:rFonts w:hint="eastAsia" w:ascii="黑体" w:hAnsi="黑体" w:eastAsia="黑体" w:cs="黑体"/>
          <w:sz w:val="21"/>
          <w:szCs w:val="21"/>
        </w:rPr>
        <w:fldChar w:fldCharType="separate"/>
      </w:r>
      <w:r>
        <w:rPr>
          <w:rFonts w:hint="eastAsia" w:ascii="黑体" w:hAnsi="黑体" w:eastAsia="黑体" w:cs="黑体"/>
          <w:sz w:val="21"/>
          <w:szCs w:val="21"/>
        </w:rPr>
        <w:t>17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_Toc28499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第四章 统筹构建数字经济发展布局</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_Toc28499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_Toc26481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4.1打造全县数字经济“核心区”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_Toc26481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_Toc3972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4.2统筹县域数字经济“发展带”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_Toc3972 \h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_Toc29691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4.3推动引导“多点”融合创新</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_Toc29691 \h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_Toc18102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第五章 推进数字基础设施建设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_Toc18102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_Toc19345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5.1完善信息网络基础设施建设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_Toc19345 \h </w:instrText>
      </w:r>
      <w:r>
        <w:rPr>
          <w:rFonts w:hint="eastAsia" w:ascii="黑体" w:hAnsi="黑体" w:eastAsia="黑体" w:cs="黑体"/>
          <w:sz w:val="21"/>
          <w:szCs w:val="21"/>
        </w:rPr>
        <w:fldChar w:fldCharType="separate"/>
      </w:r>
      <w:r>
        <w:rPr>
          <w:rFonts w:hint="eastAsia"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_Toc3462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5.2统筹布局全县传感物联体系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_Toc3462 \h </w:instrText>
      </w:r>
      <w:r>
        <w:rPr>
          <w:rFonts w:hint="eastAsia" w:ascii="黑体" w:hAnsi="黑体" w:eastAsia="黑体" w:cs="黑体"/>
          <w:sz w:val="21"/>
          <w:szCs w:val="21"/>
        </w:rPr>
        <w:fldChar w:fldCharType="separate"/>
      </w:r>
      <w:r>
        <w:rPr>
          <w:rFonts w:hint="eastAsia"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_Toc16136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5.3着力提升数字技术支撑能力</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_Toc16136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_Toc32048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kern w:val="0"/>
          <w:sz w:val="21"/>
          <w:szCs w:val="21"/>
          <w:lang w:val="en-US" w:eastAsia="zh-CN"/>
        </w:rPr>
        <w:t>5.4统筹规划全县数据中心建设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_Toc32048 \h </w:instrText>
      </w:r>
      <w:r>
        <w:rPr>
          <w:rFonts w:hint="eastAsia" w:ascii="黑体" w:hAnsi="黑体" w:eastAsia="黑体" w:cs="黑体"/>
          <w:sz w:val="21"/>
          <w:szCs w:val="21"/>
        </w:rPr>
        <w:fldChar w:fldCharType="separate"/>
      </w:r>
      <w:r>
        <w:rPr>
          <w:rFonts w:hint="eastAsia" w:ascii="黑体" w:hAnsi="黑体" w:eastAsia="黑体" w:cs="黑体"/>
          <w:sz w:val="21"/>
          <w:szCs w:val="21"/>
        </w:rPr>
        <w:t>27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_Toc5970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第六章 构建多样多用途的数字产业化经济形式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_Toc5970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_Toc24041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6.1加快推进生产要素数字化</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_Toc24041 \h </w:instrText>
      </w:r>
      <w:r>
        <w:rPr>
          <w:rFonts w:hint="eastAsia" w:ascii="黑体" w:hAnsi="黑体" w:eastAsia="黑体" w:cs="黑体"/>
          <w:sz w:val="21"/>
          <w:szCs w:val="21"/>
        </w:rPr>
        <w:fldChar w:fldCharType="separate"/>
      </w:r>
      <w:r>
        <w:rPr>
          <w:rFonts w:hint="eastAsia"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_Toc28515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6.2做强数字经济核心引领产业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_Toc28515 \h </w:instrText>
      </w:r>
      <w:r>
        <w:rPr>
          <w:rFonts w:hint="eastAsia" w:ascii="黑体" w:hAnsi="黑体" w:eastAsia="黑体" w:cs="黑体"/>
          <w:sz w:val="21"/>
          <w:szCs w:val="21"/>
        </w:rPr>
        <w:fldChar w:fldCharType="separate"/>
      </w:r>
      <w:r>
        <w:rPr>
          <w:rFonts w:hint="eastAsia" w:ascii="黑体" w:hAnsi="黑体" w:eastAsia="黑体" w:cs="黑体"/>
          <w:sz w:val="21"/>
          <w:szCs w:val="21"/>
        </w:rPr>
        <w:t>29</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_Toc24234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6.3前瞻布局新兴产业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_Toc24234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_Toc27492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第七章 深入推进智慧农业建设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_Toc27492 \h </w:instrText>
      </w:r>
      <w:r>
        <w:rPr>
          <w:rFonts w:hint="eastAsia" w:ascii="黑体" w:hAnsi="黑体" w:eastAsia="黑体" w:cs="黑体"/>
          <w:sz w:val="21"/>
          <w:szCs w:val="21"/>
        </w:rPr>
        <w:fldChar w:fldCharType="separate"/>
      </w:r>
      <w:r>
        <w:rPr>
          <w:rFonts w:hint="eastAsia"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_Toc9337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7.1提升“富硒+X”产业数字化水平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_Toc9337 \h </w:instrText>
      </w:r>
      <w:r>
        <w:rPr>
          <w:rFonts w:hint="eastAsia" w:ascii="黑体" w:hAnsi="黑体" w:eastAsia="黑体" w:cs="黑体"/>
          <w:sz w:val="21"/>
          <w:szCs w:val="21"/>
        </w:rPr>
        <w:fldChar w:fldCharType="separate"/>
      </w:r>
      <w:r>
        <w:rPr>
          <w:rFonts w:hint="eastAsia"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_Toc20128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7.2加快特色经济林基地数字化水平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_Toc20128 \h </w:instrText>
      </w:r>
      <w:r>
        <w:rPr>
          <w:rFonts w:hint="eastAsia" w:ascii="黑体" w:hAnsi="黑体" w:eastAsia="黑体" w:cs="黑体"/>
          <w:sz w:val="21"/>
          <w:szCs w:val="21"/>
        </w:rPr>
        <w:fldChar w:fldCharType="separate"/>
      </w:r>
      <w:r>
        <w:rPr>
          <w:rFonts w:hint="eastAsia" w:ascii="黑体" w:hAnsi="黑体" w:eastAsia="黑体" w:cs="黑体"/>
          <w:sz w:val="21"/>
          <w:szCs w:val="21"/>
        </w:rPr>
        <w:t>40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_Toc13925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7.3发展生态数字化养殖基地</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_Toc13925 \h </w:instrText>
      </w:r>
      <w:r>
        <w:rPr>
          <w:rFonts w:hint="eastAsia" w:ascii="黑体" w:hAnsi="黑体" w:eastAsia="黑体" w:cs="黑体"/>
          <w:sz w:val="21"/>
          <w:szCs w:val="21"/>
        </w:rPr>
        <w:fldChar w:fldCharType="separate"/>
      </w:r>
      <w:r>
        <w:rPr>
          <w:rFonts w:hint="eastAsia"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_Toc22805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第八章 加快工业数字化转型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_Toc22805 \h </w:instrText>
      </w:r>
      <w:r>
        <w:rPr>
          <w:rFonts w:hint="eastAsia" w:ascii="黑体" w:hAnsi="黑体" w:eastAsia="黑体" w:cs="黑体"/>
          <w:sz w:val="21"/>
          <w:szCs w:val="21"/>
        </w:rPr>
        <w:fldChar w:fldCharType="separate"/>
      </w:r>
      <w:r>
        <w:rPr>
          <w:rFonts w:hint="eastAsia"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_Toc31996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8</w:t>
      </w:r>
      <w:r>
        <w:rPr>
          <w:rFonts w:hint="eastAsia" w:ascii="黑体" w:hAnsi="黑体" w:eastAsia="黑体" w:cs="黑体"/>
          <w:sz w:val="21"/>
          <w:szCs w:val="21"/>
          <w:lang w:val="en-US" w:eastAsia="zh-CN" w:bidi="ar-SA"/>
        </w:rPr>
        <w:t>.1推动装备制造业与数字化升级</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_Toc31996 \h </w:instrText>
      </w:r>
      <w:r>
        <w:rPr>
          <w:rFonts w:hint="eastAsia" w:ascii="黑体" w:hAnsi="黑体" w:eastAsia="黑体" w:cs="黑体"/>
          <w:sz w:val="21"/>
          <w:szCs w:val="21"/>
        </w:rPr>
        <w:fldChar w:fldCharType="separate"/>
      </w:r>
      <w:r>
        <w:rPr>
          <w:rFonts w:hint="eastAsia"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_Toc24468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8.2积极推动工业互联网平台的建设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_Toc24468 \h </w:instrText>
      </w:r>
      <w:r>
        <w:rPr>
          <w:rFonts w:hint="eastAsia" w:ascii="黑体" w:hAnsi="黑体" w:eastAsia="黑体" w:cs="黑体"/>
          <w:sz w:val="21"/>
          <w:szCs w:val="21"/>
        </w:rPr>
        <w:fldChar w:fldCharType="separate"/>
      </w:r>
      <w:r>
        <w:rPr>
          <w:rFonts w:hint="eastAsia" w:ascii="黑体" w:hAnsi="黑体" w:eastAsia="黑体" w:cs="黑体"/>
          <w:sz w:val="21"/>
          <w:szCs w:val="21"/>
        </w:rPr>
        <w:t>48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_Toc13913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8.3推动企业设备和互联网升级改造</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_Toc13913 \h </w:instrText>
      </w:r>
      <w:r>
        <w:rPr>
          <w:rFonts w:hint="eastAsia" w:ascii="黑体" w:hAnsi="黑体" w:eastAsia="黑体" w:cs="黑体"/>
          <w:sz w:val="21"/>
          <w:szCs w:val="21"/>
        </w:rPr>
        <w:fldChar w:fldCharType="separate"/>
      </w:r>
      <w:r>
        <w:rPr>
          <w:rFonts w:hint="eastAsia" w:ascii="黑体" w:hAnsi="黑体" w:eastAsia="黑体" w:cs="黑体"/>
          <w:sz w:val="21"/>
          <w:szCs w:val="21"/>
        </w:rPr>
        <w:t>49</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_Toc14866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8.4 推动建筑与装饰类企业数字化转型升级</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_Toc14866 \h </w:instrText>
      </w:r>
      <w:r>
        <w:rPr>
          <w:rFonts w:hint="eastAsia" w:ascii="黑体" w:hAnsi="黑体" w:eastAsia="黑体" w:cs="黑体"/>
          <w:sz w:val="21"/>
          <w:szCs w:val="21"/>
        </w:rPr>
        <w:fldChar w:fldCharType="separate"/>
      </w:r>
      <w:r>
        <w:rPr>
          <w:rFonts w:hint="eastAsia" w:ascii="黑体" w:hAnsi="黑体" w:eastAsia="黑体" w:cs="黑体"/>
          <w:sz w:val="21"/>
          <w:szCs w:val="21"/>
        </w:rPr>
        <w:t>51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_Toc19389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8.5加强毛绒玩具产业的发展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_Toc19389 \h </w:instrText>
      </w:r>
      <w:r>
        <w:rPr>
          <w:rFonts w:hint="eastAsia" w:ascii="黑体" w:hAnsi="黑体" w:eastAsia="黑体" w:cs="黑体"/>
          <w:sz w:val="21"/>
          <w:szCs w:val="21"/>
        </w:rPr>
        <w:fldChar w:fldCharType="separate"/>
      </w:r>
      <w:r>
        <w:rPr>
          <w:rFonts w:hint="eastAsia" w:ascii="黑体" w:hAnsi="黑体" w:eastAsia="黑体" w:cs="黑体"/>
          <w:sz w:val="21"/>
          <w:szCs w:val="21"/>
        </w:rPr>
        <w:t>52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_Toc24937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第九章</w:t>
      </w:r>
      <w:r>
        <w:rPr>
          <w:rFonts w:hint="eastAsia" w:ascii="黑体" w:hAnsi="黑体" w:eastAsia="黑体" w:cs="黑体"/>
          <w:spacing w:val="0"/>
          <w:w w:val="100"/>
          <w:position w:val="0"/>
          <w:sz w:val="21"/>
          <w:szCs w:val="21"/>
        </w:rPr>
        <w:t>推动服务业数字化升级</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_Toc24937 \h </w:instrText>
      </w:r>
      <w:r>
        <w:rPr>
          <w:rFonts w:hint="eastAsia" w:ascii="黑体" w:hAnsi="黑体" w:eastAsia="黑体" w:cs="黑体"/>
          <w:sz w:val="21"/>
          <w:szCs w:val="21"/>
        </w:rPr>
        <w:fldChar w:fldCharType="separate"/>
      </w:r>
      <w:r>
        <w:rPr>
          <w:rFonts w:hint="eastAsia"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_Toc7375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9.1</w:t>
      </w:r>
      <w:r>
        <w:rPr>
          <w:rFonts w:hint="eastAsia" w:ascii="黑体" w:hAnsi="黑体" w:eastAsia="黑体" w:cs="黑体"/>
          <w:sz w:val="21"/>
          <w:szCs w:val="21"/>
        </w:rPr>
        <w:t xml:space="preserve"> </w:t>
      </w:r>
      <w:r>
        <w:rPr>
          <w:rFonts w:hint="eastAsia" w:ascii="黑体" w:hAnsi="黑体" w:eastAsia="黑体" w:cs="黑体"/>
          <w:sz w:val="21"/>
          <w:szCs w:val="21"/>
          <w:lang w:eastAsia="zh-CN"/>
        </w:rPr>
        <w:t>提升</w:t>
      </w:r>
      <w:r>
        <w:rPr>
          <w:rFonts w:hint="eastAsia" w:ascii="黑体" w:hAnsi="黑体" w:eastAsia="黑体" w:cs="黑体"/>
          <w:sz w:val="21"/>
          <w:szCs w:val="21"/>
        </w:rPr>
        <w:t>传统</w:t>
      </w:r>
      <w:r>
        <w:rPr>
          <w:rFonts w:hint="eastAsia" w:ascii="黑体" w:hAnsi="黑体" w:eastAsia="黑体" w:cs="黑体"/>
          <w:sz w:val="21"/>
          <w:szCs w:val="21"/>
          <w:lang w:eastAsia="zh-CN"/>
        </w:rPr>
        <w:t>服务业的数字化水平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_Toc7375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_Toc13813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9.2</w:t>
      </w:r>
      <w:r>
        <w:rPr>
          <w:rFonts w:hint="eastAsia" w:ascii="黑体" w:hAnsi="黑体" w:eastAsia="黑体" w:cs="黑体"/>
          <w:sz w:val="21"/>
          <w:szCs w:val="21"/>
        </w:rPr>
        <w:t xml:space="preserve"> </w:t>
      </w:r>
      <w:r>
        <w:rPr>
          <w:rFonts w:hint="eastAsia" w:ascii="黑体" w:hAnsi="黑体" w:eastAsia="黑体" w:cs="黑体"/>
          <w:sz w:val="21"/>
          <w:szCs w:val="21"/>
          <w:lang w:eastAsia="zh-CN"/>
        </w:rPr>
        <w:t>加强</w:t>
      </w:r>
      <w:r>
        <w:rPr>
          <w:rFonts w:hint="eastAsia" w:ascii="黑体" w:hAnsi="黑体" w:eastAsia="黑体" w:cs="黑体"/>
          <w:sz w:val="21"/>
          <w:szCs w:val="21"/>
        </w:rPr>
        <w:t>现代服务业</w:t>
      </w:r>
      <w:r>
        <w:rPr>
          <w:rFonts w:hint="eastAsia" w:ascii="黑体" w:hAnsi="黑体" w:eastAsia="黑体" w:cs="黑体"/>
          <w:sz w:val="21"/>
          <w:szCs w:val="21"/>
          <w:lang w:eastAsia="zh-CN"/>
        </w:rPr>
        <w:t>的监管水平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_Toc13813 \h </w:instrText>
      </w:r>
      <w:r>
        <w:rPr>
          <w:rFonts w:hint="eastAsia" w:ascii="黑体" w:hAnsi="黑体" w:eastAsia="黑体" w:cs="黑体"/>
          <w:sz w:val="21"/>
          <w:szCs w:val="21"/>
        </w:rPr>
        <w:fldChar w:fldCharType="separate"/>
      </w:r>
      <w:r>
        <w:rPr>
          <w:rFonts w:hint="eastAsia" w:ascii="黑体" w:hAnsi="黑体" w:eastAsia="黑体" w:cs="黑体"/>
          <w:sz w:val="21"/>
          <w:szCs w:val="21"/>
        </w:rPr>
        <w:t>57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_Toc5510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9.3开发生态康养产业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_Toc5510 \h </w:instrText>
      </w:r>
      <w:r>
        <w:rPr>
          <w:rFonts w:hint="eastAsia" w:ascii="黑体" w:hAnsi="黑体" w:eastAsia="黑体" w:cs="黑体"/>
          <w:sz w:val="21"/>
          <w:szCs w:val="21"/>
        </w:rPr>
        <w:fldChar w:fldCharType="separate"/>
      </w:r>
      <w:r>
        <w:rPr>
          <w:rFonts w:hint="eastAsia"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_Toc21096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9.4促进文化旅游产业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_Toc21096 \h </w:instrText>
      </w:r>
      <w:r>
        <w:rPr>
          <w:rFonts w:hint="eastAsia" w:ascii="黑体" w:hAnsi="黑体" w:eastAsia="黑体" w:cs="黑体"/>
          <w:sz w:val="21"/>
          <w:szCs w:val="21"/>
        </w:rPr>
        <w:fldChar w:fldCharType="separate"/>
      </w:r>
      <w:r>
        <w:rPr>
          <w:rFonts w:hint="eastAsia"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_Toc2738 </w:instrText>
      </w:r>
      <w:r>
        <w:rPr>
          <w:rFonts w:hint="eastAsia" w:ascii="黑体" w:hAnsi="黑体" w:eastAsia="黑体" w:cs="黑体"/>
          <w:bCs/>
          <w:sz w:val="21"/>
          <w:szCs w:val="21"/>
          <w:lang w:val="en-US" w:eastAsia="zh-CN"/>
        </w:rPr>
        <w:fldChar w:fldCharType="separate"/>
      </w:r>
      <w:r>
        <w:rPr>
          <w:rFonts w:hint="eastAsia" w:ascii="黑体" w:hAnsi="黑体" w:eastAsia="黑体" w:cs="黑体"/>
          <w:w w:val="100"/>
          <w:sz w:val="21"/>
          <w:szCs w:val="21"/>
          <w:lang w:val="en-US" w:eastAsia="zh-CN"/>
        </w:rPr>
        <w:t>9.5积极</w:t>
      </w:r>
      <w:r>
        <w:rPr>
          <w:rFonts w:hint="eastAsia" w:ascii="黑体" w:hAnsi="黑体" w:eastAsia="黑体" w:cs="黑体"/>
          <w:sz w:val="21"/>
          <w:szCs w:val="21"/>
        </w:rPr>
        <w:t>培育电子商务发展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_Toc2738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_Toc20463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bidi="ar-SA"/>
        </w:rPr>
        <w:t>9.6推进物流产业现代化发展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_Toc20463 \h </w:instrText>
      </w:r>
      <w:r>
        <w:rPr>
          <w:rFonts w:hint="eastAsia" w:ascii="黑体" w:hAnsi="黑体" w:eastAsia="黑体" w:cs="黑体"/>
          <w:sz w:val="21"/>
          <w:szCs w:val="21"/>
        </w:rPr>
        <w:fldChar w:fldCharType="separate"/>
      </w:r>
      <w:r>
        <w:rPr>
          <w:rFonts w:hint="eastAsia" w:ascii="黑体" w:hAnsi="黑体" w:eastAsia="黑体" w:cs="黑体"/>
          <w:sz w:val="21"/>
          <w:szCs w:val="21"/>
        </w:rPr>
        <w:t>62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_Toc17691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第十章 建设数字乡村，为乡村振兴赋能</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_Toc17691 \h </w:instrText>
      </w:r>
      <w:r>
        <w:rPr>
          <w:rFonts w:hint="eastAsia" w:ascii="黑体" w:hAnsi="黑体" w:eastAsia="黑体" w:cs="黑体"/>
          <w:sz w:val="21"/>
          <w:szCs w:val="21"/>
        </w:rPr>
        <w:fldChar w:fldCharType="separate"/>
      </w:r>
      <w:r>
        <w:rPr>
          <w:rFonts w:hint="eastAsia" w:ascii="黑体" w:hAnsi="黑体" w:eastAsia="黑体" w:cs="黑体"/>
          <w:sz w:val="21"/>
          <w:szCs w:val="21"/>
        </w:rPr>
        <w:t>64</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_Toc10594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10.1</w:t>
      </w:r>
      <w:r>
        <w:rPr>
          <w:rFonts w:hint="eastAsia" w:ascii="黑体" w:hAnsi="黑体" w:eastAsia="黑体" w:cs="黑体"/>
          <w:sz w:val="21"/>
          <w:szCs w:val="21"/>
          <w:lang w:eastAsia="zh-CN"/>
        </w:rPr>
        <w:t>加快</w:t>
      </w:r>
      <w:r>
        <w:rPr>
          <w:rFonts w:hint="eastAsia" w:ascii="黑体" w:hAnsi="黑体" w:eastAsia="黑体" w:cs="黑体"/>
          <w:sz w:val="21"/>
          <w:szCs w:val="21"/>
          <w:lang w:val="en-US" w:eastAsia="zh-CN"/>
        </w:rPr>
        <w:t>推进</w:t>
      </w:r>
      <w:r>
        <w:rPr>
          <w:rFonts w:hint="eastAsia" w:ascii="黑体" w:hAnsi="黑体" w:eastAsia="黑体" w:cs="黑体"/>
          <w:sz w:val="21"/>
          <w:szCs w:val="21"/>
          <w:lang w:eastAsia="zh-CN"/>
        </w:rPr>
        <w:t>农业数字化</w:t>
      </w:r>
      <w:r>
        <w:rPr>
          <w:rFonts w:hint="eastAsia" w:ascii="黑体" w:hAnsi="黑体" w:eastAsia="黑体" w:cs="黑体"/>
          <w:sz w:val="21"/>
          <w:szCs w:val="21"/>
          <w:lang w:val="en-US" w:eastAsia="zh-CN"/>
        </w:rPr>
        <w:t>转型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_Toc10594 \h </w:instrText>
      </w:r>
      <w:r>
        <w:rPr>
          <w:rFonts w:hint="eastAsia" w:ascii="黑体" w:hAnsi="黑体" w:eastAsia="黑体" w:cs="黑体"/>
          <w:sz w:val="21"/>
          <w:szCs w:val="21"/>
        </w:rPr>
        <w:fldChar w:fldCharType="separate"/>
      </w:r>
      <w:r>
        <w:rPr>
          <w:rFonts w:hint="eastAsia" w:ascii="黑体" w:hAnsi="黑体" w:eastAsia="黑体" w:cs="黑体"/>
          <w:sz w:val="21"/>
          <w:szCs w:val="21"/>
        </w:rPr>
        <w:t>64</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_Toc14813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10</w:t>
      </w:r>
      <w:r>
        <w:rPr>
          <w:rFonts w:hint="eastAsia" w:ascii="黑体" w:hAnsi="黑体" w:eastAsia="黑体" w:cs="黑体"/>
          <w:sz w:val="21"/>
          <w:szCs w:val="21"/>
        </w:rPr>
        <w:t>.</w:t>
      </w:r>
      <w:r>
        <w:rPr>
          <w:rFonts w:hint="eastAsia" w:ascii="黑体" w:hAnsi="黑体" w:eastAsia="黑体" w:cs="黑体"/>
          <w:sz w:val="21"/>
          <w:szCs w:val="21"/>
          <w:lang w:val="en-US" w:eastAsia="zh-CN"/>
        </w:rPr>
        <w:t>2</w:t>
      </w:r>
      <w:r>
        <w:rPr>
          <w:rFonts w:hint="eastAsia" w:ascii="黑体" w:hAnsi="黑体" w:eastAsia="黑体" w:cs="黑体"/>
          <w:sz w:val="21"/>
          <w:szCs w:val="21"/>
        </w:rPr>
        <w:t>加强农业数据汇集与分析</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_Toc14813 \h </w:instrText>
      </w:r>
      <w:r>
        <w:rPr>
          <w:rFonts w:hint="eastAsia" w:ascii="黑体" w:hAnsi="黑体" w:eastAsia="黑体" w:cs="黑体"/>
          <w:sz w:val="21"/>
          <w:szCs w:val="21"/>
        </w:rPr>
        <w:fldChar w:fldCharType="separate"/>
      </w:r>
      <w:r>
        <w:rPr>
          <w:rFonts w:hint="eastAsia" w:ascii="黑体" w:hAnsi="黑体" w:eastAsia="黑体" w:cs="黑体"/>
          <w:sz w:val="21"/>
          <w:szCs w:val="21"/>
        </w:rPr>
        <w:t>65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_Toc30314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bidi="ar-SA"/>
        </w:rPr>
        <w:t>10.3</w:t>
      </w:r>
      <w:r>
        <w:rPr>
          <w:rFonts w:hint="eastAsia" w:ascii="黑体" w:hAnsi="黑体" w:eastAsia="黑体" w:cs="黑体"/>
          <w:sz w:val="21"/>
          <w:szCs w:val="21"/>
          <w:lang w:bidi="ar-SA"/>
        </w:rPr>
        <w:t>创新农产品流通服务体系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_Toc30314 \h </w:instrText>
      </w:r>
      <w:r>
        <w:rPr>
          <w:rFonts w:hint="eastAsia" w:ascii="黑体" w:hAnsi="黑体" w:eastAsia="黑体" w:cs="黑体"/>
          <w:sz w:val="21"/>
          <w:szCs w:val="21"/>
        </w:rPr>
        <w:fldChar w:fldCharType="separate"/>
      </w:r>
      <w:r>
        <w:rPr>
          <w:rFonts w:hint="eastAsia" w:ascii="黑体" w:hAnsi="黑体" w:eastAsia="黑体" w:cs="黑体"/>
          <w:sz w:val="21"/>
          <w:szCs w:val="21"/>
        </w:rPr>
        <w:t>65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_Toc17657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10.5强化农村科技创新供给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_Toc17657 \h </w:instrText>
      </w:r>
      <w:r>
        <w:rPr>
          <w:rFonts w:hint="eastAsia" w:ascii="黑体" w:hAnsi="黑体" w:eastAsia="黑体" w:cs="黑体"/>
          <w:sz w:val="21"/>
          <w:szCs w:val="21"/>
        </w:rPr>
        <w:fldChar w:fldCharType="separate"/>
      </w:r>
      <w:r>
        <w:rPr>
          <w:rFonts w:hint="eastAsia" w:ascii="黑体" w:hAnsi="黑体" w:eastAsia="黑体" w:cs="黑体"/>
          <w:sz w:val="21"/>
          <w:szCs w:val="21"/>
        </w:rPr>
        <w:t>66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_Toc8727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10.6积极发展乡村新业态</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_Toc8727 \h </w:instrText>
      </w:r>
      <w:r>
        <w:rPr>
          <w:rFonts w:hint="eastAsia" w:ascii="黑体" w:hAnsi="黑体" w:eastAsia="黑体" w:cs="黑体"/>
          <w:sz w:val="21"/>
          <w:szCs w:val="21"/>
        </w:rPr>
        <w:fldChar w:fldCharType="separate"/>
      </w:r>
      <w:r>
        <w:rPr>
          <w:rFonts w:hint="eastAsia" w:ascii="黑体" w:hAnsi="黑体" w:eastAsia="黑体" w:cs="黑体"/>
          <w:sz w:val="21"/>
          <w:szCs w:val="21"/>
        </w:rPr>
        <w:t>67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_Toc28682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第十一章 加快推进数字化治理进程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_Toc28682 \h </w:instrText>
      </w:r>
      <w:r>
        <w:rPr>
          <w:rFonts w:hint="eastAsia" w:ascii="黑体" w:hAnsi="黑体" w:eastAsia="黑体" w:cs="黑体"/>
          <w:sz w:val="21"/>
          <w:szCs w:val="21"/>
        </w:rPr>
        <w:fldChar w:fldCharType="separate"/>
      </w:r>
      <w:r>
        <w:rPr>
          <w:rFonts w:hint="eastAsia" w:ascii="黑体" w:hAnsi="黑体" w:eastAsia="黑体" w:cs="黑体"/>
          <w:sz w:val="21"/>
          <w:szCs w:val="21"/>
        </w:rPr>
        <w:t>69</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_Toc22335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bidi="ar-SA"/>
        </w:rPr>
        <w:t>11.1</w:t>
      </w:r>
      <w:r>
        <w:rPr>
          <w:rFonts w:hint="eastAsia" w:ascii="黑体" w:hAnsi="黑体" w:eastAsia="黑体" w:cs="黑体"/>
          <w:sz w:val="21"/>
          <w:szCs w:val="21"/>
          <w:lang w:bidi="ar-SA"/>
        </w:rPr>
        <w:t>加快数据资源整合开放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_Toc22335 \h </w:instrText>
      </w:r>
      <w:r>
        <w:rPr>
          <w:rFonts w:hint="eastAsia" w:ascii="黑体" w:hAnsi="黑体" w:eastAsia="黑体" w:cs="黑体"/>
          <w:sz w:val="21"/>
          <w:szCs w:val="21"/>
        </w:rPr>
        <w:fldChar w:fldCharType="separate"/>
      </w:r>
      <w:r>
        <w:rPr>
          <w:rFonts w:hint="eastAsia" w:ascii="黑体" w:hAnsi="黑体" w:eastAsia="黑体" w:cs="黑体"/>
          <w:sz w:val="21"/>
          <w:szCs w:val="21"/>
        </w:rPr>
        <w:t>69</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_Toc27560 </w:instrText>
      </w:r>
      <w:r>
        <w:rPr>
          <w:rFonts w:hint="eastAsia" w:ascii="黑体" w:hAnsi="黑体" w:eastAsia="黑体" w:cs="黑体"/>
          <w:bCs/>
          <w:sz w:val="21"/>
          <w:szCs w:val="21"/>
          <w:lang w:val="en-US" w:eastAsia="zh-CN"/>
        </w:rPr>
        <w:fldChar w:fldCharType="separate"/>
      </w:r>
      <w:r>
        <w:rPr>
          <w:rFonts w:hint="eastAsia" w:ascii="黑体" w:hAnsi="黑体" w:eastAsia="黑体" w:cs="黑体"/>
          <w:w w:val="100"/>
          <w:sz w:val="21"/>
          <w:szCs w:val="21"/>
          <w:lang w:val="en-US" w:eastAsia="zh-CN"/>
        </w:rPr>
        <w:t>11.2</w:t>
      </w:r>
      <w:r>
        <w:rPr>
          <w:rFonts w:hint="eastAsia" w:ascii="黑体" w:hAnsi="黑体" w:eastAsia="黑体" w:cs="黑体"/>
          <w:w w:val="100"/>
          <w:sz w:val="21"/>
          <w:szCs w:val="21"/>
        </w:rPr>
        <w:t>加快建设数字政府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_Toc27560 \h </w:instrText>
      </w:r>
      <w:r>
        <w:rPr>
          <w:rFonts w:hint="eastAsia" w:ascii="黑体" w:hAnsi="黑体" w:eastAsia="黑体" w:cs="黑体"/>
          <w:sz w:val="21"/>
          <w:szCs w:val="21"/>
        </w:rPr>
        <w:fldChar w:fldCharType="separate"/>
      </w:r>
      <w:r>
        <w:rPr>
          <w:rFonts w:hint="eastAsia" w:ascii="黑体" w:hAnsi="黑体" w:eastAsia="黑体" w:cs="黑体"/>
          <w:sz w:val="21"/>
          <w:szCs w:val="21"/>
        </w:rPr>
        <w:t>69</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_Toc11699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11.3强化数字信用及监管能力</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_Toc11699 \h </w:instrText>
      </w:r>
      <w:r>
        <w:rPr>
          <w:rFonts w:hint="eastAsia" w:ascii="黑体" w:hAnsi="黑体" w:eastAsia="黑体" w:cs="黑体"/>
          <w:sz w:val="21"/>
          <w:szCs w:val="21"/>
        </w:rPr>
        <w:fldChar w:fldCharType="separate"/>
      </w:r>
      <w:r>
        <w:rPr>
          <w:rFonts w:hint="eastAsia" w:ascii="黑体" w:hAnsi="黑体" w:eastAsia="黑体" w:cs="黑体"/>
          <w:sz w:val="21"/>
          <w:szCs w:val="21"/>
        </w:rPr>
        <w:t>71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_Toc150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w w:val="100"/>
          <w:sz w:val="21"/>
          <w:szCs w:val="21"/>
          <w:lang w:val="en-US" w:eastAsia="zh-CN"/>
        </w:rPr>
        <w:t>11.4</w:t>
      </w:r>
      <w:r>
        <w:rPr>
          <w:rFonts w:hint="eastAsia" w:ascii="黑体" w:hAnsi="黑体" w:eastAsia="黑体" w:cs="黑体"/>
          <w:bCs w:val="0"/>
          <w:w w:val="100"/>
          <w:sz w:val="21"/>
          <w:szCs w:val="21"/>
        </w:rPr>
        <w:t xml:space="preserve"> 全方位提升城市治理能力</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_Toc150 \h </w:instrText>
      </w:r>
      <w:r>
        <w:rPr>
          <w:rFonts w:hint="eastAsia" w:ascii="黑体" w:hAnsi="黑体" w:eastAsia="黑体" w:cs="黑体"/>
          <w:sz w:val="21"/>
          <w:szCs w:val="21"/>
        </w:rPr>
        <w:fldChar w:fldCharType="separate"/>
      </w:r>
      <w:r>
        <w:rPr>
          <w:rFonts w:hint="eastAsia" w:ascii="黑体" w:hAnsi="黑体" w:eastAsia="黑体" w:cs="黑体"/>
          <w:sz w:val="21"/>
          <w:szCs w:val="21"/>
        </w:rPr>
        <w:t>72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_Toc2307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rPr>
        <w:t>11.5</w:t>
      </w:r>
      <w:r>
        <w:rPr>
          <w:rFonts w:hint="eastAsia" w:ascii="黑体" w:hAnsi="黑体" w:eastAsia="黑体" w:cs="黑体"/>
          <w:bCs w:val="0"/>
          <w:w w:val="100"/>
          <w:sz w:val="21"/>
          <w:szCs w:val="21"/>
        </w:rPr>
        <w:t>深入推进公共安全防范体系建设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_Toc2307 \h </w:instrText>
      </w:r>
      <w:r>
        <w:rPr>
          <w:rFonts w:hint="eastAsia" w:ascii="黑体" w:hAnsi="黑体" w:eastAsia="黑体" w:cs="黑体"/>
          <w:sz w:val="21"/>
          <w:szCs w:val="21"/>
        </w:rPr>
        <w:fldChar w:fldCharType="separate"/>
      </w:r>
      <w:r>
        <w:rPr>
          <w:rFonts w:hint="eastAsia" w:ascii="黑体" w:hAnsi="黑体" w:eastAsia="黑体" w:cs="黑体"/>
          <w:sz w:val="21"/>
          <w:szCs w:val="21"/>
        </w:rPr>
        <w:t>73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_Toc29551 </w:instrText>
      </w:r>
      <w:r>
        <w:rPr>
          <w:rFonts w:hint="eastAsia" w:ascii="黑体" w:hAnsi="黑体" w:eastAsia="黑体" w:cs="黑体"/>
          <w:bCs/>
          <w:sz w:val="21"/>
          <w:szCs w:val="21"/>
          <w:lang w:val="en-US" w:eastAsia="zh-CN"/>
        </w:rPr>
        <w:fldChar w:fldCharType="separate"/>
      </w:r>
      <w:r>
        <w:rPr>
          <w:rFonts w:hint="eastAsia" w:ascii="黑体" w:hAnsi="黑体" w:eastAsia="黑体" w:cs="黑体"/>
          <w:w w:val="100"/>
          <w:sz w:val="21"/>
          <w:szCs w:val="21"/>
          <w:lang w:val="en-US" w:eastAsia="zh-CN"/>
        </w:rPr>
        <w:t>11.6</w:t>
      </w:r>
      <w:r>
        <w:rPr>
          <w:rFonts w:hint="eastAsia" w:ascii="黑体" w:hAnsi="黑体" w:eastAsia="黑体" w:cs="黑体"/>
          <w:w w:val="100"/>
          <w:sz w:val="21"/>
          <w:szCs w:val="21"/>
        </w:rPr>
        <w:t>科学开展环境保护与风险防范</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_Toc29551 \h </w:instrText>
      </w:r>
      <w:r>
        <w:rPr>
          <w:rFonts w:hint="eastAsia" w:ascii="黑体" w:hAnsi="黑体" w:eastAsia="黑体" w:cs="黑体"/>
          <w:sz w:val="21"/>
          <w:szCs w:val="21"/>
        </w:rPr>
        <w:fldChar w:fldCharType="separate"/>
      </w:r>
      <w:r>
        <w:rPr>
          <w:rFonts w:hint="eastAsia" w:ascii="黑体" w:hAnsi="黑体" w:eastAsia="黑体" w:cs="黑体"/>
          <w:sz w:val="21"/>
          <w:szCs w:val="21"/>
        </w:rPr>
        <w:t>73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_Toc21575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第十二章 提升城市公共服务数字化水平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_Toc21575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_Toc4056 </w:instrText>
      </w:r>
      <w:r>
        <w:rPr>
          <w:rFonts w:hint="eastAsia" w:ascii="黑体" w:hAnsi="黑体" w:eastAsia="黑体" w:cs="黑体"/>
          <w:bCs/>
          <w:sz w:val="21"/>
          <w:szCs w:val="21"/>
          <w:lang w:val="en-US" w:eastAsia="zh-CN"/>
        </w:rPr>
        <w:fldChar w:fldCharType="separate"/>
      </w:r>
      <w:r>
        <w:rPr>
          <w:rFonts w:hint="eastAsia" w:ascii="黑体" w:hAnsi="黑体" w:eastAsia="黑体" w:cs="黑体"/>
          <w:spacing w:val="0"/>
          <w:w w:val="100"/>
          <w:sz w:val="21"/>
          <w:szCs w:val="21"/>
          <w:lang w:val="en-US" w:eastAsia="zh-CN"/>
        </w:rPr>
        <w:t>12.1</w:t>
      </w:r>
      <w:r>
        <w:rPr>
          <w:rFonts w:hint="eastAsia" w:ascii="黑体" w:hAnsi="黑体" w:eastAsia="黑体" w:cs="黑体"/>
          <w:spacing w:val="0"/>
          <w:w w:val="100"/>
          <w:sz w:val="21"/>
          <w:szCs w:val="21"/>
        </w:rPr>
        <w:t xml:space="preserve"> </w:t>
      </w:r>
      <w:r>
        <w:rPr>
          <w:rFonts w:hint="eastAsia" w:ascii="黑体" w:hAnsi="黑体" w:eastAsia="黑体" w:cs="黑体"/>
          <w:sz w:val="21"/>
          <w:szCs w:val="21"/>
        </w:rPr>
        <w:t>推进教育资源共建共享</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_Toc4056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_Toc18312 </w:instrText>
      </w:r>
      <w:r>
        <w:rPr>
          <w:rFonts w:hint="eastAsia" w:ascii="黑体" w:hAnsi="黑体" w:eastAsia="黑体" w:cs="黑体"/>
          <w:bCs/>
          <w:sz w:val="21"/>
          <w:szCs w:val="21"/>
          <w:lang w:val="en-US" w:eastAsia="zh-CN"/>
        </w:rPr>
        <w:fldChar w:fldCharType="separate"/>
      </w:r>
      <w:r>
        <w:rPr>
          <w:rFonts w:hint="eastAsia" w:ascii="黑体" w:hAnsi="黑体" w:eastAsia="黑体" w:cs="黑体"/>
          <w:w w:val="100"/>
          <w:sz w:val="21"/>
          <w:szCs w:val="21"/>
          <w:lang w:val="en-US" w:eastAsia="zh-CN"/>
        </w:rPr>
        <w:t>12.2</w:t>
      </w:r>
      <w:r>
        <w:rPr>
          <w:rFonts w:hint="eastAsia" w:ascii="黑体" w:hAnsi="黑体" w:eastAsia="黑体" w:cs="黑体"/>
          <w:spacing w:val="0"/>
          <w:w w:val="100"/>
          <w:sz w:val="21"/>
          <w:szCs w:val="21"/>
        </w:rPr>
        <w:t>全面打造智慧医疗健康体系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_Toc18312 \h </w:instrText>
      </w:r>
      <w:r>
        <w:rPr>
          <w:rFonts w:hint="eastAsia" w:ascii="黑体" w:hAnsi="黑体" w:eastAsia="黑体" w:cs="黑体"/>
          <w:sz w:val="21"/>
          <w:szCs w:val="21"/>
        </w:rPr>
        <w:fldChar w:fldCharType="separate"/>
      </w:r>
      <w:r>
        <w:rPr>
          <w:rFonts w:hint="eastAsia" w:ascii="黑体" w:hAnsi="黑体" w:eastAsia="黑体" w:cs="黑体"/>
          <w:sz w:val="21"/>
          <w:szCs w:val="21"/>
        </w:rPr>
        <w:t>76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_Toc4926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12.3</w:t>
      </w:r>
      <w:r>
        <w:rPr>
          <w:rFonts w:hint="eastAsia" w:ascii="黑体" w:hAnsi="黑体" w:eastAsia="黑体" w:cs="黑体"/>
          <w:w w:val="105"/>
          <w:sz w:val="21"/>
          <w:szCs w:val="21"/>
        </w:rPr>
        <w:t>积极构建智慧交通网络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_Toc4926 \h </w:instrText>
      </w:r>
      <w:r>
        <w:rPr>
          <w:rFonts w:hint="eastAsia" w:ascii="黑体" w:hAnsi="黑体" w:eastAsia="黑体" w:cs="黑体"/>
          <w:sz w:val="21"/>
          <w:szCs w:val="21"/>
        </w:rPr>
        <w:fldChar w:fldCharType="separate"/>
      </w:r>
      <w:r>
        <w:rPr>
          <w:rFonts w:hint="eastAsia" w:ascii="黑体" w:hAnsi="黑体" w:eastAsia="黑体" w:cs="黑体"/>
          <w:sz w:val="21"/>
          <w:szCs w:val="21"/>
        </w:rPr>
        <w:t>77</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_Toc508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bidi="ar-SA"/>
        </w:rPr>
        <w:t>12.4</w:t>
      </w:r>
      <w:r>
        <w:rPr>
          <w:rFonts w:hint="eastAsia" w:ascii="黑体" w:hAnsi="黑体" w:eastAsia="黑体" w:cs="黑体"/>
          <w:sz w:val="21"/>
          <w:szCs w:val="21"/>
          <w:lang w:bidi="ar-SA"/>
        </w:rPr>
        <w:t>巩固扶贫脱贫攻坚成果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_Toc508 \h </w:instrText>
      </w:r>
      <w:r>
        <w:rPr>
          <w:rFonts w:hint="eastAsia" w:ascii="黑体" w:hAnsi="黑体" w:eastAsia="黑体" w:cs="黑体"/>
          <w:sz w:val="21"/>
          <w:szCs w:val="21"/>
        </w:rPr>
        <w:fldChar w:fldCharType="separate"/>
      </w:r>
      <w:r>
        <w:rPr>
          <w:rFonts w:hint="eastAsia" w:ascii="黑体" w:hAnsi="黑体" w:eastAsia="黑体" w:cs="黑体"/>
          <w:sz w:val="21"/>
          <w:szCs w:val="21"/>
        </w:rPr>
        <w:t>78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_Toc397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第十三章 积极营造良好的数字经济营商环境</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_Toc397 \h </w:instrText>
      </w:r>
      <w:r>
        <w:rPr>
          <w:rFonts w:hint="eastAsia" w:ascii="黑体" w:hAnsi="黑体" w:eastAsia="黑体" w:cs="黑体"/>
          <w:sz w:val="21"/>
          <w:szCs w:val="21"/>
        </w:rPr>
        <w:fldChar w:fldCharType="separate"/>
      </w:r>
      <w:r>
        <w:rPr>
          <w:rFonts w:hint="eastAsia" w:ascii="黑体" w:hAnsi="黑体" w:eastAsia="黑体" w:cs="黑体"/>
          <w:sz w:val="21"/>
          <w:szCs w:val="21"/>
        </w:rPr>
        <w:t>80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val="0"/>
        <w:snapToGrid w:val="0"/>
        <w:ind w:firstLine="420" w:firstLineChars="200"/>
        <w:textAlignment w:val="auto"/>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_Toc6954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bidi="ar-SA"/>
        </w:rPr>
        <w:t>13.1</w:t>
      </w:r>
      <w:r>
        <w:rPr>
          <w:rFonts w:hint="eastAsia" w:ascii="黑体" w:hAnsi="黑体" w:eastAsia="黑体" w:cs="黑体"/>
          <w:bCs w:val="0"/>
          <w:sz w:val="21"/>
          <w:szCs w:val="21"/>
          <w:lang w:bidi="ar-SA"/>
        </w:rPr>
        <w:t>构建多层次人才梯度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_Toc6954 \h </w:instrText>
      </w:r>
      <w:r>
        <w:rPr>
          <w:rFonts w:hint="eastAsia" w:ascii="黑体" w:hAnsi="黑体" w:eastAsia="黑体" w:cs="黑体"/>
          <w:sz w:val="21"/>
          <w:szCs w:val="21"/>
        </w:rPr>
        <w:fldChar w:fldCharType="separate"/>
      </w:r>
      <w:r>
        <w:rPr>
          <w:rFonts w:hint="eastAsia" w:ascii="黑体" w:hAnsi="黑体" w:eastAsia="黑体" w:cs="黑体"/>
          <w:sz w:val="21"/>
          <w:szCs w:val="21"/>
        </w:rPr>
        <w:t>80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val="0"/>
        <w:snapToGrid w:val="0"/>
        <w:ind w:firstLine="420" w:firstLineChars="200"/>
        <w:textAlignment w:val="auto"/>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_Toc21079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bidi="ar-SA"/>
        </w:rPr>
        <w:t>13.2</w:t>
      </w:r>
      <w:r>
        <w:rPr>
          <w:rFonts w:hint="eastAsia" w:ascii="黑体" w:hAnsi="黑体" w:eastAsia="黑体" w:cs="黑体"/>
          <w:bCs w:val="0"/>
          <w:sz w:val="21"/>
          <w:szCs w:val="21"/>
          <w:lang w:bidi="ar-SA"/>
        </w:rPr>
        <w:t>打造多途径金融服务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_Toc21079 \h </w:instrText>
      </w:r>
      <w:r>
        <w:rPr>
          <w:rFonts w:hint="eastAsia" w:ascii="黑体" w:hAnsi="黑体" w:eastAsia="黑体" w:cs="黑体"/>
          <w:sz w:val="21"/>
          <w:szCs w:val="21"/>
        </w:rPr>
        <w:fldChar w:fldCharType="separate"/>
      </w:r>
      <w:r>
        <w:rPr>
          <w:rFonts w:hint="eastAsia" w:ascii="黑体" w:hAnsi="黑体" w:eastAsia="黑体" w:cs="黑体"/>
          <w:sz w:val="21"/>
          <w:szCs w:val="21"/>
        </w:rPr>
        <w:t>80</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val="0"/>
        <w:snapToGrid w:val="0"/>
        <w:ind w:firstLine="420" w:firstLineChars="200"/>
        <w:textAlignment w:val="auto"/>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_Toc31219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bidi="ar-SA"/>
        </w:rPr>
        <w:t>13.3</w:t>
      </w:r>
      <w:r>
        <w:rPr>
          <w:rFonts w:hint="eastAsia" w:ascii="黑体" w:hAnsi="黑体" w:eastAsia="黑体" w:cs="黑体"/>
          <w:bCs w:val="0"/>
          <w:sz w:val="21"/>
          <w:szCs w:val="21"/>
          <w:lang w:bidi="ar-SA"/>
        </w:rPr>
        <w:t>促进多形式成果转化</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_Toc31219 \h </w:instrText>
      </w:r>
      <w:r>
        <w:rPr>
          <w:rFonts w:hint="eastAsia" w:ascii="黑体" w:hAnsi="黑体" w:eastAsia="黑体" w:cs="黑体"/>
          <w:sz w:val="21"/>
          <w:szCs w:val="21"/>
        </w:rPr>
        <w:fldChar w:fldCharType="separate"/>
      </w:r>
      <w:r>
        <w:rPr>
          <w:rFonts w:hint="eastAsia" w:ascii="黑体" w:hAnsi="黑体" w:eastAsia="黑体" w:cs="黑体"/>
          <w:sz w:val="21"/>
          <w:szCs w:val="21"/>
        </w:rPr>
        <w:t>81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val="0"/>
        <w:snapToGrid w:val="0"/>
        <w:ind w:firstLine="420" w:firstLineChars="200"/>
        <w:textAlignment w:val="auto"/>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_Toc20520 </w:instrText>
      </w:r>
      <w:r>
        <w:rPr>
          <w:rFonts w:hint="eastAsia" w:ascii="黑体" w:hAnsi="黑体" w:eastAsia="黑体" w:cs="黑体"/>
          <w:bCs/>
          <w:sz w:val="21"/>
          <w:szCs w:val="21"/>
          <w:lang w:val="en-US" w:eastAsia="zh-CN"/>
        </w:rPr>
        <w:fldChar w:fldCharType="separate"/>
      </w:r>
      <w:r>
        <w:rPr>
          <w:rFonts w:hint="eastAsia" w:ascii="黑体" w:hAnsi="黑体" w:eastAsia="黑体" w:cs="黑体"/>
          <w:bCs w:val="0"/>
          <w:sz w:val="21"/>
          <w:szCs w:val="21"/>
          <w:lang w:val="en-US" w:eastAsia="zh-CN" w:bidi="ar-SA"/>
        </w:rPr>
        <w:t>13.4</w:t>
      </w:r>
      <w:r>
        <w:rPr>
          <w:rFonts w:hint="eastAsia" w:ascii="黑体" w:hAnsi="黑体" w:eastAsia="黑体" w:cs="黑体"/>
          <w:bCs w:val="0"/>
          <w:sz w:val="21"/>
          <w:szCs w:val="21"/>
          <w:lang w:bidi="ar-SA"/>
        </w:rPr>
        <w:t>整合多层面产业资源</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_Toc20520 \h </w:instrText>
      </w:r>
      <w:r>
        <w:rPr>
          <w:rFonts w:hint="eastAsia" w:ascii="黑体" w:hAnsi="黑体" w:eastAsia="黑体" w:cs="黑体"/>
          <w:sz w:val="21"/>
          <w:szCs w:val="21"/>
        </w:rPr>
        <w:fldChar w:fldCharType="separate"/>
      </w:r>
      <w:r>
        <w:rPr>
          <w:rFonts w:hint="eastAsia" w:ascii="黑体" w:hAnsi="黑体" w:eastAsia="黑体" w:cs="黑体"/>
          <w:sz w:val="21"/>
          <w:szCs w:val="21"/>
        </w:rPr>
        <w:t>81</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_Toc2334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第十四章 完善数字经济保障体系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_Toc2334 \h </w:instrText>
      </w:r>
      <w:r>
        <w:rPr>
          <w:rFonts w:hint="eastAsia" w:ascii="黑体" w:hAnsi="黑体" w:eastAsia="黑体" w:cs="黑体"/>
          <w:sz w:val="21"/>
          <w:szCs w:val="21"/>
        </w:rPr>
        <w:fldChar w:fldCharType="separate"/>
      </w:r>
      <w:r>
        <w:rPr>
          <w:rFonts w:hint="eastAsia" w:ascii="黑体" w:hAnsi="黑体" w:eastAsia="黑体" w:cs="黑体"/>
          <w:sz w:val="21"/>
          <w:szCs w:val="21"/>
        </w:rPr>
        <w:t>82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_Toc876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14.1加强组织协调</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_Toc876 \h </w:instrText>
      </w:r>
      <w:r>
        <w:rPr>
          <w:rFonts w:hint="eastAsia" w:ascii="黑体" w:hAnsi="黑体" w:eastAsia="黑体" w:cs="黑体"/>
          <w:sz w:val="21"/>
          <w:szCs w:val="21"/>
        </w:rPr>
        <w:fldChar w:fldCharType="separate"/>
      </w:r>
      <w:r>
        <w:rPr>
          <w:rFonts w:hint="eastAsia" w:ascii="黑体" w:hAnsi="黑体" w:eastAsia="黑体" w:cs="黑体"/>
          <w:sz w:val="21"/>
          <w:szCs w:val="21"/>
        </w:rPr>
        <w:t>82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_Toc23841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14.2加大资金扶持</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_Toc23841 \h </w:instrText>
      </w:r>
      <w:r>
        <w:rPr>
          <w:rFonts w:hint="eastAsia" w:ascii="黑体" w:hAnsi="黑体" w:eastAsia="黑体" w:cs="黑体"/>
          <w:sz w:val="21"/>
          <w:szCs w:val="21"/>
        </w:rPr>
        <w:fldChar w:fldCharType="separate"/>
      </w:r>
      <w:r>
        <w:rPr>
          <w:rFonts w:hint="eastAsia" w:ascii="黑体" w:hAnsi="黑体" w:eastAsia="黑体" w:cs="黑体"/>
          <w:sz w:val="21"/>
          <w:szCs w:val="21"/>
        </w:rPr>
        <w:t>82</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_Toc3477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14.3加强人才建设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_Toc3477 \h </w:instrText>
      </w:r>
      <w:r>
        <w:rPr>
          <w:rFonts w:hint="eastAsia" w:ascii="黑体" w:hAnsi="黑体" w:eastAsia="黑体" w:cs="黑体"/>
          <w:sz w:val="21"/>
          <w:szCs w:val="21"/>
        </w:rPr>
        <w:fldChar w:fldCharType="separate"/>
      </w:r>
      <w:r>
        <w:rPr>
          <w:rFonts w:hint="eastAsia" w:ascii="黑体" w:hAnsi="黑体" w:eastAsia="黑体" w:cs="黑体"/>
          <w:sz w:val="21"/>
          <w:szCs w:val="21"/>
        </w:rPr>
        <w:t>83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_Toc15666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14.4扩大市场需求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_Toc15666 \h </w:instrText>
      </w:r>
      <w:r>
        <w:rPr>
          <w:rFonts w:hint="eastAsia" w:ascii="黑体" w:hAnsi="黑体" w:eastAsia="黑体" w:cs="黑体"/>
          <w:sz w:val="21"/>
          <w:szCs w:val="21"/>
        </w:rPr>
        <w:fldChar w:fldCharType="separate"/>
      </w:r>
      <w:r>
        <w:rPr>
          <w:rFonts w:hint="eastAsia" w:ascii="黑体" w:hAnsi="黑体" w:eastAsia="黑体" w:cs="黑体"/>
          <w:sz w:val="21"/>
          <w:szCs w:val="21"/>
        </w:rPr>
        <w:t>83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1"/>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_Toc15970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14.5强化数据安全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_Toc15970 \h </w:instrText>
      </w:r>
      <w:r>
        <w:rPr>
          <w:rFonts w:hint="eastAsia" w:ascii="黑体" w:hAnsi="黑体" w:eastAsia="黑体" w:cs="黑体"/>
          <w:sz w:val="21"/>
          <w:szCs w:val="21"/>
        </w:rPr>
        <w:fldChar w:fldCharType="separate"/>
      </w:r>
      <w:r>
        <w:rPr>
          <w:rFonts w:hint="eastAsia" w:ascii="黑体" w:hAnsi="黑体" w:eastAsia="黑体" w:cs="黑体"/>
          <w:sz w:val="21"/>
          <w:szCs w:val="21"/>
        </w:rPr>
        <w:t>83</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_Toc20970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第十五章 紫阳数字经济“十四五”发展规划项目库说明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_Toc20970 \h </w:instrText>
      </w:r>
      <w:r>
        <w:rPr>
          <w:rFonts w:hint="eastAsia" w:ascii="黑体" w:hAnsi="黑体" w:eastAsia="黑体" w:cs="黑体"/>
          <w:sz w:val="21"/>
          <w:szCs w:val="21"/>
        </w:rPr>
        <w:fldChar w:fldCharType="separate"/>
      </w:r>
      <w:r>
        <w:rPr>
          <w:rFonts w:hint="eastAsia" w:ascii="黑体" w:hAnsi="黑体" w:eastAsia="黑体" w:cs="黑体"/>
          <w:sz w:val="21"/>
          <w:szCs w:val="21"/>
        </w:rPr>
        <w:t>85</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_Toc4464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附录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_Toc4464 \h </w:instrText>
      </w:r>
      <w:r>
        <w:rPr>
          <w:rFonts w:hint="eastAsia" w:ascii="黑体" w:hAnsi="黑体" w:eastAsia="黑体" w:cs="黑体"/>
          <w:sz w:val="21"/>
          <w:szCs w:val="21"/>
        </w:rPr>
        <w:fldChar w:fldCharType="separate"/>
      </w:r>
      <w:r>
        <w:rPr>
          <w:rFonts w:hint="eastAsia" w:ascii="黑体" w:hAnsi="黑体" w:eastAsia="黑体" w:cs="黑体"/>
          <w:sz w:val="21"/>
          <w:szCs w:val="21"/>
        </w:rPr>
        <w:t>86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_Toc28431 </w:instrText>
      </w:r>
      <w:r>
        <w:rPr>
          <w:rFonts w:hint="eastAsia" w:ascii="黑体" w:hAnsi="黑体" w:eastAsia="黑体" w:cs="黑体"/>
          <w:bCs/>
          <w:sz w:val="21"/>
          <w:szCs w:val="21"/>
          <w:lang w:val="en-US" w:eastAsia="zh-CN"/>
        </w:rPr>
        <w:fldChar w:fldCharType="separate"/>
      </w:r>
      <w:r>
        <w:rPr>
          <w:rFonts w:hint="eastAsia" w:ascii="黑体" w:hAnsi="黑体" w:eastAsia="黑体" w:cs="黑体"/>
          <w:sz w:val="21"/>
          <w:szCs w:val="21"/>
          <w:lang w:val="en-US" w:eastAsia="zh-CN"/>
        </w:rPr>
        <w:t>一、 名词解释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_Toc28431 \h </w:instrText>
      </w:r>
      <w:r>
        <w:rPr>
          <w:rFonts w:hint="eastAsia" w:ascii="黑体" w:hAnsi="黑体" w:eastAsia="黑体" w:cs="黑体"/>
          <w:sz w:val="21"/>
          <w:szCs w:val="21"/>
        </w:rPr>
        <w:fldChar w:fldCharType="separate"/>
      </w:r>
      <w:r>
        <w:rPr>
          <w:rFonts w:hint="eastAsia" w:ascii="黑体" w:hAnsi="黑体" w:eastAsia="黑体" w:cs="黑体"/>
          <w:sz w:val="21"/>
          <w:szCs w:val="21"/>
        </w:rPr>
        <w:t>86</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rPr>
          <w:rFonts w:hint="eastAsia" w:ascii="黑体" w:hAnsi="黑体" w:eastAsia="黑体" w:cs="黑体"/>
          <w:sz w:val="21"/>
          <w:szCs w:val="21"/>
        </w:rPr>
      </w:pPr>
      <w:r>
        <w:rPr>
          <w:rFonts w:hint="eastAsia" w:ascii="黑体" w:hAnsi="黑体" w:eastAsia="黑体" w:cs="黑体"/>
          <w:bCs/>
          <w:sz w:val="21"/>
          <w:szCs w:val="21"/>
          <w:lang w:val="en-US" w:eastAsia="zh-CN"/>
        </w:rPr>
        <w:fldChar w:fldCharType="begin"/>
      </w:r>
      <w:r>
        <w:rPr>
          <w:rFonts w:hint="eastAsia" w:ascii="黑体" w:hAnsi="黑体" w:eastAsia="黑体" w:cs="黑体"/>
          <w:bCs/>
          <w:sz w:val="21"/>
          <w:szCs w:val="21"/>
          <w:lang w:val="en-US" w:eastAsia="zh-CN"/>
        </w:rPr>
        <w:instrText xml:space="preserve"> HYPERLINK \l _Toc23088 </w:instrText>
      </w:r>
      <w:r>
        <w:rPr>
          <w:rFonts w:hint="eastAsia" w:ascii="黑体" w:hAnsi="黑体" w:eastAsia="黑体" w:cs="黑体"/>
          <w:bCs/>
          <w:sz w:val="21"/>
          <w:szCs w:val="21"/>
          <w:lang w:val="en-US" w:eastAsia="zh-CN"/>
        </w:rPr>
        <w:fldChar w:fldCharType="separate"/>
      </w:r>
      <w:r>
        <w:rPr>
          <w:rFonts w:hint="eastAsia" w:ascii="黑体" w:hAnsi="黑体" w:eastAsia="黑体" w:cs="黑体"/>
          <w:i w:val="0"/>
          <w:kern w:val="0"/>
          <w:sz w:val="21"/>
          <w:szCs w:val="21"/>
          <w:lang w:val="en-US" w:eastAsia="zh-CN" w:bidi="ar"/>
        </w:rPr>
        <w:t xml:space="preserve">二、 </w:t>
      </w:r>
      <w:r>
        <w:rPr>
          <w:rFonts w:hint="eastAsia" w:ascii="黑体" w:hAnsi="黑体" w:eastAsia="黑体" w:cs="黑体"/>
          <w:sz w:val="21"/>
          <w:szCs w:val="21"/>
          <w:lang w:val="en-US" w:eastAsia="zh-CN"/>
        </w:rPr>
        <w:t>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_Toc23088 \h </w:instrText>
      </w:r>
      <w:r>
        <w:rPr>
          <w:rFonts w:hint="eastAsia" w:ascii="黑体" w:hAnsi="黑体" w:eastAsia="黑体" w:cs="黑体"/>
          <w:sz w:val="21"/>
          <w:szCs w:val="21"/>
        </w:rPr>
        <w:fldChar w:fldCharType="separate"/>
      </w:r>
      <w:r>
        <w:rPr>
          <w:rFonts w:hint="eastAsia" w:ascii="黑体" w:hAnsi="黑体" w:eastAsia="黑体" w:cs="黑体"/>
          <w:sz w:val="21"/>
          <w:szCs w:val="21"/>
        </w:rPr>
        <w:t>88</w:t>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fldChar w:fldCharType="end"/>
      </w:r>
    </w:p>
    <w:p>
      <w:pPr>
        <w:pStyle w:val="16"/>
        <w:tabs>
          <w:tab w:val="right" w:leader="dot" w:pos="9638"/>
        </w:tabs>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sz w:val="24"/>
          <w:szCs w:val="24"/>
          <w:lang w:val="en-US" w:eastAsia="zh-CN"/>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bCs/>
          <w:szCs w:val="24"/>
          <w:lang w:val="en-US" w:eastAsia="zh-CN"/>
        </w:rPr>
        <w:fldChar w:fldCharType="end"/>
      </w:r>
    </w:p>
    <w:p>
      <w:pPr>
        <w:pStyle w:val="4"/>
        <w:bidi w:val="0"/>
        <w:jc w:val="center"/>
        <w:rPr>
          <w:rFonts w:hint="eastAsia" w:asciiTheme="minorEastAsia" w:hAnsiTheme="minorEastAsia" w:eastAsiaTheme="minorEastAsia" w:cstheme="minorEastAsia"/>
          <w:szCs w:val="28"/>
          <w:lang w:val="en-US" w:eastAsia="zh-CN"/>
        </w:rPr>
      </w:pPr>
      <w:bookmarkStart w:id="3" w:name="_Toc9192"/>
      <w:bookmarkStart w:id="4" w:name="_Toc24639"/>
      <w:bookmarkStart w:id="5" w:name="_Toc3881"/>
      <w:bookmarkStart w:id="6" w:name="_Toc17818"/>
      <w:bookmarkStart w:id="7" w:name="_Toc18316"/>
      <w:bookmarkStart w:id="8" w:name="_Toc7043"/>
      <w:bookmarkStart w:id="9" w:name="_Toc24434"/>
      <w:bookmarkStart w:id="10" w:name="_Toc22491"/>
      <w:r>
        <w:rPr>
          <w:rFonts w:hint="eastAsia"/>
          <w:lang w:val="en-US" w:eastAsia="zh-CN"/>
        </w:rPr>
        <w:t>序    言</w:t>
      </w:r>
      <w:bookmarkEnd w:id="3"/>
      <w:bookmarkEnd w:id="4"/>
      <w:bookmarkEnd w:id="5"/>
      <w:bookmarkEnd w:id="6"/>
      <w:bookmarkEnd w:id="7"/>
      <w:bookmarkEnd w:id="8"/>
      <w:bookmarkEnd w:id="9"/>
      <w:bookmarkEnd w:id="10"/>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数字经济是以数字化的知识和信息为关键生产要素，以数字技术创新为核心驱动力，以现代信息网络为重要载体，通过数字技术与实体经济深度融合，不断提高传统产业数字化、智能化水平，加速重构经济发展与政府治理模式的新型经济形态。</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宋体" w:hAnsi="宋体" w:eastAsia="宋体" w:cs="宋体"/>
          <w:sz w:val="28"/>
          <w:szCs w:val="28"/>
        </w:rPr>
        <w:t>近年来，数字技术的迅猛发展及与实体经济各行业领域的深度融合，日益成为推动经济实现快速可持续增长的强大驱动力，世界经济正处于加速向以数字经济为主体的经济活动转变的过程中。我国政府高度重视数字经济发展，党的十九大报告提出，要“推动互联网、大数据、人工智能和实体经济深度融合，在中高端消费、创新引领、绿色低碳、共享经济、现代供应链、人力资本服务等领域培育新增长点、形成新动能”。</w:t>
      </w:r>
    </w:p>
    <w:p>
      <w:pPr>
        <w:pStyle w:val="7"/>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紫阳县地处汉江上游，大巴山北麓，具有优良的自然生态条件，是我国南水北调中线水源涵养地，作为中国富硒产业示范县，富有”硒谷之乡“的美誉。</w:t>
      </w:r>
    </w:p>
    <w:p>
      <w:pPr>
        <w:pStyle w:val="7"/>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80" w:after="0" w:line="360" w:lineRule="auto"/>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目前紫阳县正处于转型发展、追赶超越的关键时期和上升通道，应立足紫阳实际县情，找准在全国的定位，通过大力发展数字经济带动全县经济社会各领域整体转型发展。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发展数字经济，以数字化丰富要素供给，以网络化提高要素配置效率，以智能化提升产出效能，有利于加快推进供给侧结构性改革，有利于形成经济增长新动能、激发创新创业活力，</w:t>
      </w:r>
      <w:r>
        <w:rPr>
          <w:rFonts w:hint="eastAsia" w:asciiTheme="minorEastAsia" w:hAnsiTheme="minorEastAsia" w:eastAsiaTheme="minorEastAsia" w:cstheme="minorEastAsia"/>
          <w:sz w:val="28"/>
          <w:szCs w:val="28"/>
        </w:rPr>
        <w:t>有利于</w:t>
      </w:r>
      <w:r>
        <w:rPr>
          <w:rFonts w:hint="eastAsia" w:asciiTheme="minorEastAsia" w:hAnsiTheme="minorEastAsia" w:eastAsiaTheme="minorEastAsia" w:cstheme="minorEastAsia"/>
          <w:sz w:val="28"/>
          <w:szCs w:val="28"/>
          <w:lang w:val="en-US" w:eastAsia="zh-CN"/>
        </w:rPr>
        <w:t>紫阳县扬长避短，大力发展生态友好型循环产业，做强做大富硒产业，提升农副产品的附加值，通过数字经济培育依托独特资源的食品与医药加工业，大力发展生态旅游业带动服务业提升增值，</w:t>
      </w:r>
      <w:r>
        <w:rPr>
          <w:rFonts w:hint="eastAsia" w:asciiTheme="minorEastAsia" w:hAnsiTheme="minorEastAsia" w:eastAsiaTheme="minorEastAsia" w:cstheme="minorEastAsia"/>
          <w:sz w:val="28"/>
          <w:szCs w:val="28"/>
        </w:rPr>
        <w:t>实</w:t>
      </w:r>
      <w:r>
        <w:rPr>
          <w:rFonts w:hint="eastAsia" w:ascii="宋体" w:hAnsi="宋体" w:eastAsia="宋体" w:cs="宋体"/>
          <w:sz w:val="28"/>
          <w:szCs w:val="28"/>
        </w:rPr>
        <w:t>现经济发展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社会和谐，人民安居乐业</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“十四五”时期是我国全面建成小康社会、实现第一个百年奋斗目标之后，乘势而上开启全面建设社会主义现代化国家新征程、向第二个百年奋斗目标进军的第一个五年，我国将进入新发展阶段。</w:t>
      </w:r>
      <w:r>
        <w:rPr>
          <w:rFonts w:hint="eastAsia" w:ascii="宋体" w:hAnsi="宋体" w:eastAsia="宋体" w:cs="宋体"/>
          <w:sz w:val="28"/>
          <w:szCs w:val="28"/>
          <w:lang w:val="en-US" w:eastAsia="zh-CN"/>
        </w:rPr>
        <w:t>紫阳县委、县政府应抢抓机遇，把发展数字经济作为经济转型升级、实现追赶超越的新动能新引擎，统筹布局、综合施策，谋划“重大项目、重大工程、重大平台、重大政策与重大改革举措”，</w:t>
      </w:r>
      <w:r>
        <w:rPr>
          <w:rFonts w:hint="eastAsia" w:ascii="宋体" w:hAnsi="宋体" w:eastAsia="宋体" w:cs="宋体"/>
          <w:sz w:val="28"/>
          <w:szCs w:val="28"/>
        </w:rPr>
        <w:t>加快发展5G、</w:t>
      </w:r>
      <w:r>
        <w:rPr>
          <w:rFonts w:hint="eastAsia" w:ascii="宋体" w:hAnsi="宋体" w:eastAsia="宋体" w:cs="宋体"/>
          <w:sz w:val="28"/>
          <w:szCs w:val="28"/>
          <w:lang w:val="en-US" w:eastAsia="zh-CN"/>
        </w:rPr>
        <w:t>物联网、</w:t>
      </w:r>
      <w:r>
        <w:rPr>
          <w:rFonts w:hint="eastAsia" w:ascii="宋体" w:hAnsi="宋体" w:eastAsia="宋体" w:cs="宋体"/>
          <w:sz w:val="28"/>
          <w:szCs w:val="28"/>
        </w:rPr>
        <w:t>大数据、</w:t>
      </w:r>
      <w:r>
        <w:rPr>
          <w:rFonts w:hint="eastAsia" w:ascii="宋体" w:hAnsi="宋体" w:eastAsia="宋体" w:cs="宋体"/>
          <w:sz w:val="28"/>
          <w:szCs w:val="28"/>
          <w:lang w:val="en-US" w:eastAsia="zh-CN"/>
        </w:rPr>
        <w:t>云计算、人工智能、</w:t>
      </w:r>
      <w:r>
        <w:rPr>
          <w:rFonts w:hint="eastAsia" w:ascii="宋体" w:hAnsi="宋体" w:eastAsia="宋体" w:cs="宋体"/>
          <w:sz w:val="28"/>
          <w:szCs w:val="28"/>
        </w:rPr>
        <w:t>北斗、卫星互联网等数字经济产业，在网信前沿领域产业布局上</w:t>
      </w:r>
      <w:r>
        <w:rPr>
          <w:rFonts w:hint="eastAsia" w:ascii="宋体" w:hAnsi="宋体" w:eastAsia="宋体" w:cs="宋体"/>
          <w:sz w:val="28"/>
          <w:szCs w:val="28"/>
          <w:lang w:val="en-US" w:eastAsia="zh-CN"/>
        </w:rPr>
        <w:t>提早谋划，招商引资</w:t>
      </w:r>
      <w:r>
        <w:rPr>
          <w:rFonts w:hint="eastAsia" w:ascii="宋体" w:hAnsi="宋体" w:eastAsia="宋体" w:cs="宋体"/>
          <w:sz w:val="28"/>
          <w:szCs w:val="28"/>
        </w:rPr>
        <w:t>，积极搭建对外交流合作平台，助推</w:t>
      </w:r>
      <w:r>
        <w:rPr>
          <w:rFonts w:hint="eastAsia" w:ascii="宋体" w:hAnsi="宋体" w:eastAsia="宋体" w:cs="宋体"/>
          <w:sz w:val="28"/>
          <w:szCs w:val="28"/>
          <w:lang w:val="en-US" w:eastAsia="zh-CN"/>
        </w:rPr>
        <w:t>紫阳</w:t>
      </w:r>
      <w:r>
        <w:rPr>
          <w:rFonts w:hint="eastAsia" w:ascii="宋体" w:hAnsi="宋体" w:eastAsia="宋体" w:cs="宋体"/>
          <w:sz w:val="28"/>
          <w:szCs w:val="28"/>
        </w:rPr>
        <w:t>搭上数字经济发展快车，插上信息化翅膀，</w:t>
      </w:r>
      <w:r>
        <w:rPr>
          <w:rFonts w:hint="eastAsia" w:ascii="宋体" w:hAnsi="宋体" w:eastAsia="宋体" w:cs="宋体"/>
          <w:sz w:val="28"/>
          <w:szCs w:val="28"/>
          <w:lang w:val="en-US" w:eastAsia="zh-CN"/>
        </w:rPr>
        <w:t>为紫阳</w:t>
      </w:r>
      <w:r>
        <w:rPr>
          <w:rFonts w:hint="eastAsia" w:ascii="宋体" w:hAnsi="宋体" w:eastAsia="宋体" w:cs="宋体"/>
          <w:sz w:val="28"/>
          <w:szCs w:val="28"/>
        </w:rPr>
        <w:t>追赶超越</w:t>
      </w:r>
      <w:r>
        <w:rPr>
          <w:rFonts w:hint="eastAsia" w:ascii="宋体" w:hAnsi="宋体" w:eastAsia="宋体" w:cs="宋体"/>
          <w:sz w:val="28"/>
          <w:szCs w:val="28"/>
          <w:lang w:val="en-US" w:eastAsia="zh-CN"/>
        </w:rPr>
        <w:t>实现跨越式发展打好坚实基础</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840" w:firstLineChars="3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国家信息化发展战略纲要》、《陕西省2020年数字经济工作要点》（中共陕西省委网络安全和信息化委员会办公室，陕网办发[2020]6号2020.07.02）、《陕西省数字经济产业发展引导目录（2020版）》（中共陕西省委网络安全和信息化委员会办公室，陕网委发[2020]18号2020.08.11）等文件，编制本规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本规划期限为2021年至2025年，规划范围为紫阳县全域(含飞地经济园区)，覆盖紫阳</w:t>
      </w:r>
      <w:r>
        <w:rPr>
          <w:rFonts w:hint="eastAsia" w:asciiTheme="minorEastAsia" w:hAnsiTheme="minorEastAsia" w:eastAsiaTheme="minorEastAsia" w:cstheme="minorEastAsia"/>
          <w:sz w:val="28"/>
          <w:szCs w:val="28"/>
        </w:rPr>
        <w:t>全县2204平方公里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17个镇、176个村(农村社区)、</w:t>
      </w:r>
      <w:r>
        <w:rPr>
          <w:rFonts w:hint="eastAsia" w:asciiTheme="minorEastAsia" w:hAnsiTheme="minorEastAsia" w:eastAsiaTheme="minorEastAsia" w:cstheme="minorEastAsia"/>
          <w:sz w:val="28"/>
          <w:szCs w:val="28"/>
          <w:lang w:val="en-US" w:eastAsia="zh-CN"/>
        </w:rPr>
        <w:t>约</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9万</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口。</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bookmarkStart w:id="11" w:name="_Toc17036_WPSOffice_Level1"/>
      <w:bookmarkStart w:id="12" w:name="_Toc27324_WPSOffice_Level2"/>
      <w:r>
        <w:rPr>
          <w:rFonts w:hint="eastAsia" w:asciiTheme="minorEastAsia" w:hAnsiTheme="minorEastAsia" w:eastAsiaTheme="minorEastAsia" w:cstheme="minorEastAsia"/>
          <w:sz w:val="28"/>
          <w:szCs w:val="28"/>
          <w:lang w:eastAsia="zh-CN"/>
        </w:rPr>
        <w:t>本规划</w:t>
      </w:r>
      <w:r>
        <w:rPr>
          <w:rFonts w:hint="eastAsia" w:asciiTheme="minorEastAsia" w:hAnsiTheme="minorEastAsia" w:eastAsiaTheme="minorEastAsia" w:cstheme="minorEastAsia"/>
          <w:sz w:val="28"/>
          <w:szCs w:val="28"/>
          <w:lang w:val="en-US" w:eastAsia="zh-CN"/>
        </w:rPr>
        <w:t>是紫阳数字经济发展的纲领性文件。</w:t>
      </w:r>
      <w:bookmarkEnd w:id="11"/>
      <w:bookmarkEnd w:id="12"/>
    </w:p>
    <w:p>
      <w:pPr>
        <w:pStyle w:val="17"/>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20"/>
        <w:textAlignment w:val="auto"/>
        <w:rPr>
          <w:rFonts w:hint="eastAsia" w:asciiTheme="minorEastAsia" w:hAnsiTheme="minorEastAsia" w:eastAsiaTheme="minorEastAsia" w:cstheme="minorEastAsia"/>
          <w:kern w:val="0"/>
          <w:sz w:val="28"/>
          <w:szCs w:val="28"/>
          <w:lang w:val="en-US" w:eastAsia="zh-CN" w:bidi="ar-SA"/>
        </w:rPr>
      </w:pPr>
    </w:p>
    <w:p>
      <w:pPr>
        <w:pStyle w:val="17"/>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20"/>
        <w:textAlignment w:val="auto"/>
        <w:rPr>
          <w:rFonts w:hint="eastAsia" w:asciiTheme="minorEastAsia" w:hAnsiTheme="minorEastAsia" w:eastAsiaTheme="minorEastAsia" w:cstheme="minorEastAsia"/>
          <w:kern w:val="0"/>
          <w:sz w:val="28"/>
          <w:szCs w:val="28"/>
          <w:lang w:val="en-US" w:eastAsia="zh-CN" w:bidi="ar-SA"/>
        </w:rPr>
        <w:sectPr>
          <w:footerReference r:id="rId9"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keepNext/>
        <w:keepLines/>
        <w:pageBreakBefore w:val="0"/>
        <w:widowControl/>
        <w:numPr>
          <w:ilvl w:val="0"/>
          <w:numId w:val="1"/>
        </w:numPr>
        <w:kinsoku/>
        <w:wordWrap/>
        <w:overflowPunct/>
        <w:topLinePunct w:val="0"/>
        <w:autoSpaceDE/>
        <w:autoSpaceDN/>
        <w:bidi w:val="0"/>
        <w:adjustRightInd w:val="0"/>
        <w:snapToGrid w:val="0"/>
        <w:spacing w:before="625" w:beforeLines="200" w:after="313" w:afterLines="100" w:line="360" w:lineRule="auto"/>
        <w:jc w:val="center"/>
        <w:textAlignment w:val="auto"/>
        <w:outlineLvl w:val="0"/>
        <w:rPr>
          <w:rFonts w:hint="eastAsia"/>
          <w:lang w:val="en-US" w:eastAsia="zh-CN"/>
        </w:rPr>
      </w:pPr>
      <w:bookmarkStart w:id="13" w:name="_Toc13426"/>
      <w:bookmarkStart w:id="14" w:name="_Toc26176"/>
      <w:bookmarkStart w:id="15" w:name="_Toc15723"/>
      <w:bookmarkStart w:id="16" w:name="_Toc16066"/>
      <w:bookmarkStart w:id="17" w:name="_Toc28899"/>
      <w:bookmarkStart w:id="18" w:name="_Toc18222"/>
      <w:bookmarkStart w:id="19" w:name="_Toc8247"/>
      <w:bookmarkStart w:id="20" w:name="_Toc32442"/>
      <w:r>
        <w:rPr>
          <w:rFonts w:hint="eastAsia"/>
          <w:lang w:val="en-US" w:eastAsia="zh-CN"/>
        </w:rPr>
        <w:t>紫阳县基本县情</w:t>
      </w:r>
      <w:bookmarkEnd w:id="13"/>
      <w:bookmarkEnd w:id="14"/>
      <w:bookmarkEnd w:id="15"/>
      <w:bookmarkEnd w:id="16"/>
      <w:bookmarkEnd w:id="17"/>
      <w:bookmarkEnd w:id="18"/>
      <w:bookmarkEnd w:id="19"/>
      <w:bookmarkEnd w:id="20"/>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紫阳县隶属于</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"https://baike.baidu.com/item/%E9%99%95%E8%A5%BF%E7%9C%81/19657132"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陕西省</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"https://baike.baidu.com/item/%E5%AE%89%E5%BA%B7%E5%B8%82/2058406"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安康市</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位于陕西南端、巴山北麓、汉江上游，于明正德七年(1512年)置县，因道教南派创始人张伯端(道号“紫阳真人”)曾在此修行悟道而得名，意为“紫气东来，阳光普照”，是全国唯一以道教名号命名的县。</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东为陕西省安康市</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"https://baike.baidu.com/item/%E6%B1%89%E6%BB%A8%E5%8C%BA/247061"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汉滨区</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"https://baike.baidu.com/item/%E5%B2%9A%E7%9A%8B%E5%8E%BF/345525"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岚皋县</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，西为陕西省汉中市</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"https://baike.baidu.com/item/%E9%95%87%E5%B7%B4%E5%8E%BF/4636928"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镇巴县</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，南为重庆市</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"https://baike.baidu.com/item/%E5%9F%8E%E5%8F%A3%E5%8E%BF/10976245"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城口县</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、四川省</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"https://baike.baidu.com/item/%E4%B8%87%E6%BA%90%E5%B8%82/10878588"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万源市</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，北为安康市</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"https://baike.baidu.com/item/%E6%B1%89%E9%98%B4%E5%8E%BF/198376" \t "https://baike.baidu.com/item/%E7%B4%AB%E9%98%B3%E5%8E%BF/_blank"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汉阴县</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。介于东经108°06—108°43′，北纬32°08—32°49′之间，总面积2204平方公里。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紫阳属于秦巴山地的一部分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紫阳县境内万山重叠，古有“岩邑”之称。地势西南高、东北低，构成“三山两谷一川”的基本轮廓。汉江由西至东横贯全境，任河由南向北纵流入汉江，两条河谷将全县分割为东南部大巴山区、西南部米仓山区、北部凤凰山区及其东部的蒿坪河川道。</w:t>
      </w:r>
      <w:r>
        <w:rPr>
          <w:rFonts w:hint="eastAsia" w:asciiTheme="minorEastAsia" w:hAnsiTheme="minorEastAsia" w:eastAsiaTheme="minorEastAsia" w:cstheme="minorEastAsia"/>
          <w:sz w:val="28"/>
          <w:szCs w:val="28"/>
        </w:rPr>
        <w:t>汉江、任河流经地均为峡谷。地面海拔277~2522米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以洞河口最低，大巴山脊最高，境内2000米以上高峰11座。北部为低山区，海拔多在600米左右，山势较缓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中、南部为中山区，海拔一般为1500米左右，山势较陡，水系发育、切割深度一般在1000米左右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东南部高山区海拔多在1800米~2100米间，峡谷深邃，峰岭陡峭。</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紫阳县因北有秦岭和凤凰山两重山岭阻隔西北寒流，南有任河谷地输送西南暖气，故夏无酷暑，冬无严寒。由于山地相对高差大，呈立体气候特征。低山河谷地带全年平均气温15.1℃，年平均降雨量1127.8毫米，湿润指数1.94，年平均日照1606.8小时，日照百分率为36%，10℃积温4669℃，无霜期268天，属北亚热带湿润季风气候。中高山区的气温、日照和无霜期随海拔升高而递减。海拔1800米以上的高山地带与中低山区差异显著。</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紫阳交通日益便捷，境内水运通畅，</w:t>
      </w:r>
      <w:r>
        <w:rPr>
          <w:rFonts w:hint="eastAsia" w:asciiTheme="minorEastAsia" w:hAnsiTheme="minorEastAsia" w:eastAsiaTheme="minorEastAsia" w:cstheme="minorEastAsia"/>
          <w:sz w:val="28"/>
          <w:szCs w:val="28"/>
          <w:lang w:val="en-US" w:eastAsia="zh-CN"/>
        </w:rPr>
        <w:t>襄渝铁路复线、国道包茂高速（G65）、541国道(陕西安康市石泉县-重庆市巫溪县)、三条省道（S211、S318、S529）等交通干线</w:t>
      </w:r>
      <w:r>
        <w:rPr>
          <w:rFonts w:hint="eastAsia" w:asciiTheme="minorEastAsia" w:hAnsiTheme="minorEastAsia" w:eastAsiaTheme="minorEastAsia" w:cstheme="minorEastAsia"/>
          <w:sz w:val="28"/>
          <w:szCs w:val="28"/>
        </w:rPr>
        <w:t>穿境而过，十天高速紧邻相连，已融入西安、重庆、成都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武汉</w:t>
      </w:r>
      <w:r>
        <w:rPr>
          <w:rFonts w:hint="eastAsia" w:asciiTheme="minorEastAsia" w:hAnsiTheme="minorEastAsia" w:eastAsiaTheme="minorEastAsia" w:cstheme="minorEastAsia"/>
          <w:sz w:val="28"/>
          <w:szCs w:val="28"/>
        </w:rPr>
        <w:t>半日经济圈，随着安康富强机场和西渝高铁的建成，内畅外联、高效便捷的交通网络正逐步形成。</w:t>
      </w:r>
      <w:r>
        <w:rPr>
          <w:rFonts w:hint="eastAsia" w:asciiTheme="minorEastAsia" w:hAnsiTheme="minorEastAsia" w:eastAsiaTheme="minorEastAsia" w:cstheme="minorEastAsia"/>
          <w:sz w:val="28"/>
          <w:szCs w:val="28"/>
          <w:lang w:val="en-US" w:eastAsia="zh-CN"/>
        </w:rPr>
        <w:t xml:space="preserve">交通干线加上纵横交错的县乡公路，构筑起便捷通达、形式多样的交通运输网络。截止 2019 年年底，全县公路总里程达3699.922公里，其中国道1条76.38公里，省道3条244公里，县道7条206.334公里，乡道13条271.208公里，村道2902公里。形成了以县城为中心，以国省干线和包茂高速过境线为主动脉，县道公路为骨架，镇、村等级公路为分支，辐射城乡、干支相连、四通八达的公路网络结构。全县 175个行政村，公路通村率和通村客运分别达 100%。紫阳县境内航道总里程 138 公里，其中汉江主航道 75 公里，任河、洞河、汝河等支航道 63 公里。全县共设 6 个码头：洞河码头、 紫阳港码头、焕古码头、金川码头、汉城码头。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紫阳生态环境优美，汉江纵贯全境，秦巴山色、汉水风光、茶乡风情独具特色，有“汉江画廊”美誉；紫阳硒资源富集，是全国两大天然富硒区之一，茶叶、魔芋等富硒生物资源丰富，紫阳富硒茶种植历史悠久，盛唐每岁充贡，明朝以茶易马，清代成为名茶，是国家原产地保护产品，获中国</w:t>
      </w:r>
      <w:r>
        <w:rPr>
          <w:rFonts w:hint="eastAsia" w:asciiTheme="minorEastAsia" w:hAnsiTheme="minorEastAsia" w:eastAsiaTheme="minorEastAsia" w:cstheme="minorEastAsia"/>
          <w:sz w:val="28"/>
          <w:szCs w:val="28"/>
          <w:lang w:val="en-US" w:eastAsia="zh-CN"/>
        </w:rPr>
        <w:t>驰名</w:t>
      </w:r>
      <w:r>
        <w:rPr>
          <w:rFonts w:hint="eastAsia" w:asciiTheme="minorEastAsia" w:hAnsiTheme="minorEastAsia" w:eastAsiaTheme="minorEastAsia" w:cstheme="minorEastAsia"/>
          <w:sz w:val="28"/>
          <w:szCs w:val="28"/>
        </w:rPr>
        <w:t>商标认证，素有“贡茶之乡”美誉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紫阳文化底蕴丰厚，作为陕甘茶马古道源头早在东汉就融入丝绸之路，道教南宗始祖张伯端撰著的《悟真篇》被誉为“丹经之王”，紫阳民歌被列入国家首批非物质文化遗产名录，茶文化、道教文化、民歌文化、汉水文化融汇</w:t>
      </w:r>
      <w:r>
        <w:rPr>
          <w:rFonts w:hint="eastAsia" w:asciiTheme="minorEastAsia" w:hAnsiTheme="minorEastAsia" w:eastAsiaTheme="minorEastAsia" w:cstheme="minorEastAsia"/>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紫阳县地处国家主体功能区限制开发区、南水北调中线工程重要水源涵养区、秦巴集中连片特困地区、川陕革命老区“四区叠加”的核心区域，是国家扶贫开发重点县、深度贫困县，是陕西自然条件最恶劣、脱贫攻坚任务最重、贫困程度最深的地区。全县共有建档立卡贫困村133个（其中深度贫困村35个），贫困人口40329户133057人。</w:t>
      </w:r>
      <w:r>
        <w:rPr>
          <w:rFonts w:hint="eastAsia" w:asciiTheme="minorEastAsia" w:hAnsiTheme="minorEastAsia" w:eastAsiaTheme="minorEastAsia" w:cstheme="minorEastAsia"/>
          <w:sz w:val="28"/>
          <w:szCs w:val="28"/>
          <w:lang w:val="en-US" w:eastAsia="zh-CN"/>
        </w:rPr>
        <w:t>2020年2月27日，陕西省人民政府批复同意，紫阳县正式退出贫困县序列。</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十三五”期间（2016-2020年），分别荣获“2017年度中国最美茶乡”称号、国家卫生县城；2018年紫阳县被文化和旅游部命名为“中国民间文化艺术之乡”并且位列第一批革命文物保护利用片区分县名单；2019年，荣获“中国特色农产品优势区”、“全国一村一品示范村镇名单（紫阳县焕古镇）”等国家级荣誉；2017年荣获</w:t>
      </w:r>
      <w:r>
        <w:rPr>
          <w:rFonts w:hint="eastAsia" w:asciiTheme="minorEastAsia" w:hAnsiTheme="minorEastAsia" w:eastAsiaTheme="minorEastAsia" w:cstheme="minorEastAsia"/>
          <w:sz w:val="28"/>
          <w:szCs w:val="28"/>
        </w:rPr>
        <w:t>省市脱贫攻坚成效考核“双优秀”</w:t>
      </w:r>
      <w:r>
        <w:rPr>
          <w:rFonts w:hint="eastAsia" w:asciiTheme="minorEastAsia" w:hAnsiTheme="minorEastAsia" w:eastAsiaTheme="minorEastAsia" w:cstheme="minorEastAsia"/>
          <w:sz w:val="28"/>
          <w:szCs w:val="28"/>
          <w:lang w:val="en-US" w:eastAsia="zh-CN"/>
        </w:rPr>
        <w:t>、2018年紫阳喜获省食品安全示范县称号；2019年紫阳创建为省级电子商务示范县；此外，</w:t>
      </w:r>
      <w:r>
        <w:rPr>
          <w:rFonts w:hint="eastAsia" w:asciiTheme="minorEastAsia" w:hAnsiTheme="minorEastAsia" w:eastAsiaTheme="minorEastAsia" w:cstheme="minorEastAsia"/>
          <w:sz w:val="28"/>
          <w:szCs w:val="28"/>
        </w:rPr>
        <w:t>紫阳县技能扶贫经验入选全国优秀扶贫案例和全球减贫最佳案例，紫阳县产业扶贫经验在北京中国农业科学院全国性大讲堂作为产业扶贫</w:t>
      </w:r>
      <w:r>
        <w:rPr>
          <w:rFonts w:hint="eastAsia" w:asciiTheme="minorEastAsia" w:hAnsiTheme="minorEastAsia" w:eastAsiaTheme="minorEastAsia" w:cstheme="minorEastAsia"/>
          <w:sz w:val="28"/>
          <w:szCs w:val="28"/>
          <w:lang w:eastAsia="zh-CN"/>
        </w:rPr>
        <w:t>经典案例</w:t>
      </w:r>
      <w:r>
        <w:rPr>
          <w:rFonts w:hint="eastAsia" w:asciiTheme="minorEastAsia" w:hAnsiTheme="minorEastAsia" w:eastAsiaTheme="minorEastAsia" w:cstheme="minorEastAsia"/>
          <w:sz w:val="28"/>
          <w:szCs w:val="28"/>
        </w:rPr>
        <w:t>交流分享，紫阳富硒茶助力精准扶贫、促进乡村振兴的实践经验在第26届农高会期间举办的“地理标志产业带动区域经济高质量发展论坛”分享交流。</w:t>
      </w:r>
      <w:r>
        <w:rPr>
          <w:rFonts w:hint="eastAsia" w:asciiTheme="minorEastAsia" w:hAnsiTheme="minorEastAsia" w:eastAsiaTheme="minorEastAsia" w:cstheme="minorEastAsia"/>
          <w:sz w:val="28"/>
          <w:szCs w:val="28"/>
          <w:lang w:val="en-US" w:eastAsia="zh-CN"/>
        </w:rPr>
        <w:t>紫阳“一站式”服务模式在全省推广。</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截至2019年，紫阳县下辖17个镇,分别是城关镇，蒿坪镇，汉王镇，焕古镇，向阳镇，洞河镇，洄水镇，双桥镇，高桥镇，红椿镇，高滩镇，毛坝镇，瓦庙镇，麻柳镇，双安镇，东木镇和界岭镇。全县有</w:t>
      </w:r>
      <w:r>
        <w:rPr>
          <w:rFonts w:hint="eastAsia" w:asciiTheme="minorEastAsia" w:hAnsiTheme="minorEastAsia" w:eastAsiaTheme="minorEastAsia" w:cstheme="minorEastAsia"/>
          <w:sz w:val="28"/>
          <w:szCs w:val="28"/>
        </w:rPr>
        <w:t>176个</w:t>
      </w:r>
      <w:r>
        <w:rPr>
          <w:rFonts w:hint="eastAsia" w:asciiTheme="minorEastAsia" w:hAnsiTheme="minorEastAsia" w:eastAsiaTheme="minorEastAsia" w:cstheme="minorEastAsia"/>
          <w:sz w:val="28"/>
          <w:szCs w:val="28"/>
          <w:lang w:val="en-US" w:eastAsia="zh-CN"/>
        </w:rPr>
        <w:t>行政</w:t>
      </w:r>
      <w:r>
        <w:rPr>
          <w:rFonts w:hint="eastAsia" w:asciiTheme="minorEastAsia" w:hAnsiTheme="minorEastAsia" w:eastAsiaTheme="minorEastAsia" w:cstheme="minorEastAsia"/>
          <w:sz w:val="28"/>
          <w:szCs w:val="28"/>
        </w:rPr>
        <w:t xml:space="preserve">村(农村社区)、常住人口287045人、城镇化率44.7%。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Theme="minorEastAsia" w:hAnsiTheme="minorEastAsia" w:eastAsiaTheme="minorEastAsia" w:cstheme="minorEastAsia"/>
          <w:sz w:val="28"/>
          <w:szCs w:val="28"/>
        </w:rPr>
        <w:t>2019年，紫阳县认真贯彻新发展理念，决战决胜脱贫攻坚，全面推进“五大战略”，正式退出贫困县序列，经济稳步增长，社会和谐稳定，较好完成了全年主要目标任务。全县实现生产总值</w:t>
      </w:r>
      <w:r>
        <w:rPr>
          <w:rFonts w:hint="eastAsia" w:asciiTheme="minorEastAsia" w:hAnsiTheme="minorEastAsia" w:eastAsiaTheme="minorEastAsia" w:cstheme="minorEastAsia"/>
          <w:sz w:val="28"/>
          <w:szCs w:val="28"/>
          <w:lang w:val="en-US" w:eastAsia="zh-CN"/>
        </w:rPr>
        <w:t>（GDP）</w:t>
      </w:r>
      <w:r>
        <w:rPr>
          <w:rFonts w:hint="eastAsia" w:asciiTheme="minorEastAsia" w:hAnsiTheme="minorEastAsia" w:eastAsiaTheme="minorEastAsia" w:cstheme="minorEastAsia"/>
          <w:sz w:val="28"/>
          <w:szCs w:val="28"/>
        </w:rPr>
        <w:t>109.59亿元</w:t>
      </w:r>
      <w:r>
        <w:rPr>
          <w:rFonts w:hint="eastAsia" w:asciiTheme="minorEastAsia" w:hAnsiTheme="minorEastAsia" w:eastAsiaTheme="minorEastAsia" w:cstheme="minorEastAsia"/>
          <w:sz w:val="28"/>
          <w:szCs w:val="28"/>
          <w:lang w:val="en-US" w:eastAsia="zh-CN"/>
        </w:rPr>
        <w:t>，比上年增长7.6%。其中：第一产业增加值15.55 亿元，增长4.1%；第二产业增加值51.86 亿元，增长10.0%；第三产业增加值42.19 亿元，增长6.2%。一、二、三产业增加值占GDP的比重为14.2：47.3：38.5。社会固定资产投资120.89 元，比上年增长8.1%。</w:t>
      </w:r>
      <w:r>
        <w:rPr>
          <w:rFonts w:hint="eastAsia" w:asciiTheme="minorEastAsia" w:hAnsiTheme="minorEastAsia" w:eastAsiaTheme="minorEastAsia" w:cstheme="minorEastAsia"/>
          <w:sz w:val="28"/>
          <w:szCs w:val="28"/>
        </w:rPr>
        <w:t>规上工业增加值44.76亿元，增长10.5%；社会消费品零售总额32.25亿元，增长11%；一般公共预算收入1.075亿元，同上年持平；财政预算支出43.45亿元，增长43%；城乡居民人均可支配收入达到26328元、10097元，分别增长8%、10.2%。</w:t>
      </w:r>
      <w:r>
        <w:rPr>
          <w:rFonts w:hint="eastAsia" w:asciiTheme="minorEastAsia" w:hAnsiTheme="minorEastAsia" w:eastAsiaTheme="minorEastAsia" w:cstheme="minorEastAsia"/>
          <w:sz w:val="28"/>
          <w:szCs w:val="28"/>
          <w:lang w:val="en-US" w:eastAsia="zh-CN"/>
        </w:rPr>
        <w:t>全年非公有制经济增加值占GDP的比重达56.2%，比上年提高1.3%。</w:t>
      </w:r>
      <w:bookmarkStart w:id="21" w:name="ref_[4]_13640916"/>
      <w:r>
        <w:rPr>
          <w:rFonts w:hint="eastAsia" w:ascii="宋体" w:hAnsi="宋体" w:eastAsia="宋体" w:cs="宋体"/>
          <w:sz w:val="28"/>
          <w:szCs w:val="28"/>
        </w:rPr>
        <w:t>人均生产总值</w:t>
      </w:r>
      <w:r>
        <w:rPr>
          <w:rFonts w:hint="eastAsia" w:ascii="宋体" w:hAnsi="宋体" w:eastAsia="宋体" w:cs="宋体"/>
          <w:sz w:val="28"/>
          <w:szCs w:val="28"/>
          <w:lang w:val="en-US" w:eastAsia="zh-CN"/>
        </w:rPr>
        <w:t>38178</w:t>
      </w:r>
      <w:r>
        <w:rPr>
          <w:rFonts w:hint="eastAsia" w:ascii="宋体" w:hAnsi="宋体" w:eastAsia="宋体" w:cs="宋体"/>
          <w:sz w:val="28"/>
          <w:szCs w:val="28"/>
        </w:rPr>
        <w:t>元，</w:t>
      </w:r>
      <w:r>
        <w:rPr>
          <w:rFonts w:hint="eastAsia" w:ascii="宋体" w:hAnsi="宋体" w:eastAsia="宋体" w:cs="宋体"/>
          <w:sz w:val="28"/>
          <w:szCs w:val="28"/>
          <w:lang w:eastAsia="zh-CN"/>
        </w:rPr>
        <w:t>人均</w:t>
      </w:r>
      <w:r>
        <w:rPr>
          <w:rFonts w:hint="eastAsia" w:ascii="宋体" w:hAnsi="宋体" w:eastAsia="宋体" w:cs="宋体"/>
          <w:sz w:val="28"/>
          <w:szCs w:val="28"/>
          <w:lang w:val="en-US" w:eastAsia="zh-CN"/>
        </w:rPr>
        <w:t>GDP低于全国、全省与安康市的平均水平。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28575</wp:posOffset>
            </wp:positionV>
            <wp:extent cx="5860415" cy="3608070"/>
            <wp:effectExtent l="0" t="0" r="6985" b="11430"/>
            <wp:wrapNone/>
            <wp:docPr id="6" name="图片 6" descr="近五年来紫阳GDP增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近五年来紫阳GDP增速"/>
                    <pic:cNvPicPr>
                      <a:picLocks noChangeAspect="1"/>
                    </pic:cNvPicPr>
                  </pic:nvPicPr>
                  <pic:blipFill>
                    <a:blip r:embed="rId19"/>
                    <a:stretch>
                      <a:fillRect/>
                    </a:stretch>
                  </pic:blipFill>
                  <pic:spPr>
                    <a:xfrm>
                      <a:off x="0" y="0"/>
                      <a:ext cx="5860415" cy="3608070"/>
                    </a:xfrm>
                    <a:prstGeom prst="rect">
                      <a:avLst/>
                    </a:prstGeom>
                  </pic:spPr>
                </pic:pic>
              </a:graphicData>
            </a:graphic>
          </wp:anchor>
        </w:drawing>
      </w: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图1-1 紫阳县近五年来GDP总量及增速</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0288" behindDoc="0" locked="0" layoutInCell="1" allowOverlap="1">
            <wp:simplePos x="0" y="0"/>
            <wp:positionH relativeFrom="column">
              <wp:posOffset>256540</wp:posOffset>
            </wp:positionH>
            <wp:positionV relativeFrom="paragraph">
              <wp:posOffset>22225</wp:posOffset>
            </wp:positionV>
            <wp:extent cx="5755640" cy="3172460"/>
            <wp:effectExtent l="0" t="0" r="16510" b="8890"/>
            <wp:wrapNone/>
            <wp:docPr id="7" name="图片 7" descr="2019年紫阳县GDP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19年紫阳县GDP饼图"/>
                    <pic:cNvPicPr>
                      <a:picLocks noChangeAspect="1"/>
                    </pic:cNvPicPr>
                  </pic:nvPicPr>
                  <pic:blipFill>
                    <a:blip r:embed="rId20"/>
                    <a:stretch>
                      <a:fillRect/>
                    </a:stretch>
                  </pic:blipFill>
                  <pic:spPr>
                    <a:xfrm>
                      <a:off x="0" y="0"/>
                      <a:ext cx="5755640" cy="3172460"/>
                    </a:xfrm>
                    <a:prstGeom prst="rect">
                      <a:avLst/>
                    </a:prstGeom>
                  </pic:spPr>
                </pic:pic>
              </a:graphicData>
            </a:graphic>
          </wp:anchor>
        </w:drawing>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图1-2 紫阳县2019年GDP构成</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w:t>
      </w:r>
      <w:bookmarkEnd w:id="21"/>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基于</w:t>
      </w:r>
      <w:r>
        <w:rPr>
          <w:rFonts w:hint="eastAsia" w:asciiTheme="minorEastAsia" w:hAnsiTheme="minorEastAsia" w:eastAsiaTheme="minorEastAsia" w:cstheme="minorEastAsia"/>
          <w:sz w:val="28"/>
          <w:szCs w:val="28"/>
        </w:rPr>
        <w:t>2019年</w:t>
      </w:r>
      <w:r>
        <w:rPr>
          <w:rFonts w:hint="eastAsia" w:asciiTheme="minorEastAsia" w:hAnsiTheme="minorEastAsia" w:eastAsiaTheme="minorEastAsia" w:cstheme="minorEastAsia"/>
          <w:sz w:val="28"/>
          <w:szCs w:val="28"/>
          <w:lang w:val="en-US" w:eastAsia="zh-CN"/>
        </w:rPr>
        <w:t>基本县情并参照《</w:t>
      </w:r>
      <w:r>
        <w:rPr>
          <w:rFonts w:hint="eastAsia" w:asciiTheme="minorEastAsia" w:hAnsiTheme="minorEastAsia" w:eastAsiaTheme="minorEastAsia" w:cstheme="minorEastAsia"/>
          <w:sz w:val="28"/>
          <w:szCs w:val="28"/>
          <w:lang w:eastAsia="zh-CN"/>
        </w:rPr>
        <w:t>紫阳</w:t>
      </w:r>
      <w:r>
        <w:rPr>
          <w:rFonts w:hint="eastAsia" w:asciiTheme="minorEastAsia" w:hAnsiTheme="minorEastAsia" w:eastAsiaTheme="minorEastAsia" w:cstheme="minorEastAsia"/>
          <w:sz w:val="28"/>
          <w:szCs w:val="28"/>
          <w:lang w:val="en-US" w:eastAsia="zh-CN"/>
        </w:rPr>
        <w:t>县2019年</w:t>
      </w:r>
      <w:r>
        <w:rPr>
          <w:rFonts w:hint="eastAsia" w:asciiTheme="minorEastAsia" w:hAnsiTheme="minorEastAsia" w:eastAsiaTheme="minorEastAsia" w:cstheme="minorEastAsia"/>
          <w:sz w:val="28"/>
          <w:szCs w:val="28"/>
        </w:rPr>
        <w:t>国民经济和社会发展统计公报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数据分析得出以下结论：</w:t>
      </w:r>
    </w:p>
    <w:p>
      <w:pPr>
        <w:pStyle w:val="7"/>
        <w:keepNext w:val="0"/>
        <w:keepLines w:val="0"/>
        <w:pageBreakBefore w:val="0"/>
        <w:widowControl/>
        <w:kinsoku/>
        <w:wordWrap/>
        <w:overflowPunct/>
        <w:topLinePunct w:val="0"/>
        <w:autoSpaceDE/>
        <w:autoSpaceDN/>
        <w:bidi w:val="0"/>
        <w:adjustRightInd w:val="0"/>
        <w:snapToGrid w:val="0"/>
        <w:spacing w:before="200" w:after="80" w:line="360" w:lineRule="auto"/>
        <w:ind w:firstLine="56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1.生态保护压力大，生态环境质量下降、发展空间不足，承载能力有限。</w:t>
      </w:r>
    </w:p>
    <w:p>
      <w:pPr>
        <w:pStyle w:val="7"/>
        <w:keepNext w:val="0"/>
        <w:keepLines w:val="0"/>
        <w:pageBreakBefore w:val="0"/>
        <w:widowControl/>
        <w:kinsoku/>
        <w:wordWrap/>
        <w:overflowPunct/>
        <w:topLinePunct w:val="0"/>
        <w:autoSpaceDE/>
        <w:autoSpaceDN/>
        <w:bidi w:val="0"/>
        <w:adjustRightInd w:val="0"/>
        <w:snapToGrid w:val="0"/>
        <w:spacing w:before="200" w:after="80" w:line="360" w:lineRule="auto"/>
        <w:ind w:firstLine="56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2.产业集群化水平低。现有企业规模小、数量少，新型农业经营主体培育缓慢，全链条增值的现代农业产业体系尚未形成，综合竞争力不强。</w:t>
      </w:r>
    </w:p>
    <w:p>
      <w:pPr>
        <w:pStyle w:val="7"/>
        <w:keepNext w:val="0"/>
        <w:keepLines w:val="0"/>
        <w:pageBreakBefore w:val="0"/>
        <w:widowControl/>
        <w:kinsoku/>
        <w:wordWrap/>
        <w:overflowPunct/>
        <w:topLinePunct w:val="0"/>
        <w:autoSpaceDE/>
        <w:autoSpaceDN/>
        <w:bidi w:val="0"/>
        <w:adjustRightInd w:val="0"/>
        <w:snapToGrid w:val="0"/>
        <w:spacing w:before="200" w:after="80" w:line="360" w:lineRule="auto"/>
        <w:ind w:firstLine="560"/>
        <w:textAlignment w:val="auto"/>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3.旅游业发展缓慢。旅游业仍处于初级阶段，城景融合、农旅融合发展滞后，产业链条短，业态较为单一。</w:t>
      </w:r>
    </w:p>
    <w:p>
      <w:pPr>
        <w:pStyle w:val="7"/>
        <w:keepNext w:val="0"/>
        <w:keepLines w:val="0"/>
        <w:pageBreakBefore w:val="0"/>
        <w:widowControl/>
        <w:kinsoku/>
        <w:wordWrap/>
        <w:overflowPunct/>
        <w:topLinePunct w:val="0"/>
        <w:autoSpaceDE/>
        <w:autoSpaceDN/>
        <w:bidi w:val="0"/>
        <w:adjustRightInd w:val="0"/>
        <w:snapToGrid w:val="0"/>
        <w:spacing w:before="200" w:after="80" w:line="360" w:lineRule="auto"/>
        <w:ind w:firstLine="560"/>
        <w:textAlignment w:val="auto"/>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4.协作机制不健全。资源共享程度低，缺乏统一有效的资源开发模式，城镇基础设施和公共服务共建共享不足，运营管理效率不高，县域一体化发展偏慢。</w:t>
      </w:r>
    </w:p>
    <w:p>
      <w:pPr>
        <w:spacing w:before="200" w:after="80"/>
        <w:ind w:firstLine="560" w:firstLineChars="200"/>
        <w:rPr>
          <w:rFonts w:hint="default"/>
          <w:b w:val="0"/>
          <w:bCs w:val="0"/>
          <w:lang w:val="en-US" w:eastAsia="zh-CN"/>
        </w:rPr>
      </w:pPr>
      <w:r>
        <w:rPr>
          <w:rFonts w:hint="eastAsia" w:asciiTheme="minorEastAsia" w:hAnsiTheme="minorEastAsia" w:eastAsiaTheme="minorEastAsia" w:cstheme="minorEastAsia"/>
          <w:b w:val="0"/>
          <w:bCs w:val="0"/>
          <w:sz w:val="28"/>
          <w:szCs w:val="28"/>
          <w:lang w:val="en-US" w:eastAsia="zh-CN"/>
        </w:rPr>
        <w:t>5.产业粗放性发展、产品低层次加工与生产、相对落后的技术水平并存，内生发展动力不强。</w:t>
      </w:r>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6.民营经济不活跃，缺乏本土知名企业的带动，营商环境有待提高；</w:t>
      </w:r>
    </w:p>
    <w:p>
      <w:pPr>
        <w:pStyle w:val="2"/>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7.返乡回乡人员创业的积极性不高，第三产业缺乏多样性与活跃性；</w:t>
      </w:r>
    </w:p>
    <w:p>
      <w:pPr>
        <w:pStyle w:val="2"/>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8.数字基础设施还有待进一步完善；</w:t>
      </w:r>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9.对数字经济如何提升拉动经济社会发展缺乏重视。</w:t>
      </w:r>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 w:val="28"/>
          <w:szCs w:val="28"/>
          <w:lang w:val="en-US" w:eastAsia="zh-CN"/>
        </w:rPr>
        <w:t>数字经济是基于紫阳县客观县情（经济欠发达但生态保护较好，富硒产业与绿色产业具有优势，大健康产业与旅游产业随着交通快捷具有后发优势，但农业散而不强，工业配套体系薄弱，人口分散聚集），推动经济实现跨越式发展的重要基础，必须予以重视并提早谋划。</w:t>
      </w:r>
      <w:r>
        <w:rPr>
          <w:rFonts w:hint="eastAsia" w:asciiTheme="minorEastAsia" w:hAnsiTheme="minorEastAsia" w:eastAsiaTheme="minorEastAsia" w:cstheme="minorEastAsia"/>
          <w:szCs w:val="28"/>
          <w:lang w:val="en-US" w:eastAsia="zh-CN"/>
        </w:rPr>
        <w:t xml:space="preserve"> </w:t>
      </w:r>
    </w:p>
    <w:p>
      <w:pPr>
        <w:pStyle w:val="2"/>
        <w:rPr>
          <w:rFonts w:hint="eastAsia" w:asciiTheme="minorEastAsia" w:hAnsiTheme="minorEastAsia" w:eastAsiaTheme="minorEastAsia" w:cstheme="minorEastAsia"/>
          <w:szCs w:val="28"/>
          <w:lang w:val="en-US" w:eastAsia="zh-CN"/>
        </w:rPr>
      </w:pPr>
    </w:p>
    <w:p>
      <w:pPr>
        <w:pStyle w:val="2"/>
        <w:rPr>
          <w:rFonts w:hint="eastAsia" w:asciiTheme="minorEastAsia" w:hAnsiTheme="minorEastAsia" w:eastAsiaTheme="minorEastAsia" w:cstheme="minorEastAsia"/>
          <w:szCs w:val="28"/>
          <w:lang w:val="en-US" w:eastAsia="zh-CN"/>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outlineLvl w:val="0"/>
        <w:rPr>
          <w:rFonts w:hint="eastAsia"/>
          <w:lang w:val="en-US" w:eastAsia="zh-CN"/>
        </w:rPr>
      </w:pPr>
      <w:bookmarkStart w:id="22" w:name="_Toc23177"/>
      <w:bookmarkStart w:id="23" w:name="_Toc6376"/>
      <w:bookmarkStart w:id="24" w:name="_Toc6877"/>
      <w:bookmarkStart w:id="25" w:name="_Toc10464"/>
      <w:bookmarkStart w:id="26" w:name="_Toc21777"/>
      <w:bookmarkStart w:id="27" w:name="_Toc18827"/>
      <w:bookmarkStart w:id="28" w:name="_Toc12126"/>
      <w:bookmarkStart w:id="29" w:name="_Toc20051"/>
      <w:r>
        <w:rPr>
          <w:rFonts w:hint="eastAsia"/>
          <w:lang w:val="en-US" w:eastAsia="zh-CN"/>
        </w:rPr>
        <w:t>第二章 发展基础与面临的形势</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紧紧把握数字经济的发展机遇，科学审视紫阳县情特征，客观研判国际国内大环境变化，站在新起点谋划新发展，为紫阳县实现跨越式发展提供新的动力。</w:t>
      </w:r>
    </w:p>
    <w:p>
      <w:pPr>
        <w:pStyle w:val="5"/>
        <w:bidi w:val="0"/>
        <w:outlineLvl w:val="1"/>
        <w:rPr>
          <w:rFonts w:hint="eastAsia" w:ascii="黑体" w:hAnsi="黑体" w:eastAsia="黑体" w:cs="黑体"/>
          <w:sz w:val="30"/>
          <w:szCs w:val="30"/>
          <w:lang w:val="en-US" w:eastAsia="zh-CN"/>
        </w:rPr>
      </w:pPr>
      <w:bookmarkStart w:id="30" w:name="_Toc8896"/>
      <w:bookmarkStart w:id="31" w:name="_Toc14172"/>
      <w:bookmarkStart w:id="32" w:name="_Toc29080"/>
      <w:bookmarkStart w:id="33" w:name="_Toc32183"/>
      <w:bookmarkStart w:id="34" w:name="_Toc27483"/>
      <w:bookmarkStart w:id="35" w:name="_Toc10184"/>
      <w:bookmarkStart w:id="36" w:name="_Toc8263"/>
      <w:bookmarkStart w:id="37" w:name="_Toc1816"/>
      <w:r>
        <w:rPr>
          <w:rFonts w:hint="eastAsia" w:ascii="黑体" w:hAnsi="黑体" w:eastAsia="黑体" w:cs="黑体"/>
          <w:sz w:val="30"/>
          <w:szCs w:val="30"/>
          <w:lang w:val="en-US" w:eastAsia="zh-CN"/>
        </w:rPr>
        <w:t>2.1发展基础</w:t>
      </w:r>
      <w:bookmarkEnd w:id="30"/>
      <w:bookmarkEnd w:id="31"/>
      <w:bookmarkEnd w:id="32"/>
      <w:bookmarkEnd w:id="33"/>
      <w:bookmarkEnd w:id="34"/>
      <w:bookmarkEnd w:id="35"/>
      <w:bookmarkEnd w:id="36"/>
      <w:bookmarkEnd w:id="37"/>
    </w:p>
    <w:p>
      <w:pPr>
        <w:pStyle w:val="7"/>
        <w:keepNext w:val="0"/>
        <w:keepLines w:val="0"/>
        <w:pageBreakBefore w:val="0"/>
        <w:widowControl w:val="0"/>
        <w:numPr>
          <w:ilvl w:val="-1"/>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lang w:val="en-US" w:eastAsia="zh-CN"/>
        </w:rPr>
        <w:t>数字基础设施建设扎实推进</w:t>
      </w:r>
      <w:r>
        <w:rPr>
          <w:rFonts w:hint="eastAsia" w:asciiTheme="minorEastAsia" w:hAnsiTheme="minorEastAsia" w:eastAsiaTheme="minorEastAsia" w:cstheme="minorEastAsia"/>
          <w:b/>
          <w:bCs/>
          <w:kern w:val="0"/>
          <w:sz w:val="28"/>
          <w:szCs w:val="28"/>
        </w:rPr>
        <w:t>。</w:t>
      </w:r>
      <w:r>
        <w:rPr>
          <w:rFonts w:hint="eastAsia" w:asciiTheme="minorEastAsia" w:hAnsiTheme="minorEastAsia" w:eastAsiaTheme="minorEastAsia" w:cstheme="minorEastAsia"/>
          <w:sz w:val="28"/>
          <w:szCs w:val="28"/>
          <w:lang w:val="en-US" w:eastAsia="zh-CN"/>
        </w:rPr>
        <w:t>紫阳县</w:t>
      </w:r>
      <w:r>
        <w:rPr>
          <w:rFonts w:hint="eastAsia" w:asciiTheme="minorEastAsia" w:hAnsiTheme="minorEastAsia" w:eastAsiaTheme="minorEastAsia" w:cstheme="minorEastAsia"/>
          <w:kern w:val="0"/>
          <w:sz w:val="28"/>
          <w:szCs w:val="28"/>
        </w:rPr>
        <w:t>城区实现</w:t>
      </w:r>
      <w:r>
        <w:rPr>
          <w:rFonts w:hint="eastAsia" w:asciiTheme="minorEastAsia" w:hAnsiTheme="minorEastAsia" w:eastAsiaTheme="minorEastAsia" w:cstheme="minorEastAsia"/>
          <w:kern w:val="0"/>
          <w:sz w:val="28"/>
          <w:szCs w:val="28"/>
          <w:lang w:eastAsia="zh-CN"/>
        </w:rPr>
        <w:t>了</w:t>
      </w:r>
      <w:r>
        <w:rPr>
          <w:rFonts w:hint="eastAsia" w:asciiTheme="minorEastAsia" w:hAnsiTheme="minorEastAsia" w:eastAsiaTheme="minorEastAsia" w:cstheme="minorEastAsia"/>
          <w:kern w:val="0"/>
          <w:sz w:val="28"/>
          <w:szCs w:val="28"/>
        </w:rPr>
        <w:t>光纤全覆盖、农村行政村100%实现光网覆盖，平均网速达到50M，最高可达千兆</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无线网络基站新建32座，无线4G覆盖率</w:t>
      </w:r>
      <w:r>
        <w:rPr>
          <w:rFonts w:hint="eastAsia" w:asciiTheme="minorEastAsia" w:hAnsiTheme="minorEastAsia" w:eastAsiaTheme="minorEastAsia" w:cstheme="minorEastAsia"/>
          <w:kern w:val="0"/>
          <w:sz w:val="28"/>
          <w:szCs w:val="28"/>
          <w:lang w:eastAsia="zh-CN"/>
        </w:rPr>
        <w:t>达到</w:t>
      </w:r>
      <w:r>
        <w:rPr>
          <w:rFonts w:hint="eastAsia" w:asciiTheme="minorEastAsia" w:hAnsiTheme="minorEastAsia" w:eastAsiaTheme="minorEastAsia" w:cstheme="minorEastAsia"/>
          <w:kern w:val="0"/>
          <w:sz w:val="28"/>
          <w:szCs w:val="28"/>
        </w:rPr>
        <w:t>92%，3G覆盖率</w:t>
      </w:r>
      <w:r>
        <w:rPr>
          <w:rFonts w:hint="eastAsia" w:asciiTheme="minorEastAsia" w:hAnsiTheme="minorEastAsia" w:eastAsiaTheme="minorEastAsia" w:cstheme="minorEastAsia"/>
          <w:kern w:val="0"/>
          <w:sz w:val="28"/>
          <w:szCs w:val="28"/>
          <w:lang w:eastAsia="zh-CN"/>
        </w:rPr>
        <w:t>达到</w:t>
      </w:r>
      <w:r>
        <w:rPr>
          <w:rFonts w:hint="eastAsia" w:asciiTheme="minorEastAsia" w:hAnsiTheme="minorEastAsia" w:eastAsiaTheme="minorEastAsia" w:cstheme="minorEastAsia"/>
          <w:kern w:val="0"/>
          <w:sz w:val="28"/>
          <w:szCs w:val="28"/>
        </w:rPr>
        <w:t>71.5%，2G覆盖率</w:t>
      </w:r>
      <w:r>
        <w:rPr>
          <w:rFonts w:hint="eastAsia" w:asciiTheme="minorEastAsia" w:hAnsiTheme="minorEastAsia" w:eastAsiaTheme="minorEastAsia" w:cstheme="minorEastAsia"/>
          <w:kern w:val="0"/>
          <w:sz w:val="28"/>
          <w:szCs w:val="28"/>
          <w:lang w:eastAsia="zh-CN"/>
        </w:rPr>
        <w:t>达到</w:t>
      </w:r>
      <w:r>
        <w:rPr>
          <w:rFonts w:hint="eastAsia" w:asciiTheme="minorEastAsia" w:hAnsiTheme="minorEastAsia" w:eastAsiaTheme="minorEastAsia" w:cstheme="minorEastAsia"/>
          <w:kern w:val="0"/>
          <w:sz w:val="28"/>
          <w:szCs w:val="28"/>
        </w:rPr>
        <w:t>89.6%</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家庭接入宽带实现千兆引领、百兆主流。智慧家庭组网给家庭客户提供更加优质的服务，智慧家庭组网、4G/4G+通信、高清 IPTV 等业务让广大用户享受到宽带所带来的信息化红利</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中国电信紫阳分公司持续启动“宽带中国</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光网紫阳”工程，全力打造智慧家庭组网，以无源光网络(PON) 技术结合高性能路由集群等关键技术，打造宽带化、IP化、扁平化、融合化为核心特征的可管可控的绿色高性能光通信网络，向家庭客户和政企客户提供不同需求的高质量、高速率的接入和行业应用解决方案，并为客户带来众多崭新的信息化应用</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光纤宽带推动物联网、云计算等新兴产业发展，加快推进个人、物和组织之间的物联化和互联化。</w:t>
      </w:r>
    </w:p>
    <w:p>
      <w:pPr>
        <w:pStyle w:val="7"/>
        <w:widowControl w:val="0"/>
        <w:numPr>
          <w:ilvl w:val="0"/>
          <w:numId w:val="0"/>
        </w:numPr>
        <w:adjustRightInd/>
        <w:snapToGrid/>
        <w:spacing w:before="8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目前，在紫阳县城、镇周边、村委会周边、工业园区、铁路沿线、高速公路、国道、省道、县道居住区、大型农业园区、农家乐、民宿区、旅游景区等均有4G信号，使用4G、5G智能手机均可实现通话、短信、微信与短视频互动等功能。但老人、儿童与低收入者还有使用2G、3G手机，只能进行通话、收发短信基本业务，同时</w:t>
      </w:r>
      <w:r>
        <w:rPr>
          <w:rFonts w:hint="eastAsia" w:asciiTheme="minorEastAsia" w:hAnsiTheme="minorEastAsia" w:eastAsiaTheme="minorEastAsia" w:cstheme="minorEastAsia"/>
          <w:sz w:val="28"/>
          <w:szCs w:val="28"/>
          <w:lang w:val="en-US" w:eastAsia="zh-CN"/>
        </w:rPr>
        <w:t>紫阳的4G网络优化与5G网络建设已开始实施，由中国铁塔公司安康公司承担改造新建任务。</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积极推进全域旅游</w:t>
      </w:r>
      <w:r>
        <w:rPr>
          <w:rFonts w:hint="eastAsia" w:ascii="宋体" w:hAnsi="宋体" w:eastAsia="宋体" w:cs="宋体"/>
          <w:b/>
          <w:bCs/>
          <w:sz w:val="28"/>
          <w:szCs w:val="28"/>
        </w:rPr>
        <w:t>。</w:t>
      </w:r>
      <w:r>
        <w:rPr>
          <w:rFonts w:hint="eastAsia" w:ascii="宋体" w:hAnsi="宋体" w:eastAsia="宋体" w:cs="宋体"/>
          <w:b w:val="0"/>
          <w:bCs w:val="0"/>
          <w:sz w:val="28"/>
          <w:szCs w:val="28"/>
          <w:lang w:val="en-US" w:eastAsia="zh-CN"/>
        </w:rPr>
        <w:t>紫阳</w:t>
      </w:r>
      <w:r>
        <w:rPr>
          <w:rFonts w:hint="eastAsia" w:ascii="宋体" w:hAnsi="宋体" w:eastAsia="宋体" w:cs="宋体"/>
          <w:sz w:val="28"/>
          <w:szCs w:val="28"/>
        </w:rPr>
        <w:t>旅游信息化建设以“</w:t>
      </w:r>
      <w:r>
        <w:rPr>
          <w:rFonts w:hint="eastAsia" w:ascii="宋体" w:hAnsi="宋体" w:eastAsia="宋体" w:cs="宋体"/>
          <w:sz w:val="28"/>
          <w:szCs w:val="28"/>
          <w:lang w:eastAsia="zh-CN"/>
        </w:rPr>
        <w:t>爱紫阳客户端</w:t>
      </w:r>
      <w:r>
        <w:rPr>
          <w:rFonts w:hint="eastAsia" w:ascii="宋体" w:hAnsi="宋体" w:eastAsia="宋体" w:cs="宋体"/>
          <w:sz w:val="28"/>
          <w:szCs w:val="28"/>
        </w:rPr>
        <w:t>”为抓手全力推进</w:t>
      </w:r>
      <w:r>
        <w:rPr>
          <w:rFonts w:hint="eastAsia" w:ascii="宋体" w:hAnsi="宋体" w:eastAsia="宋体" w:cs="宋体"/>
          <w:sz w:val="28"/>
          <w:szCs w:val="28"/>
          <w:lang w:val="en-US" w:eastAsia="zh-CN"/>
        </w:rPr>
        <w:t>全县全域</w:t>
      </w:r>
      <w:r>
        <w:rPr>
          <w:rFonts w:hint="eastAsia" w:ascii="宋体" w:hAnsi="宋体" w:eastAsia="宋体" w:cs="宋体"/>
          <w:sz w:val="28"/>
          <w:szCs w:val="28"/>
        </w:rPr>
        <w:t>智慧旅游建设，先后完成了“三网一库”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三网：内网、办公业务资源网与公共管理与服务网，一库：电子政务信息资源库</w:t>
      </w:r>
      <w:r>
        <w:rPr>
          <w:rFonts w:hint="eastAsia" w:ascii="宋体" w:hAnsi="宋体" w:eastAsia="宋体" w:cs="宋体"/>
          <w:sz w:val="28"/>
          <w:szCs w:val="28"/>
          <w:lang w:eastAsia="zh-CN"/>
        </w:rPr>
        <w:t>）</w:t>
      </w:r>
      <w:r>
        <w:rPr>
          <w:rFonts w:hint="eastAsia" w:ascii="宋体" w:hAnsi="宋体" w:eastAsia="宋体" w:cs="宋体"/>
          <w:sz w:val="28"/>
          <w:szCs w:val="28"/>
        </w:rPr>
        <w:t>系统建设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紫阳</w:t>
      </w:r>
      <w:r>
        <w:rPr>
          <w:rFonts w:hint="eastAsia" w:ascii="宋体" w:hAnsi="宋体" w:eastAsia="宋体" w:cs="宋体"/>
          <w:sz w:val="28"/>
          <w:szCs w:val="28"/>
        </w:rPr>
        <w:t>智慧旅游公共信息服务智能终端体系、</w:t>
      </w:r>
      <w:r>
        <w:rPr>
          <w:rFonts w:hint="eastAsia" w:ascii="宋体" w:hAnsi="宋体" w:eastAsia="宋体" w:cs="宋体"/>
          <w:sz w:val="28"/>
          <w:szCs w:val="28"/>
          <w:lang w:val="en-US" w:eastAsia="zh-CN"/>
        </w:rPr>
        <w:t>紫阳</w:t>
      </w:r>
      <w:r>
        <w:rPr>
          <w:rFonts w:hint="eastAsia" w:ascii="宋体" w:hAnsi="宋体" w:eastAsia="宋体" w:cs="宋体"/>
          <w:sz w:val="28"/>
          <w:szCs w:val="28"/>
        </w:rPr>
        <w:t>旅游导航服务系统、</w:t>
      </w:r>
      <w:r>
        <w:rPr>
          <w:rFonts w:hint="eastAsia" w:ascii="宋体" w:hAnsi="宋体" w:eastAsia="宋体" w:cs="宋体"/>
          <w:sz w:val="28"/>
          <w:szCs w:val="28"/>
          <w:lang w:val="en-US" w:eastAsia="zh-CN"/>
        </w:rPr>
        <w:t>紫阳</w:t>
      </w:r>
      <w:r>
        <w:rPr>
          <w:rFonts w:hint="eastAsia" w:ascii="宋体" w:hAnsi="宋体" w:eastAsia="宋体" w:cs="宋体"/>
          <w:sz w:val="28"/>
          <w:szCs w:val="28"/>
        </w:rPr>
        <w:t>导游公共服务监管平台、旅游服务质量管理系统等建设工作，实现了</w:t>
      </w:r>
      <w:r>
        <w:rPr>
          <w:rFonts w:hint="eastAsia" w:ascii="宋体" w:hAnsi="宋体" w:eastAsia="宋体" w:cs="宋体"/>
          <w:sz w:val="28"/>
          <w:szCs w:val="28"/>
          <w:lang w:val="en-US" w:eastAsia="zh-CN"/>
        </w:rPr>
        <w:t>对</w:t>
      </w:r>
      <w:r>
        <w:rPr>
          <w:rFonts w:hint="eastAsia" w:ascii="宋体" w:hAnsi="宋体" w:eastAsia="宋体" w:cs="宋体"/>
          <w:sz w:val="28"/>
          <w:szCs w:val="28"/>
        </w:rPr>
        <w:t>旅游市场管理和监测，最大限度地保护旅游者和旅游经营者的合法权益，提升游客满意度。</w:t>
      </w:r>
      <w:r>
        <w:rPr>
          <w:rFonts w:hint="eastAsia" w:ascii="宋体" w:hAnsi="宋体" w:eastAsia="宋体" w:cs="宋体"/>
          <w:sz w:val="28"/>
          <w:szCs w:val="28"/>
          <w:lang w:val="en-US" w:eastAsia="zh-CN"/>
        </w:rPr>
        <w:t>外地游客通过智能手机进入“爱紫阳客户端”就可获得旅游资讯信息。</w:t>
      </w:r>
    </w:p>
    <w:p>
      <w:pPr>
        <w:pStyle w:val="2"/>
        <w:jc w:val="center"/>
        <w:rPr>
          <w:rFonts w:hint="eastAsia" w:ascii="宋体" w:hAnsi="宋体" w:eastAsia="宋体" w:cs="宋体"/>
          <w:sz w:val="28"/>
          <w:szCs w:val="28"/>
          <w:lang w:val="en-US" w:eastAsia="zh-CN"/>
        </w:rPr>
      </w:pPr>
      <w:r>
        <w:rPr>
          <w:rFonts w:hint="default"/>
          <w:lang w:val="en-US" w:eastAsia="zh-CN"/>
        </w:rPr>
        <w:drawing>
          <wp:inline distT="0" distB="0" distL="114300" distR="114300">
            <wp:extent cx="5398135" cy="4672965"/>
            <wp:effectExtent l="0" t="0" r="12065" b="13335"/>
            <wp:docPr id="9" name="图片 9" descr="bf572d51ab8e4ced052d319b7ac7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f572d51ab8e4ced052d319b7ac753f"/>
                    <pic:cNvPicPr>
                      <a:picLocks noChangeAspect="1"/>
                    </pic:cNvPicPr>
                  </pic:nvPicPr>
                  <pic:blipFill>
                    <a:blip r:embed="rId21"/>
                    <a:stretch>
                      <a:fillRect/>
                    </a:stretch>
                  </pic:blipFill>
                  <pic:spPr>
                    <a:xfrm>
                      <a:off x="0" y="0"/>
                      <a:ext cx="5398135" cy="4672965"/>
                    </a:xfrm>
                    <a:prstGeom prst="rect">
                      <a:avLst/>
                    </a:prstGeom>
                  </pic:spPr>
                </pic:pic>
              </a:graphicData>
            </a:graphic>
          </wp:inline>
        </w:drawing>
      </w:r>
    </w:p>
    <w:p>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图2-1 紫阳县旅游推介平台</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智慧交通</w:t>
      </w:r>
      <w:r>
        <w:rPr>
          <w:rFonts w:hint="eastAsia" w:ascii="宋体" w:hAnsi="宋体" w:eastAsia="宋体" w:cs="宋体"/>
          <w:b/>
          <w:bCs/>
          <w:sz w:val="28"/>
          <w:szCs w:val="28"/>
          <w:lang w:eastAsia="zh-CN"/>
        </w:rPr>
        <w:t>系统</w:t>
      </w:r>
      <w:r>
        <w:rPr>
          <w:rFonts w:hint="eastAsia" w:ascii="宋体" w:hAnsi="宋体" w:eastAsia="宋体" w:cs="宋体"/>
          <w:b/>
          <w:bCs/>
          <w:sz w:val="28"/>
          <w:szCs w:val="28"/>
          <w:lang w:val="en-US" w:eastAsia="zh-CN"/>
        </w:rPr>
        <w:t>不断</w:t>
      </w:r>
      <w:r>
        <w:rPr>
          <w:rFonts w:hint="eastAsia" w:ascii="宋体" w:hAnsi="宋体" w:eastAsia="宋体" w:cs="宋体"/>
          <w:b/>
          <w:bCs/>
          <w:sz w:val="28"/>
          <w:szCs w:val="28"/>
          <w:lang w:eastAsia="zh-CN"/>
        </w:rPr>
        <w:t>完善</w:t>
      </w:r>
      <w:r>
        <w:rPr>
          <w:rFonts w:hint="eastAsia" w:ascii="宋体" w:hAnsi="宋体" w:eastAsia="宋体" w:cs="宋体"/>
          <w:b/>
          <w:bCs/>
          <w:sz w:val="28"/>
          <w:szCs w:val="28"/>
        </w:rPr>
        <w:t>。</w:t>
      </w:r>
      <w:r>
        <w:rPr>
          <w:rFonts w:hint="eastAsia" w:ascii="宋体" w:hAnsi="宋体" w:eastAsia="宋体" w:cs="宋体"/>
          <w:sz w:val="28"/>
          <w:szCs w:val="28"/>
        </w:rPr>
        <w:t>建成启用道路运输综合管理系统、</w:t>
      </w:r>
      <w:r>
        <w:rPr>
          <w:rFonts w:hint="eastAsia" w:ascii="宋体" w:hAnsi="宋体" w:eastAsia="宋体" w:cs="宋体"/>
          <w:sz w:val="28"/>
          <w:szCs w:val="28"/>
          <w:lang w:val="en-US" w:eastAsia="zh-CN"/>
        </w:rPr>
        <w:t>运营车辆均实现GPS定位与限速控制管理。</w:t>
      </w:r>
      <w:r>
        <w:rPr>
          <w:rFonts w:hint="eastAsia" w:ascii="宋体" w:hAnsi="宋体" w:eastAsia="宋体" w:cs="宋体"/>
          <w:sz w:val="28"/>
          <w:szCs w:val="28"/>
        </w:rPr>
        <w:t>交通执法管理信息系统和公路管理信息系统，行业服务效能明显提升；启动</w:t>
      </w:r>
      <w:r>
        <w:rPr>
          <w:rFonts w:hint="eastAsia" w:ascii="宋体" w:hAnsi="宋体" w:eastAsia="宋体" w:cs="宋体"/>
          <w:sz w:val="28"/>
          <w:szCs w:val="28"/>
          <w:lang w:val="en-US" w:eastAsia="zh-CN"/>
        </w:rPr>
        <w:t>紫阳县</w:t>
      </w:r>
      <w:r>
        <w:rPr>
          <w:rFonts w:hint="eastAsia" w:ascii="宋体" w:hAnsi="宋体" w:eastAsia="宋体" w:cs="宋体"/>
          <w:sz w:val="28"/>
          <w:szCs w:val="28"/>
        </w:rPr>
        <w:t>智慧交通运输综合信息管理系统建设，整合行业数据，实现与上级行业管理部门数据、</w:t>
      </w:r>
      <w:r>
        <w:rPr>
          <w:rFonts w:hint="eastAsia" w:ascii="宋体" w:hAnsi="宋体" w:eastAsia="宋体" w:cs="宋体"/>
          <w:sz w:val="28"/>
          <w:szCs w:val="28"/>
          <w:lang w:eastAsia="zh-CN"/>
        </w:rPr>
        <w:t>安康</w:t>
      </w:r>
      <w:r>
        <w:rPr>
          <w:rFonts w:hint="eastAsia" w:ascii="宋体" w:hAnsi="宋体" w:eastAsia="宋体" w:cs="宋体"/>
          <w:sz w:val="28"/>
          <w:szCs w:val="28"/>
        </w:rPr>
        <w:t>市数字城市大数据的对接等工作。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sz w:val="28"/>
          <w:szCs w:val="28"/>
        </w:rPr>
      </w:pPr>
      <w:r>
        <w:rPr>
          <w:rFonts w:hint="eastAsia" w:asciiTheme="minorEastAsia" w:hAnsiTheme="minorEastAsia" w:eastAsiaTheme="minorEastAsia" w:cstheme="minorEastAsia"/>
          <w:b/>
          <w:bCs/>
          <w:sz w:val="28"/>
          <w:szCs w:val="28"/>
          <w:lang w:eastAsia="zh-CN"/>
        </w:rPr>
        <w:t>教育信息化水平不断提升</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全县共有小学45所，普通中学20所（其中初中18所、高中2所），中等职业学校1所。</w:t>
      </w:r>
      <w:r>
        <w:rPr>
          <w:rFonts w:hint="eastAsia" w:asciiTheme="minorEastAsia" w:hAnsiTheme="minorEastAsia" w:eastAsiaTheme="minorEastAsia" w:cstheme="minorEastAsia"/>
          <w:sz w:val="28"/>
          <w:szCs w:val="28"/>
          <w:lang w:val="en-US" w:eastAsia="zh-CN"/>
        </w:rPr>
        <w:t>66</w:t>
      </w:r>
      <w:r>
        <w:rPr>
          <w:rFonts w:hint="eastAsia" w:ascii="宋体" w:hAnsi="宋体" w:eastAsia="宋体" w:cs="宋体"/>
          <w:sz w:val="28"/>
          <w:szCs w:val="28"/>
        </w:rPr>
        <w:t>所学校实现信息化建设与应用达标；基本完成了全</w:t>
      </w:r>
      <w:r>
        <w:rPr>
          <w:rFonts w:hint="eastAsia" w:ascii="宋体" w:hAnsi="宋体" w:eastAsia="宋体" w:cs="宋体"/>
          <w:sz w:val="28"/>
          <w:szCs w:val="28"/>
          <w:lang w:eastAsia="zh-CN"/>
        </w:rPr>
        <w:t>县</w:t>
      </w:r>
      <w:r>
        <w:rPr>
          <w:rFonts w:hint="eastAsia" w:ascii="宋体" w:hAnsi="宋体" w:eastAsia="宋体" w:cs="宋体"/>
          <w:sz w:val="28"/>
          <w:szCs w:val="28"/>
        </w:rPr>
        <w:t>中小学数字校园和</w:t>
      </w:r>
      <w:r>
        <w:rPr>
          <w:rFonts w:hint="eastAsia" w:ascii="宋体" w:hAnsi="宋体" w:eastAsia="宋体" w:cs="宋体"/>
          <w:b/>
          <w:bCs/>
          <w:sz w:val="28"/>
          <w:szCs w:val="28"/>
        </w:rPr>
        <w:t>“三通两平台”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三通：宽带网络校校通、优质资源班班通、网络学习空间人人通；两平台：教育资源公共服务平台、教育管理公共服务平台</w:t>
      </w:r>
      <w:r>
        <w:rPr>
          <w:rFonts w:hint="eastAsia" w:asciiTheme="minorEastAsia" w:hAnsiTheme="minorEastAsia" w:eastAsiaTheme="minorEastAsia" w:cstheme="minorEastAsia"/>
          <w:sz w:val="28"/>
          <w:szCs w:val="28"/>
          <w:lang w:eastAsia="zh-CN"/>
        </w:rPr>
        <w:t>）</w:t>
      </w:r>
      <w:r>
        <w:rPr>
          <w:rFonts w:hint="eastAsia" w:ascii="宋体" w:hAnsi="宋体" w:eastAsia="宋体" w:cs="宋体"/>
          <w:sz w:val="28"/>
          <w:szCs w:val="28"/>
        </w:rPr>
        <w:t>建设，基本实现了校园宽带网络和数字资源全覆盖，中小学信息化教学环境得到极大改善，全面进入优质资源班班通教学应用阶段，通过网络初步实现了优质教育资源共享，有效促进教育均衡发展。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b/>
          <w:bCs/>
          <w:color w:val="auto"/>
          <w:kern w:val="0"/>
          <w:sz w:val="28"/>
          <w:szCs w:val="28"/>
          <w:lang w:val="en-US" w:eastAsia="zh-CN" w:bidi="ar-SA"/>
        </w:rPr>
        <w:t>产业园区建设稳步推进。</w:t>
      </w:r>
      <w:r>
        <w:rPr>
          <w:rFonts w:hint="eastAsia" w:asciiTheme="minorEastAsia" w:hAnsiTheme="minorEastAsia" w:eastAsiaTheme="minorEastAsia" w:cstheme="minorEastAsia"/>
          <w:b w:val="0"/>
          <w:bCs w:val="0"/>
          <w:color w:val="auto"/>
          <w:kern w:val="0"/>
          <w:sz w:val="28"/>
          <w:szCs w:val="28"/>
          <w:lang w:val="en-US" w:eastAsia="zh-CN" w:bidi="ar-SA"/>
        </w:rPr>
        <w:t>按照陕西省《加快县域工业集中区和产业园区建设行动计划》精神，紫阳县于2018年将原硒谷生态工业园区和飞地经济产业园区实行整合，组建新的紫阳县产业园区管委会和园区发展投资开发有限公司，统筹原有两个工业集中区建设发展工作。整合后，形成“一区两园”的格局，一区即：紫阳县产业园区，两园指紫阳县产业园区下设两个产业园，即硒谷生态工业园和飞地经济产业园。园区分为硒谷和飞地两个片区，其中硒谷园区位于紫阳县蒿坪镇，围绕富硒食品、健康医药产业聚集发展；飞地园区位于汉滨区恒口工业示范区主要围绕环保建材、生物医药、电子产品加工、装备制造、智慧物流等循环产业发展。园区通过科技创新、循环发展、富硒产品深加工等技术措施，实现了县域经济的快速转型发展。</w:t>
      </w:r>
      <w:r>
        <w:rPr>
          <w:rFonts w:hint="eastAsia" w:asciiTheme="minorEastAsia" w:hAnsiTheme="minorEastAsia" w:eastAsiaTheme="minorEastAsia" w:cstheme="minorEastAsia"/>
          <w:color w:val="auto"/>
          <w:kern w:val="0"/>
          <w:sz w:val="28"/>
          <w:szCs w:val="28"/>
          <w:lang w:val="en-US" w:eastAsia="zh-CN" w:bidi="ar-SA"/>
        </w:rPr>
        <w:t>截止2020年6月底，整合后园区通过市场化运营机制，向上争取各类扶持资金9000余万元，园区两年片区共计完成固定资产投资近6亿元，招引企业达到27家，其中规上企业14家，实现工业产值46.45亿元（其中硒谷园区45.5亿元，飞地园区0.9589亿元），带动就业1000余人，实缴税收567.0324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电子商务体系逐渐完善。</w:t>
      </w:r>
      <w:r>
        <w:rPr>
          <w:rFonts w:hint="eastAsia" w:asciiTheme="minorEastAsia" w:hAnsiTheme="minorEastAsia" w:eastAsiaTheme="minorEastAsia" w:cstheme="minorEastAsia"/>
          <w:b w:val="0"/>
          <w:bCs w:val="0"/>
          <w:kern w:val="0"/>
          <w:sz w:val="28"/>
          <w:szCs w:val="28"/>
          <w:lang w:val="en-US" w:eastAsia="zh-CN" w:bidi="ar-SA"/>
        </w:rPr>
        <w:t>紫阳县建立了“12345”电商扶贫紫阳模式，即通过建设一套基础体系、两个发展重点、三个精准措施、四种资源保障、五项增收举措构建了全县电商扶贫“一盘棋”。全县通过</w:t>
      </w:r>
      <w:r>
        <w:rPr>
          <w:rFonts w:hint="eastAsia" w:asciiTheme="minorEastAsia" w:hAnsiTheme="minorEastAsia" w:eastAsiaTheme="minorEastAsia" w:cstheme="minorEastAsia"/>
          <w:kern w:val="0"/>
          <w:sz w:val="28"/>
          <w:szCs w:val="28"/>
          <w:lang w:val="en-US" w:eastAsia="zh-CN" w:bidi="ar-SA"/>
        </w:rPr>
        <w:t>围绕茶叶、魔芋、林果、中药材等优势产业，初步建立电商产品供应链、电商服务运营、物流仓储等体系；建成了1个县级电商服务中心、1个县级物流仓储中心、1个县级网货供应中心，14个镇级服务站，144个村级电商服务点，为工业品下行、农产品上行提供了重要平台。紫阳县通过采用活股权投资模式，带动了3000多万元的社会资本共同参与电子商务进农村示范县项目建设，极大加快了项目建设进程。目前，全县培育了20个电商扶贫龙头企业，2016年以来，累计带动3300余户贫困户增收，累计实现线上交易额11.9亿元。</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社会数字化服务水平逐步提升。</w:t>
      </w:r>
      <w:r>
        <w:rPr>
          <w:rFonts w:hint="eastAsia" w:asciiTheme="minorEastAsia" w:hAnsiTheme="minorEastAsia" w:eastAsiaTheme="minorEastAsia" w:cstheme="minorEastAsia"/>
          <w:kern w:val="0"/>
          <w:sz w:val="28"/>
          <w:szCs w:val="28"/>
          <w:lang w:val="en-US" w:eastAsia="zh-CN" w:bidi="ar-SA"/>
        </w:rPr>
        <w:t>近年来全县加速政务服务体系建设，拟订实施了政务服务标准规范；深化“互联网+政务服务”，推行审批服务“马上办、网上办、就近办、一次办”，优化提升了营商环境。提高了县政务服务中心、县政务服务网和12345市民服务平台、4411111便民服务平台和4412340民意调查服务平台的建设、运行、管理工作能力。针对县、乡、村间优质社会服务资源配置不均衡问题，继续推进欠发达地区网络接入和基础能力建设，充分运用互联网手段加快社会服务在线对接、线上线下深度融合，促进优质社会服务惠及更广大人民群众。同时大力促进发展“互联网+社会服务”消费模式。促进教育、医疗健康、养老、托育、家政、文化和旅游、体育等服务消费线上线下融合发展，拓展服务内容，扩大服务覆盖面。</w:t>
      </w:r>
    </w:p>
    <w:p>
      <w:pPr>
        <w:pStyle w:val="5"/>
        <w:bidi w:val="0"/>
        <w:outlineLvl w:val="1"/>
        <w:rPr>
          <w:rFonts w:hint="eastAsia"/>
          <w:lang w:val="en-US" w:eastAsia="zh-CN"/>
        </w:rPr>
      </w:pPr>
      <w:bookmarkStart w:id="38" w:name="_Toc32693"/>
      <w:bookmarkStart w:id="39" w:name="_Toc21356"/>
      <w:bookmarkStart w:id="40" w:name="_Toc15556"/>
      <w:bookmarkStart w:id="41" w:name="_Toc25491"/>
      <w:bookmarkStart w:id="42" w:name="_Toc2540"/>
      <w:bookmarkStart w:id="43" w:name="_Toc25249"/>
      <w:bookmarkStart w:id="44" w:name="_Toc19348"/>
      <w:bookmarkStart w:id="45" w:name="_Toc32446"/>
      <w:r>
        <w:rPr>
          <w:rFonts w:hint="eastAsia" w:ascii="黑体" w:hAnsi="黑体" w:eastAsia="黑体" w:cs="黑体"/>
          <w:sz w:val="30"/>
          <w:szCs w:val="30"/>
          <w:lang w:val="en-US" w:eastAsia="zh-CN"/>
        </w:rPr>
        <w:t>2.2问题</w:t>
      </w:r>
      <w:bookmarkEnd w:id="38"/>
      <w:bookmarkEnd w:id="39"/>
      <w:bookmarkEnd w:id="40"/>
      <w:bookmarkEnd w:id="41"/>
      <w:bookmarkEnd w:id="42"/>
      <w:bookmarkEnd w:id="43"/>
      <w:bookmarkEnd w:id="44"/>
      <w:r>
        <w:rPr>
          <w:rFonts w:hint="eastAsia" w:ascii="黑体" w:hAnsi="黑体" w:eastAsia="黑体" w:cs="黑体"/>
          <w:sz w:val="30"/>
          <w:szCs w:val="30"/>
          <w:lang w:val="en-US" w:eastAsia="zh-CN"/>
        </w:rPr>
        <w:t>挑战</w:t>
      </w:r>
      <w:bookmarkEnd w:id="45"/>
    </w:p>
    <w:p>
      <w:pPr>
        <w:pStyle w:val="9"/>
        <w:keepNext w:val="0"/>
        <w:keepLines w:val="0"/>
        <w:widowControl w:val="0"/>
        <w:suppressLineNumbers w:val="0"/>
        <w:spacing w:before="0" w:beforeAutospacing="0" w:after="0" w:afterAutospacing="0" w:line="360" w:lineRule="auto"/>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lang w:bidi="ar-SA"/>
        </w:rPr>
        <w:t>通信网络覆盖有待提升，数据缺乏全面统筹</w:t>
      </w:r>
      <w:r>
        <w:rPr>
          <w:rFonts w:hint="eastAsia" w:ascii="宋体" w:hAnsi="宋体" w:eastAsia="宋体" w:cs="宋体"/>
          <w:b/>
          <w:bCs/>
          <w:sz w:val="28"/>
          <w:szCs w:val="28"/>
          <w:lang w:eastAsia="zh-CN"/>
        </w:rPr>
        <w:t>。</w:t>
      </w:r>
      <w:r>
        <w:rPr>
          <w:rFonts w:hint="eastAsia" w:ascii="宋体" w:hAnsi="宋体" w:cs="宋体"/>
          <w:b w:val="0"/>
          <w:bCs w:val="0"/>
          <w:sz w:val="28"/>
          <w:szCs w:val="28"/>
          <w:lang w:eastAsia="zh-CN"/>
        </w:rPr>
        <w:t>紫阳</w:t>
      </w:r>
      <w:r>
        <w:rPr>
          <w:rFonts w:hint="eastAsia" w:ascii="宋体" w:hAnsi="宋体" w:eastAsia="宋体" w:cs="宋体"/>
          <w:sz w:val="28"/>
          <w:szCs w:val="28"/>
          <w:lang w:bidi="ar-SA"/>
        </w:rPr>
        <w:t>信息基础设施建设虽取得一定成效，但农村地区特别是部分深度贫困村的宽带网络覆盖面和覆盖质量仍需提升，城市公共区域免费WiFi网络覆盖率有待提升。数据中心建设缺乏全面统筹，“信息孤岛”和“烟囱”林立的困局依然存在，部门间缺乏有效的信息共享交换机制，利用效率普遍偏低，信息资源亟待整合。</w:t>
      </w:r>
    </w:p>
    <w:p>
      <w:pPr>
        <w:pStyle w:val="9"/>
        <w:keepNext w:val="0"/>
        <w:keepLines w:val="0"/>
        <w:widowControl w:val="0"/>
        <w:suppressLineNumbers w:val="0"/>
        <w:spacing w:before="0" w:beforeAutospacing="0" w:after="0" w:afterAutospacing="0" w:line="360" w:lineRule="auto"/>
        <w:ind w:left="0" w:right="0" w:firstLine="562" w:firstLineChars="200"/>
        <w:rPr>
          <w:rFonts w:hint="eastAsia" w:ascii="宋体" w:hAnsi="宋体" w:eastAsia="宋体" w:cs="宋体"/>
          <w:sz w:val="28"/>
          <w:szCs w:val="28"/>
          <w:lang w:bidi="ar-SA"/>
        </w:rPr>
      </w:pPr>
      <w:r>
        <w:rPr>
          <w:rFonts w:hint="eastAsia" w:ascii="宋体" w:hAnsi="宋体" w:eastAsia="宋体" w:cs="宋体"/>
          <w:b/>
          <w:bCs/>
          <w:sz w:val="28"/>
          <w:szCs w:val="28"/>
          <w:lang w:bidi="ar-SA"/>
        </w:rPr>
        <w:t>数字融合推进难度较大，企业意识有待加强。</w:t>
      </w:r>
      <w:r>
        <w:rPr>
          <w:rFonts w:hint="eastAsia" w:ascii="宋体" w:hAnsi="宋体" w:eastAsia="宋体" w:cs="宋体"/>
          <w:sz w:val="28"/>
          <w:szCs w:val="28"/>
          <w:lang w:bidi="ar-SA"/>
        </w:rPr>
        <w:t xml:space="preserve">产业数字化融合应用虽然取得初步成效，但整体推进难度较大，企业意识有待强化。企业信息化基础设施建设需要大量资金投入，现阶段以企业自有资金为主，多数中小型企业受限于自身实力，数字化转型投入意愿不强。同时，行业层面尚未建立垂直型大数据中心，无法满足中小企业数字化转型需求。行业龙头企业虽然已在探索企业数字化转型，但局限于行业强制性要求和产生直观效益等领域，如生产环节的设备升级改造、生产过程的安全监控和环境监测等。业务流程再造、产品生命周期管理、系统集成创新等方面的数字融合应用仍然欠缺。 </w:t>
      </w:r>
    </w:p>
    <w:p>
      <w:pPr>
        <w:pStyle w:val="9"/>
        <w:keepNext w:val="0"/>
        <w:keepLines w:val="0"/>
        <w:widowControl w:val="0"/>
        <w:suppressLineNumbers w:val="0"/>
        <w:spacing w:before="0" w:beforeAutospacing="0" w:after="0" w:afterAutospacing="0" w:line="360" w:lineRule="auto"/>
        <w:ind w:left="0" w:right="0" w:firstLine="562" w:firstLineChars="200"/>
        <w:rPr>
          <w:rFonts w:hint="eastAsia" w:ascii="宋体" w:hAnsi="宋体" w:eastAsia="宋体" w:cs="宋体"/>
          <w:sz w:val="28"/>
          <w:szCs w:val="28"/>
          <w:lang w:bidi="ar-SA"/>
        </w:rPr>
      </w:pPr>
      <w:r>
        <w:rPr>
          <w:rFonts w:hint="eastAsia" w:ascii="宋体" w:hAnsi="宋体" w:eastAsia="宋体" w:cs="宋体"/>
          <w:b/>
          <w:bCs/>
          <w:sz w:val="28"/>
          <w:szCs w:val="28"/>
          <w:lang w:bidi="ar-SA"/>
        </w:rPr>
        <w:t>城市治理系统尚未整合，公共服务仍需优化。</w:t>
      </w:r>
      <w:r>
        <w:rPr>
          <w:rFonts w:hint="eastAsia" w:ascii="宋体" w:hAnsi="宋体" w:eastAsia="宋体" w:cs="宋体"/>
          <w:sz w:val="28"/>
          <w:szCs w:val="28"/>
          <w:lang w:bidi="ar-SA"/>
        </w:rPr>
        <w:t xml:space="preserve"> 数字城市建设工作在</w:t>
      </w:r>
      <w:r>
        <w:rPr>
          <w:rFonts w:hint="eastAsia" w:ascii="宋体" w:hAnsi="宋体" w:eastAsia="宋体" w:cs="宋体"/>
          <w:sz w:val="28"/>
          <w:szCs w:val="28"/>
          <w:lang w:eastAsia="zh-CN"/>
        </w:rPr>
        <w:t>探索</w:t>
      </w:r>
      <w:r>
        <w:rPr>
          <w:rFonts w:hint="eastAsia" w:ascii="宋体" w:hAnsi="宋体" w:eastAsia="宋体" w:cs="宋体"/>
          <w:sz w:val="28"/>
          <w:szCs w:val="28"/>
          <w:lang w:val="en-US" w:eastAsia="zh-CN"/>
        </w:rPr>
        <w:t>阶段，</w:t>
      </w:r>
      <w:r>
        <w:rPr>
          <w:rFonts w:hint="eastAsia" w:ascii="宋体" w:hAnsi="宋体" w:eastAsia="宋体" w:cs="宋体"/>
          <w:sz w:val="28"/>
          <w:szCs w:val="28"/>
          <w:lang w:bidi="ar-SA"/>
        </w:rPr>
        <w:t>政务部门间存在信息化发展不平衡、共享机制不健全、共享开放理念不强</w:t>
      </w:r>
      <w:r>
        <w:rPr>
          <w:rFonts w:hint="eastAsia" w:ascii="宋体" w:hAnsi="宋体" w:eastAsia="宋体" w:cs="宋体"/>
          <w:sz w:val="28"/>
          <w:szCs w:val="28"/>
          <w:lang w:eastAsia="zh-CN"/>
        </w:rPr>
        <w:t>，</w:t>
      </w:r>
      <w:r>
        <w:rPr>
          <w:rFonts w:hint="eastAsia" w:ascii="宋体" w:hAnsi="宋体" w:eastAsia="宋体" w:cs="宋体"/>
          <w:sz w:val="28"/>
          <w:szCs w:val="28"/>
          <w:lang w:bidi="ar-SA"/>
        </w:rPr>
        <w:t>治理领域的平台缺乏统筹统建，未对跨层级、跨地域、跨系统、跨部门、跨业务的城市治理系统进行整合，</w:t>
      </w:r>
      <w:r>
        <w:rPr>
          <w:rFonts w:hint="eastAsia" w:ascii="宋体" w:hAnsi="宋体" w:cs="宋体"/>
          <w:sz w:val="28"/>
          <w:szCs w:val="28"/>
          <w:lang w:eastAsia="zh-CN" w:bidi="ar-SA"/>
        </w:rPr>
        <w:t>各种</w:t>
      </w:r>
      <w:r>
        <w:rPr>
          <w:rFonts w:hint="eastAsia" w:ascii="宋体" w:hAnsi="宋体" w:eastAsia="宋体" w:cs="宋体"/>
          <w:sz w:val="28"/>
          <w:szCs w:val="28"/>
          <w:lang w:bidi="ar-SA"/>
        </w:rPr>
        <w:t xml:space="preserve">信息系统不联不通。公共服务方面，信息化便民应用存在功能单一、用户体验差、使用率不高等问题，基层便民信息服务站未充分发挥作用，基层人员服务意识和专业素质有待提升，激励机制有待完善。 </w:t>
      </w:r>
    </w:p>
    <w:p>
      <w:pPr>
        <w:pStyle w:val="9"/>
        <w:widowControl w:val="0"/>
        <w:rPr>
          <w:rFonts w:hint="eastAsia" w:asciiTheme="minorEastAsia" w:hAnsiTheme="minorEastAsia" w:eastAsiaTheme="minorEastAsia" w:cstheme="minorEastAsia"/>
          <w:kern w:val="0"/>
          <w:sz w:val="28"/>
          <w:szCs w:val="28"/>
          <w:lang w:val="en-US" w:eastAsia="zh-CN" w:bidi="ar-SA"/>
        </w:rPr>
      </w:pPr>
      <w:r>
        <w:rPr>
          <w:rFonts w:hint="eastAsia" w:ascii="宋体" w:hAnsi="宋体" w:cs="宋体"/>
          <w:b/>
          <w:bCs/>
          <w:sz w:val="28"/>
          <w:szCs w:val="28"/>
          <w:lang w:val="en-US" w:eastAsia="zh-CN" w:bidi="ar-SA"/>
        </w:rPr>
        <w:t xml:space="preserve">    数</w:t>
      </w:r>
      <w:r>
        <w:rPr>
          <w:rFonts w:hint="eastAsia" w:ascii="宋体" w:hAnsi="宋体" w:eastAsia="宋体" w:cs="宋体"/>
          <w:b/>
          <w:bCs/>
          <w:sz w:val="28"/>
          <w:szCs w:val="28"/>
          <w:lang w:bidi="ar-SA"/>
        </w:rPr>
        <w:t>字经济生态面临制约，区域竞争日益激烈。</w:t>
      </w:r>
      <w:r>
        <w:rPr>
          <w:rFonts w:hint="eastAsia" w:ascii="宋体" w:hAnsi="宋体" w:eastAsia="宋体" w:cs="宋体"/>
          <w:sz w:val="28"/>
          <w:szCs w:val="28"/>
          <w:lang w:bidi="ar-SA"/>
        </w:rPr>
        <w:t xml:space="preserve"> 数字经济生态面临人才、资本、技术等要素资源制约，以及日益激烈的外部竞争压力。一方面，内部要素资源制约较为明显，如人才方面，本地人才培育能力不足，高层次人才相对短缺，专业技术性人才总量偏少。资本方面，企业“融资难、融资贵”的问题仍然存在，风险投资机构集聚不足，投融资活跃度较低。此外，创新创业平台载体数量较少，促进科技成果转化力度有待加强。</w:t>
      </w:r>
    </w:p>
    <w:p>
      <w:pPr>
        <w:pStyle w:val="5"/>
        <w:bidi w:val="0"/>
        <w:outlineLvl w:val="1"/>
        <w:rPr>
          <w:rFonts w:hint="eastAsia" w:ascii="黑体" w:hAnsi="黑体" w:eastAsia="黑体" w:cs="黑体"/>
          <w:sz w:val="30"/>
          <w:szCs w:val="30"/>
          <w:lang w:val="en-US" w:eastAsia="zh-CN"/>
        </w:rPr>
      </w:pPr>
      <w:bookmarkStart w:id="46" w:name="_Toc20809"/>
      <w:bookmarkStart w:id="47" w:name="_Toc11313"/>
      <w:bookmarkStart w:id="48" w:name="_Toc1123"/>
      <w:bookmarkStart w:id="49" w:name="_Toc10265"/>
      <w:bookmarkStart w:id="50" w:name="_Toc4005"/>
      <w:bookmarkStart w:id="51" w:name="_Toc24336"/>
      <w:bookmarkStart w:id="52" w:name="_Toc20124"/>
      <w:bookmarkStart w:id="53" w:name="_Toc5658"/>
      <w:r>
        <w:rPr>
          <w:rFonts w:hint="eastAsia" w:ascii="黑体" w:hAnsi="黑体" w:eastAsia="黑体" w:cs="黑体"/>
          <w:sz w:val="30"/>
          <w:szCs w:val="30"/>
          <w:lang w:val="en-US" w:eastAsia="zh-CN"/>
        </w:rPr>
        <w:t xml:space="preserve">2.3 </w:t>
      </w:r>
      <w:bookmarkEnd w:id="46"/>
      <w:bookmarkEnd w:id="47"/>
      <w:bookmarkEnd w:id="48"/>
      <w:bookmarkEnd w:id="49"/>
      <w:bookmarkEnd w:id="50"/>
      <w:bookmarkEnd w:id="51"/>
      <w:bookmarkEnd w:id="52"/>
      <w:r>
        <w:rPr>
          <w:rFonts w:hint="eastAsia" w:ascii="黑体" w:hAnsi="黑体" w:eastAsia="黑体" w:cs="黑体"/>
          <w:sz w:val="30"/>
          <w:szCs w:val="30"/>
          <w:lang w:val="en-US" w:eastAsia="zh-CN"/>
        </w:rPr>
        <w:t>面临形势</w:t>
      </w:r>
      <w:bookmarkEnd w:id="53"/>
    </w:p>
    <w:p>
      <w:pPr>
        <w:pStyle w:val="7"/>
        <w:keepNext w:val="0"/>
        <w:keepLines w:val="0"/>
        <w:pageBreakBefore w:val="0"/>
        <w:widowControl/>
        <w:numPr>
          <w:ilvl w:val="-1"/>
          <w:numId w:val="0"/>
        </w:numPr>
        <w:kinsoku/>
        <w:wordWrap/>
        <w:overflowPunct/>
        <w:topLinePunct w:val="0"/>
        <w:autoSpaceDE/>
        <w:autoSpaceDN/>
        <w:bidi w:val="0"/>
        <w:adjustRightInd/>
        <w:snapToGrid/>
        <w:spacing w:before="200" w:after="80" w:line="360"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数字经济成为全球经济新引擎。</w:t>
      </w:r>
      <w:r>
        <w:rPr>
          <w:rFonts w:hint="eastAsia" w:ascii="宋体" w:hAnsi="宋体" w:eastAsia="宋体" w:cs="宋体"/>
          <w:sz w:val="28"/>
          <w:szCs w:val="28"/>
          <w:lang w:val="en-US" w:eastAsia="zh-CN"/>
        </w:rPr>
        <w:t>当前，物联网、大数据、人工智能、5G、全球卫星导航等新一代信息技术蓬勃兴起，世界经济已进入以数字化、网络化、智能化为显著特征的发展新阶段，发展数字经济成为全球各国的共识。数据已成为经济活动的关键生产要素（资源、劳动力、资本与数据）。党的十九届四中全会首次将数据作为生产要素参与收益分配，标志着数据从技术要素中独立出来成为单独的生产要素。同时明确提出，“健全劳动、资本、土地、知识、技术、管理、数据等生产要素由市场评价贡献、按贡献决定报酬的机制”。数据在提高生产效率、实现智能生产、提升要素配置效率、激发新动能、培育新业态方面具有巨大应用潜力，成为推动数字经济发展的创新动力源。</w:t>
      </w:r>
    </w:p>
    <w:p>
      <w:pPr>
        <w:pStyle w:val="7"/>
        <w:keepNext w:val="0"/>
        <w:keepLines w:val="0"/>
        <w:pageBreakBefore w:val="0"/>
        <w:widowControl/>
        <w:numPr>
          <w:ilvl w:val="-1"/>
          <w:numId w:val="0"/>
        </w:numPr>
        <w:kinsoku/>
        <w:wordWrap/>
        <w:overflowPunct/>
        <w:topLinePunct w:val="0"/>
        <w:autoSpaceDE/>
        <w:autoSpaceDN/>
        <w:bidi w:val="0"/>
        <w:adjustRightInd/>
        <w:snapToGrid/>
        <w:spacing w:before="200" w:after="80" w:line="360"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各省市纷纷出台数字经济政策。</w:t>
      </w:r>
      <w:r>
        <w:rPr>
          <w:rFonts w:hint="eastAsia" w:ascii="宋体" w:hAnsi="宋体" w:eastAsia="宋体" w:cs="宋体"/>
          <w:sz w:val="28"/>
          <w:szCs w:val="28"/>
          <w:lang w:val="en-US" w:eastAsia="zh-CN"/>
        </w:rPr>
        <w:t>近年来，各级地方政府陆续出台数字经济相关政策，加快推进数字经济发展。2018年4月，广东省发布《广东省数字经济发展规划(2018-2025年)》征求意见稿，提出以数字经济创新发展驱动广东奋力实现“四个走在全国前列”；2018年10月，杭州市政府印发《杭州市全面推进“三化融合”打造全国数字经济第一城行动计划(2018-2022年)》，全面推进数字产业化、产业数字化和城市数字化协同融合发展；2019年8月，四川省人民政府印发《关于加快推进数字经济发展的指导意见》，围绕“一千多支、五区协同”“四向拓展、全域开放”战略部署，推动治蜀兴川再上新台阶；2020年7月，陕西省委网信委印发《陕西省2020年数字经济工作要点》，编制陕西省“十四五”数字经济发展规划、制定大力发展数字经济的实施意见等。</w:t>
      </w:r>
    </w:p>
    <w:p>
      <w:pPr>
        <w:pStyle w:val="7"/>
        <w:keepNext w:val="0"/>
        <w:keepLines w:val="0"/>
        <w:pageBreakBefore w:val="0"/>
        <w:widowControl/>
        <w:numPr>
          <w:ilvl w:val="-1"/>
          <w:numId w:val="0"/>
        </w:numPr>
        <w:kinsoku/>
        <w:wordWrap/>
        <w:overflowPunct/>
        <w:topLinePunct w:val="0"/>
        <w:autoSpaceDE/>
        <w:autoSpaceDN/>
        <w:bidi w:val="0"/>
        <w:adjustRightInd/>
        <w:snapToGrid/>
        <w:spacing w:before="200" w:after="80" w:line="360"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新一轮技术革命浪潮开始出现。</w:t>
      </w:r>
      <w:r>
        <w:rPr>
          <w:rFonts w:hint="eastAsia" w:ascii="宋体" w:hAnsi="宋体" w:eastAsia="宋体" w:cs="宋体"/>
          <w:sz w:val="28"/>
          <w:szCs w:val="28"/>
          <w:lang w:val="en-US" w:eastAsia="zh-CN"/>
        </w:rPr>
        <w:t>新一代信息技术浪潮风起云涌，5G、人工智能、区块链等新技术尚未大面积商用，紫阳也与全国其他地区一样都处于同一起跑线上，面临相似的发展机遇。</w:t>
      </w:r>
    </w:p>
    <w:p>
      <w:pPr>
        <w:pStyle w:val="7"/>
        <w:keepNext w:val="0"/>
        <w:keepLines w:val="0"/>
        <w:pageBreakBefore w:val="0"/>
        <w:widowControl/>
        <w:numPr>
          <w:ilvl w:val="-1"/>
          <w:numId w:val="0"/>
        </w:numPr>
        <w:kinsoku/>
        <w:wordWrap/>
        <w:overflowPunct/>
        <w:topLinePunct w:val="0"/>
        <w:autoSpaceDE/>
        <w:autoSpaceDN/>
        <w:bidi w:val="0"/>
        <w:adjustRightInd/>
        <w:snapToGrid/>
        <w:spacing w:before="200" w:after="80"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数字陕西建设。</w:t>
      </w:r>
      <w:r>
        <w:rPr>
          <w:rFonts w:hint="eastAsia" w:ascii="宋体" w:hAnsi="宋体" w:eastAsia="宋体" w:cs="宋体"/>
          <w:sz w:val="28"/>
          <w:szCs w:val="28"/>
          <w:lang w:val="en-US" w:eastAsia="zh-CN"/>
        </w:rPr>
        <w:t>陕西省委、省政府与华为公司、阿里集团与腾讯科技集团深度合作，在大力推进“数字陕西”的建设，紫阳区位独特，与重庆、四川接壤，可申请成为“数字陕西”的试点示范县，探索一条省际经济合作的新路径，积极争取中省资金支持，建设数字经济示范应用项目。</w:t>
      </w:r>
    </w:p>
    <w:p>
      <w:pPr>
        <w:rPr>
          <w:rFonts w:hint="eastAsia"/>
          <w:lang w:val="en-US" w:eastAsia="zh-CN"/>
        </w:rPr>
      </w:pPr>
      <w:bookmarkStart w:id="54" w:name="_Toc11713"/>
      <w:bookmarkStart w:id="55" w:name="_Toc915"/>
      <w:bookmarkStart w:id="56" w:name="_Toc6005"/>
      <w:bookmarkStart w:id="57" w:name="_Toc28767"/>
      <w:bookmarkStart w:id="58" w:name="_Toc6760"/>
      <w:bookmarkStart w:id="59" w:name="_Toc16052"/>
      <w:bookmarkStart w:id="60" w:name="_Toc4186"/>
      <w:r>
        <w:rPr>
          <w:rFonts w:hint="eastAsia"/>
          <w:lang w:val="en-US" w:eastAsia="zh-CN"/>
        </w:rPr>
        <w:br w:type="page"/>
      </w:r>
    </w:p>
    <w:p>
      <w:pPr>
        <w:pStyle w:val="4"/>
        <w:bidi w:val="0"/>
        <w:jc w:val="center"/>
        <w:outlineLvl w:val="0"/>
        <w:rPr>
          <w:rFonts w:hint="eastAsia" w:asciiTheme="minorEastAsia" w:hAnsiTheme="minorEastAsia" w:eastAsiaTheme="minorEastAsia" w:cstheme="minorEastAsia"/>
          <w:szCs w:val="28"/>
          <w:lang w:val="en-US" w:eastAsia="zh-CN"/>
        </w:rPr>
      </w:pPr>
      <w:bookmarkStart w:id="61" w:name="_Toc17999"/>
      <w:r>
        <w:rPr>
          <w:rFonts w:hint="eastAsia"/>
          <w:lang w:val="en-US" w:eastAsia="zh-CN"/>
        </w:rPr>
        <w:t>第三章 总体要求</w:t>
      </w:r>
      <w:bookmarkEnd w:id="54"/>
      <w:bookmarkEnd w:id="55"/>
      <w:bookmarkEnd w:id="56"/>
      <w:bookmarkEnd w:id="57"/>
      <w:bookmarkEnd w:id="58"/>
      <w:bookmarkEnd w:id="59"/>
      <w:bookmarkEnd w:id="60"/>
      <w:bookmarkEnd w:id="61"/>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从紫阳县现状基础出发，综合考虑未来发展趋势和条件，明确发展定位及目标，为紫阳县的数字经济发展路径提供战略思路。</w:t>
      </w:r>
    </w:p>
    <w:p>
      <w:pPr>
        <w:pStyle w:val="5"/>
        <w:bidi w:val="0"/>
        <w:outlineLvl w:val="1"/>
        <w:rPr>
          <w:rFonts w:hint="eastAsia" w:ascii="黑体" w:hAnsi="黑体" w:eastAsia="黑体" w:cs="黑体"/>
          <w:sz w:val="30"/>
          <w:szCs w:val="30"/>
          <w:lang w:val="en-US" w:eastAsia="zh-CN"/>
        </w:rPr>
      </w:pPr>
      <w:bookmarkStart w:id="62" w:name="_Toc18131"/>
      <w:bookmarkStart w:id="63" w:name="_Toc21907"/>
      <w:bookmarkStart w:id="64" w:name="_Toc722"/>
      <w:bookmarkStart w:id="65" w:name="_Toc25320"/>
      <w:bookmarkStart w:id="66" w:name="_Toc18545"/>
      <w:bookmarkStart w:id="67" w:name="_Toc15580"/>
      <w:bookmarkStart w:id="68" w:name="_Toc29098"/>
      <w:bookmarkStart w:id="69" w:name="_Toc31429"/>
      <w:r>
        <w:rPr>
          <w:rFonts w:hint="eastAsia" w:ascii="黑体" w:hAnsi="黑体" w:eastAsia="黑体" w:cs="黑体"/>
          <w:sz w:val="30"/>
          <w:szCs w:val="30"/>
          <w:lang w:val="en-US" w:eastAsia="zh-CN"/>
        </w:rPr>
        <w:t>3.1发展思路</w:t>
      </w:r>
      <w:bookmarkEnd w:id="62"/>
      <w:bookmarkEnd w:id="63"/>
      <w:bookmarkEnd w:id="64"/>
      <w:bookmarkEnd w:id="65"/>
      <w:bookmarkEnd w:id="66"/>
      <w:bookmarkEnd w:id="67"/>
      <w:bookmarkEnd w:id="68"/>
      <w:bookmarkEnd w:id="69"/>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以习近平新时代中国特色社会主义思想为指导，牢固树立新发展理念，贯彻高质量发展要求。在认真研究省市决策部署和相关法规的基础上，对紫阳发展现状进行全面分析，尤其是对长期困扰紫阳县经济社会发展的难点问题找准原因，要有跳出现状看未来的战略高度，利用先进思维理念与先进技术手段，补短板强弱项。以推动“数字产业化、产业数字化、数字化治理”为主线，以紫阳特色产业数字化转型为重点，加快新一代信息技术与传统产业的深入融合，突出数字化、网络化、智能化建设。夯实完善数字经济发展基础和治理体系，构建形成具有紫阳特色的数字经济生态体系，推动紫阳县域经济发展由投资驱动、资源驱动向数据驱动、知识驱动转变，为推进紫阳产业升级与经济社会可持续发展提供强有力的支撑。</w:t>
      </w:r>
    </w:p>
    <w:p>
      <w:pPr>
        <w:pStyle w:val="5"/>
        <w:bidi w:val="0"/>
        <w:outlineLvl w:val="1"/>
        <w:rPr>
          <w:rFonts w:hint="eastAsia" w:ascii="黑体" w:hAnsi="黑体" w:eastAsia="黑体" w:cs="黑体"/>
          <w:sz w:val="30"/>
          <w:szCs w:val="30"/>
          <w:lang w:val="en-US" w:eastAsia="zh-CN"/>
        </w:rPr>
      </w:pPr>
      <w:bookmarkStart w:id="70" w:name="_Toc9162"/>
      <w:bookmarkStart w:id="71" w:name="_Toc1234"/>
      <w:bookmarkStart w:id="72" w:name="_Toc5038"/>
      <w:bookmarkStart w:id="73" w:name="_Toc20026"/>
      <w:bookmarkStart w:id="74" w:name="_Toc16060"/>
      <w:bookmarkStart w:id="75" w:name="_Toc10453"/>
      <w:bookmarkStart w:id="76" w:name="_Toc22102"/>
      <w:bookmarkStart w:id="77" w:name="_Toc16810"/>
      <w:r>
        <w:rPr>
          <w:rFonts w:hint="eastAsia" w:ascii="黑体" w:hAnsi="黑体" w:eastAsia="黑体" w:cs="黑体"/>
          <w:sz w:val="30"/>
          <w:szCs w:val="30"/>
          <w:lang w:val="en-US" w:eastAsia="zh-CN"/>
        </w:rPr>
        <w:t>3.2基本原则</w:t>
      </w:r>
      <w:bookmarkEnd w:id="70"/>
      <w:bookmarkEnd w:id="71"/>
      <w:bookmarkEnd w:id="72"/>
      <w:bookmarkEnd w:id="73"/>
      <w:bookmarkEnd w:id="74"/>
      <w:bookmarkEnd w:id="75"/>
      <w:bookmarkEnd w:id="76"/>
      <w:bookmarkEnd w:id="77"/>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bCs/>
          <w:kern w:val="0"/>
          <w:sz w:val="28"/>
          <w:szCs w:val="28"/>
        </w:rPr>
        <w:t>系统布局，创新驱动。</w:t>
      </w:r>
      <w:r>
        <w:rPr>
          <w:rFonts w:hint="eastAsia" w:asciiTheme="minorEastAsia" w:hAnsiTheme="minorEastAsia" w:eastAsiaTheme="minorEastAsia" w:cstheme="minorEastAsia"/>
          <w:b w:val="0"/>
          <w:bCs w:val="0"/>
          <w:kern w:val="0"/>
          <w:sz w:val="28"/>
          <w:szCs w:val="28"/>
        </w:rPr>
        <w:t>把握数字经济发展趋势，加强体系化部署，有序推进产业、创新、市场和治理体系建设，以创新思维为核心，以创新科技为驱动力，以创新模式为导向，以建立健全制度创新体系为保障，充分激发全</w:t>
      </w:r>
      <w:r>
        <w:rPr>
          <w:rFonts w:hint="eastAsia" w:asciiTheme="minorEastAsia" w:hAnsiTheme="minorEastAsia" w:eastAsiaTheme="minorEastAsia" w:cstheme="minorEastAsia"/>
          <w:b w:val="0"/>
          <w:bCs w:val="0"/>
          <w:kern w:val="0"/>
          <w:sz w:val="28"/>
          <w:szCs w:val="28"/>
          <w:lang w:val="en-US" w:eastAsia="zh-CN"/>
        </w:rPr>
        <w:t>县</w:t>
      </w:r>
      <w:r>
        <w:rPr>
          <w:rFonts w:hint="eastAsia" w:asciiTheme="minorEastAsia" w:hAnsiTheme="minorEastAsia" w:eastAsiaTheme="minorEastAsia" w:cstheme="minorEastAsia"/>
          <w:b w:val="0"/>
          <w:bCs w:val="0"/>
          <w:kern w:val="0"/>
          <w:sz w:val="28"/>
          <w:szCs w:val="28"/>
        </w:rPr>
        <w:t>创新发展活力。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bCs/>
          <w:kern w:val="0"/>
          <w:sz w:val="28"/>
          <w:szCs w:val="28"/>
        </w:rPr>
        <w:t>强调融合，丰富应用。</w:t>
      </w:r>
      <w:r>
        <w:rPr>
          <w:rFonts w:hint="eastAsia" w:asciiTheme="minorEastAsia" w:hAnsiTheme="minorEastAsia" w:eastAsiaTheme="minorEastAsia" w:cstheme="minorEastAsia"/>
          <w:b w:val="0"/>
          <w:bCs w:val="0"/>
          <w:kern w:val="0"/>
          <w:sz w:val="28"/>
          <w:szCs w:val="28"/>
        </w:rPr>
        <w:t>把握产业融合作为数字经济发展的主引擎地位，坚持互联网、大数据、人工智能等数字技术与实体经济融合发展，支撑构建现代化经济体系，深入开展智慧产业建设</w:t>
      </w:r>
      <w:r>
        <w:rPr>
          <w:rFonts w:hint="eastAsia" w:asciiTheme="minorEastAsia" w:hAnsiTheme="minorEastAsia" w:eastAsiaTheme="minorEastAsia" w:cstheme="minorEastAsia"/>
          <w:b w:val="0"/>
          <w:bCs w:val="0"/>
          <w:kern w:val="0"/>
          <w:sz w:val="28"/>
          <w:szCs w:val="28"/>
          <w:lang w:eastAsia="zh-CN"/>
        </w:rPr>
        <w:t>，</w:t>
      </w:r>
      <w:r>
        <w:rPr>
          <w:rFonts w:hint="eastAsia" w:asciiTheme="minorEastAsia" w:hAnsiTheme="minorEastAsia" w:eastAsiaTheme="minorEastAsia" w:cstheme="minorEastAsia"/>
          <w:b w:val="0"/>
          <w:bCs w:val="0"/>
          <w:kern w:val="0"/>
          <w:sz w:val="28"/>
          <w:szCs w:val="28"/>
        </w:rPr>
        <w:t>加快制造业转型升级，创新便捷优质的数字化便民服务。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bCs/>
          <w:kern w:val="0"/>
          <w:sz w:val="28"/>
          <w:szCs w:val="28"/>
        </w:rPr>
        <w:t>培育特色，市场主导。</w:t>
      </w:r>
      <w:r>
        <w:rPr>
          <w:rFonts w:hint="eastAsia" w:asciiTheme="minorEastAsia" w:hAnsiTheme="minorEastAsia" w:eastAsiaTheme="minorEastAsia" w:cstheme="minorEastAsia"/>
          <w:b w:val="0"/>
          <w:bCs w:val="0"/>
          <w:kern w:val="0"/>
          <w:sz w:val="28"/>
          <w:szCs w:val="28"/>
        </w:rPr>
        <w:t>结合紫阳县资源禀赋、特色优势以及产业体系布局，以数字农业、</w:t>
      </w:r>
      <w:r>
        <w:rPr>
          <w:rFonts w:hint="eastAsia" w:asciiTheme="minorEastAsia" w:hAnsiTheme="minorEastAsia" w:eastAsiaTheme="minorEastAsia" w:cstheme="minorEastAsia"/>
          <w:b w:val="0"/>
          <w:bCs w:val="0"/>
          <w:kern w:val="0"/>
          <w:sz w:val="28"/>
          <w:szCs w:val="28"/>
          <w:lang w:val="en-US" w:eastAsia="zh-CN"/>
        </w:rPr>
        <w:t>数字工业园区、</w:t>
      </w:r>
      <w:r>
        <w:rPr>
          <w:rFonts w:hint="eastAsia" w:asciiTheme="minorEastAsia" w:hAnsiTheme="minorEastAsia" w:eastAsiaTheme="minorEastAsia" w:cstheme="minorEastAsia"/>
          <w:b w:val="0"/>
          <w:bCs w:val="0"/>
          <w:kern w:val="0"/>
          <w:sz w:val="28"/>
          <w:szCs w:val="28"/>
        </w:rPr>
        <w:t>数字旅游、数字服务为重点，发挥市场在资源配置中的决定性作用，激发各类市场主体的积极性，以市场需求为导向加快各领域数字化的应用和推广，为发展营造良好市场环境。</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0"/>
          <w:sz w:val="28"/>
          <w:szCs w:val="28"/>
          <w:lang w:val="en-US" w:eastAsia="zh-CN" w:bidi="ar-SA"/>
        </w:rPr>
      </w:pPr>
      <w:r>
        <w:rPr>
          <w:rFonts w:hint="eastAsia" w:asciiTheme="minorEastAsia" w:hAnsiTheme="minorEastAsia" w:eastAsiaTheme="minorEastAsia" w:cstheme="minorEastAsia"/>
          <w:b/>
          <w:bCs/>
          <w:kern w:val="0"/>
          <w:sz w:val="28"/>
          <w:szCs w:val="28"/>
        </w:rPr>
        <w:t>统筹协调，安全可控。</w:t>
      </w:r>
      <w:r>
        <w:rPr>
          <w:rFonts w:hint="eastAsia" w:asciiTheme="minorEastAsia" w:hAnsiTheme="minorEastAsia" w:eastAsiaTheme="minorEastAsia" w:cstheme="minorEastAsia"/>
          <w:b w:val="0"/>
          <w:bCs w:val="0"/>
          <w:kern w:val="0"/>
          <w:sz w:val="28"/>
          <w:szCs w:val="28"/>
        </w:rPr>
        <w:t>统筹协调好发展和安全之间的关系，以安全保发展、以发展促安全，推进行业自律、社会监督、政府监管等，加快健全关键信息基础设施安全保障体系，加快完善海量数据安全保密体系，在发展中提升信息安全保障能力。</w:t>
      </w:r>
    </w:p>
    <w:p>
      <w:pPr>
        <w:pStyle w:val="5"/>
        <w:bidi w:val="0"/>
        <w:outlineLvl w:val="1"/>
        <w:rPr>
          <w:rFonts w:hint="eastAsia" w:ascii="黑体" w:hAnsi="黑体" w:eastAsia="黑体" w:cs="黑体"/>
          <w:sz w:val="30"/>
          <w:szCs w:val="30"/>
          <w:lang w:val="en-US" w:eastAsia="zh-CN"/>
        </w:rPr>
      </w:pPr>
      <w:bookmarkStart w:id="78" w:name="_Toc11102"/>
      <w:bookmarkStart w:id="79" w:name="_Toc18657"/>
      <w:bookmarkStart w:id="80" w:name="_Toc16441"/>
      <w:bookmarkStart w:id="81" w:name="_Toc5290"/>
      <w:bookmarkStart w:id="82" w:name="_Toc16020"/>
      <w:bookmarkStart w:id="83" w:name="_Toc19727"/>
      <w:bookmarkStart w:id="84" w:name="_Toc14855"/>
      <w:bookmarkStart w:id="85" w:name="_Toc24166"/>
      <w:r>
        <w:rPr>
          <w:rFonts w:hint="eastAsia" w:ascii="黑体" w:hAnsi="黑体" w:eastAsia="黑体" w:cs="黑体"/>
          <w:sz w:val="30"/>
          <w:szCs w:val="30"/>
          <w:lang w:val="en-US" w:eastAsia="zh-CN"/>
        </w:rPr>
        <w:t>3.3发展定位</w:t>
      </w:r>
      <w:bookmarkEnd w:id="78"/>
      <w:bookmarkEnd w:id="79"/>
      <w:bookmarkEnd w:id="80"/>
      <w:bookmarkEnd w:id="81"/>
      <w:bookmarkEnd w:id="82"/>
      <w:bookmarkEnd w:id="83"/>
      <w:bookmarkEnd w:id="84"/>
      <w:bookmarkEnd w:id="85"/>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构建产业数字化转型示范县。</w:t>
      </w:r>
      <w:r>
        <w:rPr>
          <w:rFonts w:hint="eastAsia" w:asciiTheme="minorEastAsia" w:hAnsiTheme="minorEastAsia" w:eastAsiaTheme="minorEastAsia" w:cstheme="minorEastAsia"/>
          <w:kern w:val="0"/>
          <w:sz w:val="28"/>
          <w:szCs w:val="28"/>
          <w:lang w:val="en-US" w:eastAsia="zh-CN" w:bidi="ar-SA"/>
        </w:rPr>
        <w:t>紧紧围绕紫阳县新旧产业转换、经济结构优化的迫切要求，以县域特色产业数字化转型为重点突破口，充分发挥新一代信息技术对产业转型的助推，促进一二三产数字化融合发展。完善数字化治理体系，构建普惠优质的数字化服务体系。对与居民生活息息相关的商贸、物流、金融、节能、旅游、医疗、养老、文化等重点行业进行数字化、网络化、智能化转型升级，大力发展培育运用云计算、大数据、区块链、人工智能等数字技术开展生产经营活动的本土企业做强做大。力争紫阳成为数字经济引领传统产业转型升级、提质增效的典型示范县。</w:t>
      </w:r>
    </w:p>
    <w:p>
      <w:pPr>
        <w:pStyle w:val="5"/>
        <w:bidi w:val="0"/>
        <w:outlineLvl w:val="1"/>
        <w:rPr>
          <w:rFonts w:hint="eastAsia" w:asciiTheme="minorEastAsia" w:hAnsiTheme="minorEastAsia" w:eastAsiaTheme="minorEastAsia" w:cstheme="minorEastAsia"/>
          <w:bCs/>
          <w:szCs w:val="28"/>
          <w:lang w:val="en-US" w:eastAsia="zh-CN"/>
        </w:rPr>
      </w:pPr>
      <w:bookmarkStart w:id="86" w:name="_Toc19899"/>
      <w:bookmarkStart w:id="87" w:name="_Toc8959"/>
      <w:bookmarkStart w:id="88" w:name="_Toc12889"/>
      <w:bookmarkStart w:id="89" w:name="_Toc26546"/>
      <w:bookmarkStart w:id="90" w:name="_Toc5754"/>
      <w:bookmarkStart w:id="91" w:name="_Toc3571"/>
      <w:bookmarkStart w:id="92" w:name="_Toc4492"/>
      <w:bookmarkStart w:id="93" w:name="_Toc4733"/>
      <w:r>
        <w:rPr>
          <w:rFonts w:hint="eastAsia" w:ascii="黑体" w:hAnsi="黑体" w:eastAsia="黑体" w:cs="黑体"/>
          <w:sz w:val="30"/>
          <w:szCs w:val="30"/>
          <w:lang w:val="en-US" w:eastAsia="zh-CN"/>
        </w:rPr>
        <w:t>3.4发展目标</w:t>
      </w:r>
      <w:bookmarkEnd w:id="86"/>
      <w:bookmarkEnd w:id="87"/>
      <w:bookmarkEnd w:id="88"/>
      <w:bookmarkEnd w:id="89"/>
      <w:bookmarkEnd w:id="90"/>
      <w:bookmarkEnd w:id="91"/>
      <w:bookmarkEnd w:id="92"/>
      <w:bookmarkEnd w:id="93"/>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Autospacing="0" w:after="200" w:afterAutospacing="0" w:line="360" w:lineRule="auto"/>
        <w:ind w:left="0" w:right="0" w:firstLine="560" w:firstLineChars="200"/>
        <w:textAlignment w:val="auto"/>
        <w:rPr>
          <w:rFonts w:hint="eastAsia" w:ascii="宋体" w:hAnsi="宋体" w:eastAsia="宋体" w:cs="宋体"/>
          <w:i w:val="0"/>
          <w:caps w:val="0"/>
          <w:color w:val="000000"/>
          <w:spacing w:val="0"/>
          <w:sz w:val="28"/>
          <w:szCs w:val="28"/>
          <w:shd w:val="clear" w:fill="auto"/>
        </w:rPr>
      </w:pPr>
      <w:r>
        <w:rPr>
          <w:rFonts w:hint="eastAsia" w:ascii="宋体" w:hAnsi="宋体" w:eastAsia="宋体" w:cs="宋体"/>
          <w:sz w:val="28"/>
          <w:szCs w:val="28"/>
        </w:rPr>
        <w:t>——</w:t>
      </w:r>
      <w:r>
        <w:rPr>
          <w:rFonts w:hint="eastAsia" w:ascii="宋体" w:hAnsi="宋体" w:eastAsia="宋体" w:cs="宋体"/>
          <w:i w:val="0"/>
          <w:caps w:val="0"/>
          <w:color w:val="000000"/>
          <w:spacing w:val="0"/>
          <w:sz w:val="28"/>
          <w:szCs w:val="28"/>
          <w:shd w:val="clear" w:fill="auto"/>
        </w:rPr>
        <w:t>全县互联网普及率、光纤宽带用户率分别达到85%、95%，实现无线WIFI深度覆盖，城区和重点区域5G网络全覆盖。建成一批云服务平台和产业互联网平台，经济社会服务能力显著增强。企业工厂级、车间级网络设施进一步完善，全面支撑智能制造等新模式。</w:t>
      </w:r>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Autospacing="0" w:after="200" w:afterAutospacing="0" w:line="360" w:lineRule="auto"/>
        <w:ind w:left="0" w:right="0" w:firstLine="560" w:firstLineChars="200"/>
        <w:textAlignment w:val="auto"/>
        <w:rPr>
          <w:rFonts w:hint="eastAsia" w:ascii="宋体" w:hAnsi="宋体" w:eastAsia="宋体" w:cs="宋体"/>
          <w:i w:val="0"/>
          <w:caps w:val="0"/>
          <w:color w:val="000000"/>
          <w:spacing w:val="0"/>
          <w:sz w:val="28"/>
          <w:szCs w:val="28"/>
          <w:shd w:val="clear" w:fill="auto"/>
          <w:lang w:val="en-US" w:eastAsia="zh-CN"/>
        </w:rPr>
      </w:pPr>
      <w:r>
        <w:rPr>
          <w:rFonts w:hint="eastAsia" w:ascii="宋体" w:hAnsi="宋体" w:eastAsia="宋体" w:cs="宋体"/>
          <w:i w:val="0"/>
          <w:caps w:val="0"/>
          <w:color w:val="000000"/>
          <w:spacing w:val="0"/>
          <w:sz w:val="28"/>
          <w:szCs w:val="28"/>
          <w:shd w:val="clear" w:fill="auto"/>
          <w:lang w:val="en-US" w:eastAsia="zh-CN"/>
        </w:rPr>
        <w:t>——数字核心产业</w:t>
      </w:r>
      <w:r>
        <w:rPr>
          <w:rFonts w:hint="eastAsia" w:ascii="宋体" w:hAnsi="宋体" w:eastAsia="宋体" w:cs="宋体"/>
          <w:sz w:val="28"/>
          <w:szCs w:val="28"/>
        </w:rPr>
        <w:t>竞争力大幅增强。全</w:t>
      </w:r>
      <w:r>
        <w:rPr>
          <w:rFonts w:hint="eastAsia" w:ascii="宋体" w:hAnsi="宋体" w:eastAsia="宋体" w:cs="宋体"/>
          <w:sz w:val="28"/>
          <w:szCs w:val="28"/>
          <w:lang w:eastAsia="zh-CN"/>
        </w:rPr>
        <w:t>县</w:t>
      </w:r>
      <w:r>
        <w:rPr>
          <w:rFonts w:hint="eastAsia" w:ascii="宋体" w:hAnsi="宋体" w:eastAsia="宋体" w:cs="宋体"/>
          <w:sz w:val="28"/>
          <w:szCs w:val="28"/>
        </w:rPr>
        <w:t>数字核心产业规模大幅增长</w:t>
      </w:r>
      <w:r>
        <w:rPr>
          <w:rFonts w:hint="eastAsia" w:ascii="宋体" w:hAnsi="宋体" w:eastAsia="宋体" w:cs="宋体"/>
          <w:sz w:val="28"/>
          <w:szCs w:val="28"/>
          <w:lang w:eastAsia="zh-CN"/>
        </w:rPr>
        <w:t>，建</w:t>
      </w:r>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Autospacing="0" w:after="200" w:afterAutospacing="0" w:line="360" w:lineRule="auto"/>
        <w:ind w:right="0"/>
        <w:textAlignment w:val="auto"/>
        <w:rPr>
          <w:rFonts w:hint="eastAsia" w:ascii="宋体" w:hAnsi="宋体" w:eastAsia="宋体" w:cs="宋体"/>
          <w:sz w:val="28"/>
          <w:szCs w:val="28"/>
        </w:rPr>
      </w:pPr>
      <w:r>
        <w:rPr>
          <w:rFonts w:hint="eastAsia" w:ascii="宋体" w:hAnsi="宋体" w:eastAsia="宋体" w:cs="宋体"/>
          <w:sz w:val="28"/>
          <w:szCs w:val="28"/>
        </w:rPr>
        <w:t>成一批产业链完善、创新能力强、特色鲜明的产业集聚区，培育形成一批具有核心竞争力和产业带动性的骨干企业。到2025年，关键核心技术研发取得重大突破，通信服务业、软件业、互联网服务业、电子信息产业等数字核心产业实现产值规模超</w:t>
      </w:r>
      <w:r>
        <w:rPr>
          <w:rFonts w:hint="eastAsia" w:ascii="宋体" w:hAnsi="宋体" w:eastAsia="宋体" w:cs="宋体"/>
          <w:sz w:val="28"/>
          <w:szCs w:val="28"/>
          <w:lang w:val="en-US" w:eastAsia="zh-CN"/>
        </w:rPr>
        <w:t>50</w:t>
      </w:r>
      <w:r>
        <w:rPr>
          <w:rFonts w:hint="eastAsia" w:ascii="宋体" w:hAnsi="宋体" w:eastAsia="宋体" w:cs="宋体"/>
          <w:sz w:val="28"/>
          <w:szCs w:val="28"/>
        </w:rPr>
        <w:t>亿元</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——传统产业数字融合成效明显。数字技术在一、二、三产业中实现深度融合应用，有力驱动实体经济加速发展</w:t>
      </w:r>
      <w:r>
        <w:rPr>
          <w:rFonts w:hint="eastAsia" w:ascii="宋体" w:hAnsi="宋体" w:cs="宋体"/>
          <w:sz w:val="28"/>
          <w:szCs w:val="28"/>
          <w:lang w:eastAsia="zh-CN"/>
        </w:rPr>
        <w:t>，</w:t>
      </w:r>
      <w:r>
        <w:rPr>
          <w:rFonts w:hint="eastAsia" w:ascii="宋体" w:hAnsi="宋体" w:eastAsia="宋体" w:cs="宋体"/>
          <w:sz w:val="28"/>
          <w:szCs w:val="28"/>
        </w:rPr>
        <w:t>力争到2025年重点企业关键工序数控化率达</w:t>
      </w:r>
      <w:r>
        <w:rPr>
          <w:rFonts w:hint="eastAsia" w:ascii="宋体" w:hAnsi="宋体" w:eastAsia="宋体" w:cs="宋体"/>
          <w:sz w:val="28"/>
          <w:szCs w:val="28"/>
          <w:lang w:val="en-US" w:eastAsia="zh-CN"/>
        </w:rPr>
        <w:t>50</w:t>
      </w:r>
      <w:r>
        <w:rPr>
          <w:rFonts w:hint="eastAsia" w:ascii="宋体" w:hAnsi="宋体" w:eastAsia="宋体" w:cs="宋体"/>
          <w:sz w:val="28"/>
          <w:szCs w:val="28"/>
        </w:rPr>
        <w:t>%</w:t>
      </w:r>
      <w:r>
        <w:rPr>
          <w:rFonts w:hint="eastAsia" w:ascii="宋体" w:hAnsi="宋体" w:eastAsia="宋体" w:cs="宋体"/>
          <w:sz w:val="28"/>
          <w:szCs w:val="28"/>
          <w:lang w:val="en-US" w:eastAsia="zh-CN"/>
        </w:rPr>
        <w:t>以上</w:t>
      </w:r>
      <w:r>
        <w:rPr>
          <w:rFonts w:hint="eastAsia" w:ascii="宋体" w:hAnsi="宋体" w:eastAsia="宋体" w:cs="宋体"/>
          <w:sz w:val="28"/>
          <w:szCs w:val="28"/>
        </w:rPr>
        <w:t>，机器联网率达到</w:t>
      </w:r>
      <w:r>
        <w:rPr>
          <w:rFonts w:hint="eastAsia" w:ascii="宋体" w:hAnsi="宋体" w:eastAsia="宋体" w:cs="宋体"/>
          <w:sz w:val="28"/>
          <w:szCs w:val="28"/>
          <w:lang w:val="en-US" w:eastAsia="zh-CN"/>
        </w:rPr>
        <w:t>60</w:t>
      </w:r>
      <w:r>
        <w:rPr>
          <w:rFonts w:hint="eastAsia" w:ascii="宋体" w:hAnsi="宋体" w:eastAsia="宋体" w:cs="宋体"/>
          <w:sz w:val="28"/>
          <w:szCs w:val="28"/>
        </w:rPr>
        <w:t>%以上，“两化”融合发展指数达到</w:t>
      </w:r>
      <w:r>
        <w:rPr>
          <w:rFonts w:hint="eastAsia" w:ascii="宋体" w:hAnsi="宋体" w:eastAsia="宋体" w:cs="宋体"/>
          <w:sz w:val="28"/>
          <w:szCs w:val="28"/>
          <w:lang w:val="en-US" w:eastAsia="zh-CN"/>
        </w:rPr>
        <w:t>60</w:t>
      </w:r>
      <w:r>
        <w:rPr>
          <w:rFonts w:hint="eastAsia" w:ascii="宋体" w:hAnsi="宋体" w:cs="宋体"/>
          <w:sz w:val="28"/>
          <w:szCs w:val="28"/>
          <w:lang w:val="en-US" w:eastAsia="zh-CN"/>
        </w:rPr>
        <w:t>%</w:t>
      </w:r>
      <w:r>
        <w:rPr>
          <w:rFonts w:hint="eastAsia" w:ascii="宋体" w:hAnsi="宋体" w:eastAsia="宋体" w:cs="宋体"/>
          <w:sz w:val="28"/>
          <w:szCs w:val="28"/>
        </w:rPr>
        <w:t>以上。推动全</w:t>
      </w:r>
      <w:r>
        <w:rPr>
          <w:rFonts w:hint="eastAsia" w:ascii="宋体" w:hAnsi="宋体" w:eastAsia="宋体" w:cs="宋体"/>
          <w:sz w:val="28"/>
          <w:szCs w:val="28"/>
          <w:lang w:eastAsia="zh-CN"/>
        </w:rPr>
        <w:t>县</w:t>
      </w:r>
      <w:r>
        <w:rPr>
          <w:rFonts w:hint="eastAsia" w:ascii="宋体" w:hAnsi="宋体" w:eastAsia="宋体" w:cs="宋体"/>
          <w:sz w:val="28"/>
          <w:szCs w:val="28"/>
        </w:rPr>
        <w:t>至少</w:t>
      </w:r>
      <w:r>
        <w:rPr>
          <w:rFonts w:hint="eastAsia" w:ascii="宋体" w:hAnsi="宋体" w:eastAsia="宋体" w:cs="宋体"/>
          <w:sz w:val="28"/>
          <w:szCs w:val="28"/>
          <w:lang w:val="en-US" w:eastAsia="zh-CN"/>
        </w:rPr>
        <w:t>7</w:t>
      </w:r>
      <w:r>
        <w:rPr>
          <w:rFonts w:hint="eastAsia" w:ascii="宋体" w:hAnsi="宋体" w:eastAsia="宋体" w:cs="宋体"/>
          <w:sz w:val="28"/>
          <w:szCs w:val="28"/>
        </w:rPr>
        <w:t>0%的工业企业运用工业互联网新技术、新模式，实施数字化、网络化、智能化升级，带动全</w:t>
      </w:r>
      <w:r>
        <w:rPr>
          <w:rFonts w:hint="eastAsia" w:ascii="宋体" w:hAnsi="宋体" w:eastAsia="宋体" w:cs="宋体"/>
          <w:sz w:val="28"/>
          <w:szCs w:val="28"/>
          <w:lang w:eastAsia="zh-CN"/>
        </w:rPr>
        <w:t>县</w:t>
      </w:r>
      <w:r>
        <w:rPr>
          <w:rFonts w:hint="eastAsia" w:ascii="宋体" w:hAnsi="宋体" w:eastAsia="宋体" w:cs="宋体"/>
          <w:sz w:val="28"/>
          <w:szCs w:val="28"/>
        </w:rPr>
        <w:t>70%的工商注册企业“上云”，农业、商贸、物流、养老等重点行业数字化、网络化、智能化蓬勃发展，运用云计算、大数据、人工智能等数字技术开展生产经营活动的企业规模不断壮大。</w:t>
      </w:r>
    </w:p>
    <w:p>
      <w:pPr>
        <w:pStyle w:val="17"/>
        <w:keepNext w:val="0"/>
        <w:keepLines w:val="0"/>
        <w:pageBreakBefore w:val="0"/>
        <w:widowControl/>
        <w:suppressLineNumbers w:val="0"/>
        <w:kinsoku/>
        <w:wordWrap/>
        <w:overflowPunct/>
        <w:topLinePunct w:val="0"/>
        <w:autoSpaceDE/>
        <w:autoSpaceDN/>
        <w:bidi w:val="0"/>
        <w:adjustRightInd w:val="0"/>
        <w:snapToGrid w:val="0"/>
        <w:spacing w:before="200" w:beforeAutospacing="0" w:after="8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社会治理和服务进一步优化。数字经济治理体系日趋完善，政务数据“聚、通、用”成效显著，数字经济惠民应用日趋便捷。到2025年，逐渐形成党委领导、政府管理、企业履责、社会监督、网民自律等多主体参与，经济、法律、技术等多种手段相结合的综合治理格局，政府治理和公共服务水平显著提升，形成以人为本、惠及全民的智慧政务、智慧扶贫、智慧医疗、智慧社保、智慧交通、智慧教育等民生服务新体系。</w:t>
      </w:r>
      <w:r>
        <w:rPr>
          <w:rFonts w:hint="eastAsia" w:ascii="宋体" w:hAnsi="宋体" w:eastAsia="宋体" w:cs="宋体"/>
          <w:sz w:val="28"/>
          <w:szCs w:val="28"/>
        </w:rPr>
        <w:t xml:space="preserve"> </w:t>
      </w:r>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——营商环境建设大幅改善。数字经济人才队伍不断壮大，金融推动数字经济发展能力显著提升，创新创业平台载体支撑作用进一步凸显。到2025年，数字经济人才洼地初步形成，累计成功孵化1</w:t>
      </w:r>
      <w:r>
        <w:rPr>
          <w:rFonts w:hint="eastAsia" w:ascii="宋体" w:hAnsi="宋体" w:eastAsia="宋体" w:cs="宋体"/>
          <w:sz w:val="28"/>
          <w:szCs w:val="28"/>
          <w:lang w:val="en-US" w:eastAsia="zh-CN"/>
        </w:rPr>
        <w:t>0个</w:t>
      </w:r>
      <w:r>
        <w:rPr>
          <w:rFonts w:hint="eastAsia" w:ascii="宋体" w:hAnsi="宋体" w:eastAsia="宋体" w:cs="宋体"/>
          <w:sz w:val="28"/>
          <w:szCs w:val="28"/>
        </w:rPr>
        <w:t>数字经济领域创新创业项目，培育</w:t>
      </w:r>
      <w:r>
        <w:rPr>
          <w:rFonts w:hint="eastAsia" w:ascii="宋体" w:hAnsi="宋体" w:eastAsia="宋体" w:cs="宋体"/>
          <w:sz w:val="28"/>
          <w:szCs w:val="28"/>
          <w:lang w:val="en-US" w:eastAsia="zh-CN"/>
        </w:rPr>
        <w:t>5</w:t>
      </w:r>
      <w:r>
        <w:rPr>
          <w:rFonts w:hint="eastAsia" w:ascii="宋体" w:hAnsi="宋体" w:eastAsia="宋体" w:cs="宋体"/>
          <w:sz w:val="28"/>
          <w:szCs w:val="28"/>
        </w:rPr>
        <w:t>家以上数字经济独角兽企业，孕育催生一批数字经济新兴业态。</w:t>
      </w:r>
    </w:p>
    <w:p>
      <w:pPr>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jc w:val="center"/>
        <w:textAlignment w:val="auto"/>
        <w:rPr>
          <w:rFonts w:hint="eastAsia" w:ascii="宋体" w:hAnsi="宋体" w:eastAsia="宋体" w:cs="宋体"/>
          <w:sz w:val="28"/>
          <w:szCs w:val="28"/>
          <w:lang w:val="en-US" w:eastAsia="zh-CN"/>
        </w:rPr>
      </w:pPr>
      <w:bookmarkStart w:id="94" w:name="_Toc26945_WPSOffice_Level2"/>
      <w:bookmarkStart w:id="95" w:name="_Toc2673_WPSOffice_Level2"/>
      <w:bookmarkStart w:id="96" w:name="_Toc27471_WPSOffice_Level2"/>
      <w:bookmarkStart w:id="97" w:name="_Toc16864"/>
      <w:bookmarkStart w:id="98" w:name="_Toc31460"/>
      <w:bookmarkStart w:id="99" w:name="_Toc11290_WPSOffice_Level2"/>
      <w:bookmarkStart w:id="100" w:name="_Toc18354_WPSOffice_Level2"/>
      <w:bookmarkStart w:id="101" w:name="_Toc29533_WPSOffice_Level2"/>
      <w:r>
        <w:rPr>
          <w:rFonts w:hint="eastAsia" w:ascii="宋体" w:hAnsi="宋体" w:eastAsia="宋体" w:cs="宋体"/>
          <w:sz w:val="28"/>
          <w:szCs w:val="28"/>
          <w:lang w:val="en-US" w:eastAsia="zh-CN"/>
        </w:rPr>
        <w:t>紫阳县“十四五”数字经济发展</w:t>
      </w:r>
      <w:bookmarkEnd w:id="94"/>
      <w:bookmarkEnd w:id="95"/>
      <w:r>
        <w:rPr>
          <w:rFonts w:hint="eastAsia" w:ascii="宋体" w:hAnsi="宋体" w:eastAsia="宋体" w:cs="宋体"/>
          <w:sz w:val="28"/>
          <w:szCs w:val="28"/>
          <w:lang w:val="en-US" w:eastAsia="zh-CN"/>
        </w:rPr>
        <w:t>目标体系</w:t>
      </w:r>
      <w:bookmarkEnd w:id="96"/>
      <w:bookmarkEnd w:id="97"/>
      <w:bookmarkEnd w:id="98"/>
      <w:bookmarkEnd w:id="99"/>
      <w:bookmarkEnd w:id="100"/>
      <w:bookmarkEnd w:id="101"/>
    </w:p>
    <w:tbl>
      <w:tblPr>
        <w:tblStyle w:val="2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5"/>
        <w:gridCol w:w="153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2021年</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总体发展水平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1.数字经济与实体经济的融合程度（%）</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数字产业化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2.数字创业产业（软件开发、视频制作、创意设计、信息技术服务业收入（亿元）</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0.05</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3.信息技术在紫阳的应用示范点数（项）</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产业数字化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4.两化融合发展总指数（%）</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5.工业企业关键工序数控率（%）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6.电子商务交易额（亿元）</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25</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7.智慧医疗设施应用覆盖率（%）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8.数字校园建设覆盖率（%）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数字化治理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9.县镇二级信息资源共享率（%）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10.电子社保卡覆盖率（%）</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11.行政审批事项和公共服务事项“最多跑一次”或“一次不用跑”占比（%）</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基础环境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12.基础电信企业100M以上光纤接入用户占比（%）</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13.5G基站数(个)</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14.移动物联网终端用户数(万个)</w:t>
            </w:r>
          </w:p>
        </w:tc>
        <w:tc>
          <w:tcPr>
            <w:tcW w:w="153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30</w:t>
            </w:r>
          </w:p>
        </w:tc>
        <w:tc>
          <w:tcPr>
            <w:tcW w:w="1916"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left="0" w:leftChars="0" w:firstLine="0" w:firstLineChars="0"/>
              <w:jc w:val="left"/>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50</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both"/>
        <w:textAlignment w:val="auto"/>
        <w:rPr>
          <w:rFonts w:hint="eastAsia" w:asciiTheme="minorEastAsia" w:hAnsiTheme="minorEastAsia" w:eastAsiaTheme="minorEastAsia" w:cstheme="minorEastAsia"/>
          <w:kern w:val="0"/>
          <w:sz w:val="28"/>
          <w:szCs w:val="28"/>
          <w:lang w:val="en-US" w:eastAsia="zh-CN" w:bidi="ar-SA"/>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pageBreakBefore w:val="0"/>
        <w:kinsoku/>
        <w:wordWrap/>
        <w:overflowPunct/>
        <w:topLinePunct w:val="0"/>
        <w:autoSpaceDE/>
        <w:autoSpaceDN/>
        <w:bidi w:val="0"/>
        <w:spacing w:line="240" w:lineRule="auto"/>
        <w:jc w:val="center"/>
        <w:outlineLvl w:val="0"/>
        <w:rPr>
          <w:rFonts w:hint="eastAsia" w:ascii="Arial" w:hAnsi="Arial" w:eastAsia="黑体" w:cstheme="minorBidi"/>
          <w:sz w:val="32"/>
          <w:szCs w:val="22"/>
          <w:lang w:val="en-US" w:eastAsia="zh-CN"/>
        </w:rPr>
      </w:pPr>
      <w:bookmarkStart w:id="102" w:name="_Toc27334"/>
      <w:bookmarkStart w:id="103" w:name="_Toc29794"/>
      <w:bookmarkStart w:id="104" w:name="_Toc27343"/>
      <w:bookmarkStart w:id="105" w:name="_Toc25653"/>
      <w:bookmarkStart w:id="106" w:name="_Toc28065"/>
      <w:bookmarkStart w:id="107" w:name="_Toc363"/>
      <w:bookmarkStart w:id="108" w:name="_Toc28821"/>
      <w:bookmarkStart w:id="109" w:name="_Toc28499"/>
      <w:bookmarkStart w:id="110" w:name="_Toc25134"/>
      <w:bookmarkStart w:id="111" w:name="_Toc16025"/>
      <w:bookmarkStart w:id="112" w:name="_Toc2518"/>
      <w:bookmarkStart w:id="113" w:name="_Toc12630"/>
      <w:bookmarkStart w:id="114" w:name="_Toc677"/>
      <w:bookmarkStart w:id="115" w:name="_Toc2520"/>
      <w:bookmarkStart w:id="116" w:name="_Toc3421"/>
      <w:r>
        <w:rPr>
          <w:rFonts w:hint="eastAsia" w:ascii="Arial" w:hAnsi="Arial" w:eastAsia="黑体" w:cstheme="minorBidi"/>
          <w:sz w:val="32"/>
          <w:szCs w:val="22"/>
          <w:lang w:val="en-US" w:eastAsia="zh-CN"/>
        </w:rPr>
        <w:t>第</w:t>
      </w:r>
      <w:r>
        <w:rPr>
          <w:rFonts w:hint="eastAsia" w:cstheme="minorBidi"/>
          <w:sz w:val="32"/>
          <w:szCs w:val="22"/>
          <w:lang w:val="en-US" w:eastAsia="zh-CN"/>
        </w:rPr>
        <w:t>四</w:t>
      </w:r>
      <w:r>
        <w:rPr>
          <w:rFonts w:hint="eastAsia" w:ascii="Arial" w:hAnsi="Arial" w:eastAsia="黑体" w:cstheme="minorBidi"/>
          <w:sz w:val="32"/>
          <w:szCs w:val="22"/>
          <w:lang w:val="en-US" w:eastAsia="zh-CN"/>
        </w:rPr>
        <w:t>章 统筹</w:t>
      </w:r>
      <w:r>
        <w:rPr>
          <w:rFonts w:hint="eastAsia" w:cstheme="minorBidi"/>
          <w:sz w:val="32"/>
          <w:szCs w:val="22"/>
          <w:lang w:val="en-US" w:eastAsia="zh-CN"/>
        </w:rPr>
        <w:t>构建</w:t>
      </w:r>
      <w:r>
        <w:rPr>
          <w:rFonts w:hint="eastAsia" w:ascii="Arial" w:hAnsi="Arial" w:eastAsia="黑体" w:cstheme="minorBidi"/>
          <w:sz w:val="32"/>
          <w:szCs w:val="22"/>
          <w:lang w:val="en-US" w:eastAsia="zh-CN"/>
        </w:rPr>
        <w:t>数字经济发展布局</w:t>
      </w:r>
      <w:bookmarkEnd w:id="102"/>
      <w:bookmarkEnd w:id="103"/>
      <w:bookmarkEnd w:id="104"/>
      <w:bookmarkEnd w:id="105"/>
      <w:bookmarkEnd w:id="106"/>
      <w:bookmarkEnd w:id="107"/>
      <w:bookmarkEnd w:id="108"/>
      <w:bookmarkEnd w:id="109"/>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240" w:lineRule="auto"/>
        <w:ind w:firstLine="560" w:firstLineChars="200"/>
        <w:jc w:val="both"/>
        <w:textAlignment w:val="auto"/>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全方位覆盖并有规划地布局紫阳数字经济产业，使农业提质增效，实现“农业强、农村美、农民富”的目标；使工业成为紫阳经济发展的推动力，做强做大富硒产业，提升品牌效应，采用分布式生产与协作方式，改变过去工业集中化带来的高成本；使服务业具有不断生产的新业态，更精准地满足人民群众个性化需求，不断提升服务质量，打造“数字紫阳”。</w:t>
      </w:r>
    </w:p>
    <w:p>
      <w:pPr>
        <w:pStyle w:val="7"/>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560" w:firstLineChars="200"/>
        <w:jc w:val="both"/>
        <w:textAlignment w:val="auto"/>
        <w:rPr>
          <w:rFonts w:hint="default" w:asciiTheme="minorEastAsia" w:hAnsiTheme="minorEastAsia" w:eastAsiaTheme="minorEastAsia" w:cstheme="minorEastAsia"/>
          <w:kern w:val="0"/>
          <w:sz w:val="28"/>
          <w:szCs w:val="28"/>
        </w:rPr>
      </w:pPr>
      <w:r>
        <w:rPr>
          <w:rFonts w:hint="default" w:asciiTheme="minorEastAsia" w:hAnsiTheme="minorEastAsia" w:eastAsiaTheme="minorEastAsia" w:cstheme="minorEastAsia"/>
          <w:kern w:val="0"/>
          <w:sz w:val="28"/>
          <w:szCs w:val="28"/>
        </w:rPr>
        <w:t>立足</w:t>
      </w:r>
      <w:r>
        <w:rPr>
          <w:rFonts w:hint="default" w:asciiTheme="minorEastAsia" w:hAnsiTheme="minorEastAsia" w:eastAsiaTheme="minorEastAsia" w:cstheme="minorEastAsia"/>
          <w:kern w:val="0"/>
          <w:sz w:val="28"/>
          <w:szCs w:val="28"/>
          <w:lang w:eastAsia="zh-CN"/>
        </w:rPr>
        <w:t>紫阳</w:t>
      </w:r>
      <w:r>
        <w:rPr>
          <w:rFonts w:hint="default" w:asciiTheme="minorEastAsia" w:hAnsiTheme="minorEastAsia" w:eastAsiaTheme="minorEastAsia" w:cstheme="minorEastAsia"/>
          <w:kern w:val="0"/>
          <w:sz w:val="28"/>
          <w:szCs w:val="28"/>
        </w:rPr>
        <w:t>产业发展基础和空间布局现状，结合主体功能区规划，统筹推动全</w:t>
      </w:r>
      <w:r>
        <w:rPr>
          <w:rFonts w:hint="default" w:asciiTheme="minorEastAsia" w:hAnsiTheme="minorEastAsia" w:eastAsiaTheme="minorEastAsia" w:cstheme="minorEastAsia"/>
          <w:kern w:val="0"/>
          <w:sz w:val="28"/>
          <w:szCs w:val="28"/>
          <w:lang w:eastAsia="zh-CN"/>
        </w:rPr>
        <w:t>县</w:t>
      </w:r>
      <w:r>
        <w:rPr>
          <w:rFonts w:hint="default" w:asciiTheme="minorEastAsia" w:hAnsiTheme="minorEastAsia" w:eastAsiaTheme="minorEastAsia" w:cstheme="minorEastAsia"/>
          <w:kern w:val="0"/>
          <w:sz w:val="28"/>
          <w:szCs w:val="28"/>
        </w:rPr>
        <w:t>数字经济特色化、差异化、协同化发展，不断强化重点区域集聚效应，构建形成</w:t>
      </w:r>
      <w:r>
        <w:rPr>
          <w:rFonts w:hint="default" w:asciiTheme="minorEastAsia" w:hAnsiTheme="minorEastAsia" w:eastAsiaTheme="minorEastAsia" w:cstheme="minorEastAsia"/>
          <w:b/>
          <w:bCs/>
          <w:kern w:val="0"/>
          <w:sz w:val="28"/>
          <w:szCs w:val="28"/>
        </w:rPr>
        <w:t>“一核两带多点”</w:t>
      </w:r>
      <w:r>
        <w:rPr>
          <w:rFonts w:hint="default" w:asciiTheme="minorEastAsia" w:hAnsiTheme="minorEastAsia" w:eastAsiaTheme="minorEastAsia" w:cstheme="minorEastAsia"/>
          <w:kern w:val="0"/>
          <w:sz w:val="28"/>
          <w:szCs w:val="28"/>
        </w:rPr>
        <w:t>的发展格局，即以</w:t>
      </w:r>
      <w:r>
        <w:rPr>
          <w:rFonts w:hint="default" w:asciiTheme="minorEastAsia" w:hAnsiTheme="minorEastAsia" w:eastAsiaTheme="minorEastAsia" w:cstheme="minorEastAsia"/>
          <w:kern w:val="0"/>
          <w:sz w:val="28"/>
          <w:szCs w:val="28"/>
          <w:lang w:eastAsia="zh-CN"/>
        </w:rPr>
        <w:t>紫阳县</w:t>
      </w:r>
      <w:r>
        <w:rPr>
          <w:rFonts w:hint="default" w:asciiTheme="minorEastAsia" w:hAnsiTheme="minorEastAsia" w:eastAsiaTheme="minorEastAsia" w:cstheme="minorEastAsia"/>
          <w:kern w:val="0"/>
          <w:sz w:val="28"/>
          <w:szCs w:val="28"/>
          <w:lang w:val="en-US" w:eastAsia="zh-CN"/>
        </w:rPr>
        <w:t>主城区</w:t>
      </w:r>
      <w:r>
        <w:rPr>
          <w:rFonts w:hint="default" w:asciiTheme="minorEastAsia" w:hAnsiTheme="minorEastAsia" w:eastAsiaTheme="minorEastAsia" w:cstheme="minorEastAsia"/>
          <w:kern w:val="0"/>
          <w:sz w:val="28"/>
          <w:szCs w:val="28"/>
        </w:rPr>
        <w:t>为引领全</w:t>
      </w:r>
      <w:r>
        <w:rPr>
          <w:rFonts w:hint="default" w:asciiTheme="minorEastAsia" w:hAnsiTheme="minorEastAsia" w:eastAsiaTheme="minorEastAsia" w:cstheme="minorEastAsia"/>
          <w:kern w:val="0"/>
          <w:sz w:val="28"/>
          <w:szCs w:val="28"/>
          <w:lang w:eastAsia="zh-CN"/>
        </w:rPr>
        <w:t>县</w:t>
      </w:r>
      <w:r>
        <w:rPr>
          <w:rFonts w:hint="default" w:asciiTheme="minorEastAsia" w:hAnsiTheme="minorEastAsia" w:eastAsiaTheme="minorEastAsia" w:cstheme="minorEastAsia"/>
          <w:kern w:val="0"/>
          <w:sz w:val="28"/>
          <w:szCs w:val="28"/>
        </w:rPr>
        <w:t>数字经济发展的核心；</w:t>
      </w:r>
      <w:r>
        <w:rPr>
          <w:rFonts w:hint="default" w:asciiTheme="minorEastAsia" w:hAnsiTheme="minorEastAsia" w:eastAsiaTheme="minorEastAsia" w:cstheme="minorEastAsia"/>
          <w:kern w:val="0"/>
          <w:sz w:val="28"/>
          <w:szCs w:val="28"/>
          <w:lang w:val="en-US" w:eastAsia="zh-CN"/>
        </w:rPr>
        <w:t>以</w:t>
      </w:r>
      <w:r>
        <w:rPr>
          <w:rFonts w:hint="eastAsia" w:asciiTheme="minorEastAsia" w:hAnsiTheme="minorEastAsia" w:eastAsiaTheme="minorEastAsia" w:cstheme="minorEastAsia"/>
          <w:kern w:val="0"/>
          <w:sz w:val="28"/>
          <w:szCs w:val="28"/>
          <w:lang w:eastAsia="zh-CN"/>
        </w:rPr>
        <w:t>汉江（国道541）</w:t>
      </w:r>
      <w:r>
        <w:rPr>
          <w:rFonts w:hint="default" w:asciiTheme="minorEastAsia" w:hAnsiTheme="minorEastAsia" w:eastAsiaTheme="minorEastAsia" w:cstheme="minorEastAsia"/>
          <w:kern w:val="0"/>
          <w:sz w:val="28"/>
          <w:szCs w:val="28"/>
          <w:lang w:val="en-US" w:eastAsia="zh-CN"/>
        </w:rPr>
        <w:t>为</w:t>
      </w:r>
      <w:r>
        <w:rPr>
          <w:rFonts w:hint="eastAsia" w:asciiTheme="minorEastAsia" w:hAnsiTheme="minorEastAsia" w:eastAsiaTheme="minorEastAsia" w:cstheme="minorEastAsia"/>
          <w:kern w:val="0"/>
          <w:sz w:val="28"/>
          <w:szCs w:val="28"/>
          <w:lang w:eastAsia="zh-CN"/>
        </w:rPr>
        <w:t>和沿包茂高速（G65）为纵横发展带</w:t>
      </w:r>
      <w:r>
        <w:rPr>
          <w:rFonts w:hint="default" w:asciiTheme="minorEastAsia" w:hAnsiTheme="minorEastAsia" w:eastAsiaTheme="minorEastAsia" w:cstheme="minorEastAsia"/>
          <w:kern w:val="0"/>
          <w:sz w:val="28"/>
          <w:szCs w:val="28"/>
          <w:lang w:eastAsia="zh-CN"/>
        </w:rPr>
        <w:t>；</w:t>
      </w:r>
      <w:r>
        <w:rPr>
          <w:rFonts w:hint="default" w:asciiTheme="minorEastAsia" w:hAnsiTheme="minorEastAsia" w:eastAsiaTheme="minorEastAsia" w:cstheme="minorEastAsia"/>
          <w:kern w:val="0"/>
          <w:sz w:val="28"/>
          <w:szCs w:val="28"/>
        </w:rPr>
        <w:t>以</w:t>
      </w:r>
      <w:r>
        <w:rPr>
          <w:rFonts w:hint="default" w:asciiTheme="minorEastAsia" w:hAnsiTheme="minorEastAsia" w:eastAsiaTheme="minorEastAsia" w:cstheme="minorEastAsia"/>
          <w:kern w:val="0"/>
          <w:sz w:val="28"/>
          <w:szCs w:val="28"/>
          <w:lang w:eastAsia="zh-CN"/>
        </w:rPr>
        <w:t>紫阳向阳、蒿坪、</w:t>
      </w:r>
      <w:r>
        <w:rPr>
          <w:rFonts w:hint="default" w:asciiTheme="minorEastAsia" w:hAnsiTheme="minorEastAsia" w:eastAsiaTheme="minorEastAsia" w:cstheme="minorEastAsia"/>
          <w:kern w:val="0"/>
          <w:sz w:val="28"/>
          <w:szCs w:val="28"/>
          <w:lang w:val="en-US" w:eastAsia="zh-CN"/>
        </w:rPr>
        <w:t>城关</w:t>
      </w:r>
      <w:r>
        <w:rPr>
          <w:rFonts w:hint="default" w:asciiTheme="minorEastAsia" w:hAnsiTheme="minorEastAsia" w:eastAsiaTheme="minorEastAsia" w:cstheme="minorEastAsia"/>
          <w:kern w:val="0"/>
          <w:sz w:val="28"/>
          <w:szCs w:val="28"/>
        </w:rPr>
        <w:t>为</w:t>
      </w:r>
      <w:r>
        <w:rPr>
          <w:rFonts w:hint="default" w:asciiTheme="minorEastAsia" w:hAnsiTheme="minorEastAsia" w:eastAsiaTheme="minorEastAsia" w:cstheme="minorEastAsia"/>
          <w:kern w:val="0"/>
          <w:sz w:val="28"/>
          <w:szCs w:val="28"/>
          <w:lang w:eastAsia="zh-CN"/>
        </w:rPr>
        <w:t>三</w:t>
      </w:r>
      <w:r>
        <w:rPr>
          <w:rFonts w:hint="default" w:asciiTheme="minorEastAsia" w:hAnsiTheme="minorEastAsia" w:eastAsiaTheme="minorEastAsia" w:cstheme="minorEastAsia"/>
          <w:kern w:val="0"/>
          <w:sz w:val="28"/>
          <w:szCs w:val="28"/>
        </w:rPr>
        <w:t>大数字经济产业集聚区；以其他</w:t>
      </w:r>
      <w:r>
        <w:rPr>
          <w:rFonts w:hint="default" w:asciiTheme="minorEastAsia" w:hAnsiTheme="minorEastAsia" w:eastAsiaTheme="minorEastAsia" w:cstheme="minorEastAsia"/>
          <w:kern w:val="0"/>
          <w:sz w:val="28"/>
          <w:szCs w:val="28"/>
          <w:lang w:eastAsia="zh-CN"/>
        </w:rPr>
        <w:t>镇</w:t>
      </w:r>
      <w:r>
        <w:rPr>
          <w:rFonts w:hint="default" w:asciiTheme="minorEastAsia" w:hAnsiTheme="minorEastAsia" w:eastAsiaTheme="minorEastAsia" w:cstheme="minorEastAsia"/>
          <w:kern w:val="0"/>
          <w:sz w:val="28"/>
          <w:szCs w:val="28"/>
        </w:rPr>
        <w:t>和产业优势区域为数字经济特色发展着力点。</w:t>
      </w:r>
    </w:p>
    <w:p>
      <w:pPr>
        <w:pStyle w:val="5"/>
        <w:bidi w:val="0"/>
        <w:outlineLvl w:val="1"/>
        <w:rPr>
          <w:rFonts w:hint="eastAsia" w:asciiTheme="minorEastAsia" w:hAnsiTheme="minorEastAsia" w:eastAsiaTheme="minorEastAsia" w:cstheme="minorEastAsia"/>
          <w:bCs/>
          <w:szCs w:val="28"/>
          <w:lang w:val="en-US" w:eastAsia="zh-CN"/>
        </w:rPr>
      </w:pPr>
      <w:bookmarkStart w:id="117" w:name="_Toc23333"/>
      <w:bookmarkStart w:id="118" w:name="_Toc25421"/>
      <w:bookmarkStart w:id="119" w:name="_Toc30390"/>
      <w:bookmarkStart w:id="120" w:name="_Toc2107"/>
      <w:bookmarkStart w:id="121" w:name="_Toc12890"/>
      <w:bookmarkStart w:id="122" w:name="_Toc17176"/>
      <w:bookmarkStart w:id="123" w:name="_Toc7339"/>
      <w:bookmarkStart w:id="124" w:name="_Toc26481"/>
      <w:r>
        <w:rPr>
          <w:rFonts w:hint="eastAsia" w:ascii="黑体" w:hAnsi="黑体" w:eastAsia="黑体" w:cs="黑体"/>
          <w:sz w:val="30"/>
          <w:szCs w:val="30"/>
          <w:lang w:val="en-US" w:eastAsia="zh-CN"/>
        </w:rPr>
        <w:t>4.1打造全县数字经济“核心区”</w:t>
      </w:r>
      <w:bookmarkEnd w:id="117"/>
      <w:bookmarkEnd w:id="118"/>
      <w:bookmarkEnd w:id="119"/>
      <w:bookmarkEnd w:id="120"/>
      <w:bookmarkEnd w:id="121"/>
      <w:bookmarkEnd w:id="122"/>
      <w:bookmarkEnd w:id="123"/>
      <w:bookmarkEnd w:id="124"/>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“一心二副”（三区）。</w:t>
      </w:r>
      <w:r>
        <w:rPr>
          <w:rFonts w:hint="eastAsia" w:asciiTheme="minorEastAsia" w:hAnsiTheme="minorEastAsia" w:eastAsiaTheme="minorEastAsia" w:cstheme="minorEastAsia"/>
          <w:kern w:val="0"/>
          <w:sz w:val="28"/>
          <w:szCs w:val="28"/>
          <w:lang w:val="en-US" w:eastAsia="zh-CN" w:bidi="ar-SA"/>
        </w:rPr>
        <w:t>依托城关镇在全县政治、经济以及科技发展等方面的优势地位，发挥创新源、数据源、动力源、辐射源的作用，形成创新突出、支撑强劲、辐射面广的数字经济发展核心，协同城关、蒿坪、向阳三镇形成一体联动发展核；大力推进数字产业化和产业数字化共同发展，重点发展物联网、5G产业、大数据、智慧旅游等产业领域，建设数字经济总部核心基地，形成具有较强竞争力的数字经济产业生态圈，引领全县数字经济加速发展。全面推进紫阳硒谷产业园区数字化水平，引导发展核心区综合信息技术建设、推动数字经济核心产业、基础产业及新兴产业的布局落地。</w:t>
      </w:r>
    </w:p>
    <w:p>
      <w:pPr>
        <w:pStyle w:val="5"/>
        <w:bidi w:val="0"/>
        <w:outlineLvl w:val="1"/>
        <w:rPr>
          <w:rFonts w:hint="eastAsia" w:ascii="黑体" w:hAnsi="黑体" w:eastAsia="黑体" w:cs="黑体"/>
          <w:sz w:val="30"/>
          <w:szCs w:val="30"/>
          <w:lang w:val="en-US" w:eastAsia="zh-CN"/>
        </w:rPr>
      </w:pPr>
      <w:bookmarkStart w:id="125" w:name="_Toc32045"/>
      <w:bookmarkStart w:id="126" w:name="_Toc29469"/>
      <w:bookmarkStart w:id="127" w:name="_Toc25810"/>
      <w:bookmarkStart w:id="128" w:name="_Toc29927"/>
      <w:bookmarkStart w:id="129" w:name="_Toc3972"/>
      <w:bookmarkStart w:id="130" w:name="_Toc14534"/>
      <w:bookmarkStart w:id="131" w:name="_Toc6231"/>
      <w:bookmarkStart w:id="132" w:name="_Toc25278"/>
      <w:r>
        <w:rPr>
          <w:rFonts w:hint="eastAsia" w:ascii="黑体" w:hAnsi="黑体" w:eastAsia="黑体" w:cs="黑体"/>
          <w:sz w:val="30"/>
          <w:szCs w:val="30"/>
          <w:lang w:val="en-US" w:eastAsia="zh-CN"/>
        </w:rPr>
        <w:t>4.2统筹县域数字经济“发展带”</w:t>
      </w:r>
      <w:bookmarkEnd w:id="125"/>
      <w:bookmarkEnd w:id="126"/>
      <w:bookmarkEnd w:id="127"/>
      <w:bookmarkEnd w:id="128"/>
      <w:bookmarkEnd w:id="129"/>
      <w:bookmarkEnd w:id="130"/>
      <w:bookmarkEnd w:id="131"/>
      <w:bookmarkEnd w:id="132"/>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富硒茶橘产业发展带：</w:t>
      </w:r>
      <w:r>
        <w:rPr>
          <w:rFonts w:hint="eastAsia" w:ascii="宋体" w:hAnsi="宋体" w:eastAsia="宋体" w:cs="宋体"/>
          <w:kern w:val="0"/>
          <w:sz w:val="28"/>
          <w:szCs w:val="28"/>
          <w:lang w:val="en-US" w:eastAsia="zh-CN"/>
        </w:rPr>
        <w:t>主要是沿汉江（国道541）发展带，依托汉江水道以及G541国道便利的交通条件，</w:t>
      </w:r>
      <w:r>
        <w:rPr>
          <w:rFonts w:hint="eastAsia" w:ascii="宋体" w:hAnsi="宋体" w:eastAsia="宋体" w:cs="宋体"/>
          <w:kern w:val="0"/>
          <w:sz w:val="28"/>
          <w:szCs w:val="28"/>
        </w:rPr>
        <w:t>以富硒茶叶、富硒金钱橘混种为主的生态观光型富硒产业经济带</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宜重点发展</w:t>
      </w:r>
      <w:r>
        <w:rPr>
          <w:rFonts w:hint="eastAsia" w:ascii="宋体" w:hAnsi="宋体" w:eastAsia="宋体" w:cs="宋体"/>
          <w:kern w:val="0"/>
          <w:sz w:val="28"/>
          <w:szCs w:val="28"/>
          <w:lang w:val="en-US" w:eastAsia="zh-CN"/>
        </w:rPr>
        <w:t>富硒产品、智慧</w:t>
      </w:r>
      <w:r>
        <w:rPr>
          <w:rFonts w:hint="eastAsia" w:ascii="宋体" w:hAnsi="宋体" w:eastAsia="宋体" w:cs="宋体"/>
          <w:kern w:val="0"/>
          <w:sz w:val="28"/>
          <w:szCs w:val="28"/>
        </w:rPr>
        <w:t>旅游和数字服务业</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鼓励各类要素在发展带上聚集，逐步形成紫阳县“富硒+“经济发展的循环网络。</w:t>
      </w:r>
      <w:r>
        <w:rPr>
          <w:rFonts w:hint="eastAsia" w:ascii="宋体" w:hAnsi="宋体" w:eastAsia="宋体" w:cs="宋体"/>
          <w:kern w:val="0"/>
          <w:sz w:val="28"/>
          <w:szCs w:val="28"/>
        </w:rPr>
        <w:t>其中</w:t>
      </w:r>
      <w:r>
        <w:rPr>
          <w:rFonts w:hint="eastAsia" w:ascii="宋体" w:hAnsi="宋体" w:eastAsia="宋体" w:cs="宋体"/>
          <w:kern w:val="0"/>
          <w:sz w:val="28"/>
          <w:szCs w:val="28"/>
          <w:lang w:val="en-US" w:eastAsia="zh-CN"/>
        </w:rPr>
        <w:t>汉王镇</w:t>
      </w:r>
      <w:r>
        <w:rPr>
          <w:rFonts w:hint="eastAsia" w:ascii="宋体" w:hAnsi="宋体" w:eastAsia="宋体" w:cs="宋体"/>
          <w:kern w:val="0"/>
          <w:sz w:val="28"/>
          <w:szCs w:val="28"/>
        </w:rPr>
        <w:t>围绕富硒食品、蔬菜等优势农产品积极发展数字农业，适当发展</w:t>
      </w:r>
      <w:r>
        <w:rPr>
          <w:rFonts w:hint="eastAsia" w:ascii="宋体" w:hAnsi="宋体" w:eastAsia="宋体" w:cs="宋体"/>
          <w:kern w:val="0"/>
          <w:sz w:val="28"/>
          <w:szCs w:val="28"/>
          <w:lang w:eastAsia="zh-CN"/>
        </w:rPr>
        <w:t>智慧旅游</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焕古镇</w:t>
      </w:r>
      <w:r>
        <w:rPr>
          <w:rFonts w:hint="eastAsia" w:ascii="宋体" w:hAnsi="宋体" w:eastAsia="宋体" w:cs="宋体"/>
          <w:kern w:val="0"/>
          <w:sz w:val="28"/>
          <w:szCs w:val="28"/>
        </w:rPr>
        <w:t>围绕</w:t>
      </w:r>
      <w:r>
        <w:rPr>
          <w:rFonts w:hint="eastAsia" w:ascii="宋体" w:hAnsi="宋体" w:eastAsia="宋体" w:cs="宋体"/>
          <w:kern w:val="0"/>
          <w:sz w:val="28"/>
          <w:szCs w:val="28"/>
          <w:lang w:val="en-US" w:eastAsia="zh-CN"/>
        </w:rPr>
        <w:t>茶叶加工</w:t>
      </w:r>
      <w:r>
        <w:rPr>
          <w:rFonts w:hint="eastAsia" w:ascii="宋体" w:hAnsi="宋体" w:eastAsia="宋体" w:cs="宋体"/>
          <w:kern w:val="0"/>
          <w:sz w:val="28"/>
          <w:szCs w:val="28"/>
        </w:rPr>
        <w:t>积极发展</w:t>
      </w:r>
      <w:r>
        <w:rPr>
          <w:rFonts w:hint="eastAsia" w:ascii="宋体" w:hAnsi="宋体" w:eastAsia="宋体" w:cs="宋体"/>
          <w:kern w:val="0"/>
          <w:sz w:val="28"/>
          <w:szCs w:val="28"/>
          <w:lang w:eastAsia="zh-CN"/>
        </w:rPr>
        <w:t>加工业，</w:t>
      </w:r>
      <w:r>
        <w:rPr>
          <w:rFonts w:hint="eastAsia" w:ascii="宋体" w:hAnsi="宋体" w:eastAsia="宋体" w:cs="宋体"/>
          <w:kern w:val="0"/>
          <w:sz w:val="28"/>
          <w:szCs w:val="28"/>
        </w:rPr>
        <w:t>建设社区工厂，创办劳动力密集的企业</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洞河镇围绕旅游服务、食饮品发展智慧旅游。</w:t>
      </w:r>
    </w:p>
    <w:p>
      <w:pPr>
        <w:pStyle w:val="7"/>
        <w:widowControl w:val="0"/>
        <w:adjustRightInd w:val="0"/>
        <w:snapToGrid w:val="0"/>
        <w:spacing w:before="80" w:after="0" w:line="360" w:lineRule="auto"/>
        <w:ind w:firstLine="560" w:firstLineChars="200"/>
        <w:jc w:val="both"/>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val="0"/>
          <w:bCs w:val="0"/>
          <w:kern w:val="0"/>
          <w:sz w:val="28"/>
          <w:szCs w:val="28"/>
          <w:lang w:val="en-US" w:eastAsia="zh-CN" w:bidi="ar-SA"/>
        </w:rPr>
        <w:t>富硒生态产业发展带：</w:t>
      </w:r>
      <w:r>
        <w:rPr>
          <w:rFonts w:hint="eastAsia" w:asciiTheme="minorEastAsia" w:hAnsiTheme="minorEastAsia" w:eastAsiaTheme="minorEastAsia" w:cstheme="minorEastAsia"/>
          <w:kern w:val="0"/>
          <w:sz w:val="28"/>
          <w:szCs w:val="28"/>
          <w:lang w:val="en-US" w:eastAsia="zh-CN"/>
        </w:rPr>
        <w:t>主要是指</w:t>
      </w:r>
      <w:r>
        <w:rPr>
          <w:rFonts w:hint="eastAsia" w:asciiTheme="minorEastAsia" w:hAnsiTheme="minorEastAsia" w:eastAsiaTheme="minorEastAsia" w:cstheme="minorEastAsia"/>
          <w:kern w:val="0"/>
          <w:sz w:val="28"/>
          <w:szCs w:val="28"/>
          <w:lang w:eastAsia="zh-CN"/>
        </w:rPr>
        <w:t>沿包茂高速（G65）发展带，</w:t>
      </w:r>
      <w:r>
        <w:rPr>
          <w:rFonts w:hint="eastAsia" w:asciiTheme="minorEastAsia" w:hAnsiTheme="minorEastAsia" w:eastAsiaTheme="minorEastAsia" w:cstheme="minorEastAsia"/>
          <w:kern w:val="0"/>
          <w:sz w:val="28"/>
          <w:szCs w:val="28"/>
          <w:lang w:val="en-US" w:eastAsia="zh-CN"/>
        </w:rPr>
        <w:t>依托</w:t>
      </w:r>
      <w:r>
        <w:rPr>
          <w:rFonts w:hint="eastAsia" w:asciiTheme="minorEastAsia" w:hAnsiTheme="minorEastAsia" w:eastAsiaTheme="minorEastAsia" w:cstheme="minorEastAsia"/>
          <w:kern w:val="0"/>
          <w:sz w:val="28"/>
          <w:szCs w:val="28"/>
          <w:lang w:eastAsia="zh-CN"/>
        </w:rPr>
        <w:t>包茂高速</w:t>
      </w:r>
      <w:r>
        <w:rPr>
          <w:rFonts w:hint="eastAsia" w:asciiTheme="minorEastAsia" w:hAnsiTheme="minorEastAsia" w:eastAsiaTheme="minorEastAsia" w:cstheme="minorEastAsia"/>
          <w:kern w:val="0"/>
          <w:sz w:val="28"/>
          <w:szCs w:val="28"/>
          <w:lang w:val="en-US" w:eastAsia="zh-CN"/>
        </w:rPr>
        <w:t>构建南北向的</w:t>
      </w:r>
      <w:r>
        <w:rPr>
          <w:rFonts w:hint="eastAsia" w:asciiTheme="minorEastAsia" w:hAnsiTheme="minorEastAsia" w:eastAsiaTheme="minorEastAsia" w:cstheme="minorEastAsia"/>
          <w:b w:val="0"/>
          <w:bCs w:val="0"/>
          <w:kern w:val="0"/>
          <w:sz w:val="28"/>
          <w:szCs w:val="28"/>
          <w:lang w:val="en-US" w:eastAsia="zh-CN" w:bidi="ar-SA"/>
        </w:rPr>
        <w:t>富硒生态产业发展带</w:t>
      </w:r>
      <w:r>
        <w:rPr>
          <w:rFonts w:hint="eastAsia" w:asciiTheme="minorEastAsia" w:hAnsiTheme="minorEastAsia" w:eastAsiaTheme="minorEastAsia" w:cstheme="minorEastAsia"/>
          <w:kern w:val="0"/>
          <w:sz w:val="28"/>
          <w:szCs w:val="28"/>
          <w:lang w:val="en-US" w:eastAsia="zh-CN"/>
        </w:rPr>
        <w:t>，重点发展</w:t>
      </w:r>
      <w:r>
        <w:rPr>
          <w:rFonts w:hint="eastAsia" w:asciiTheme="minorEastAsia" w:hAnsiTheme="minorEastAsia" w:eastAsiaTheme="minorEastAsia" w:cstheme="minorEastAsia"/>
          <w:kern w:val="0"/>
          <w:sz w:val="28"/>
          <w:szCs w:val="28"/>
        </w:rPr>
        <w:t>富硒高山冷水渔业、配套富硒魔芋、富硒生猪、富硒白山羊、富硒中药材、富硒茶旅</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促进产业数字化转型，促进经济发展，</w:t>
      </w:r>
      <w:r>
        <w:rPr>
          <w:rFonts w:hint="eastAsia" w:asciiTheme="minorEastAsia" w:hAnsiTheme="minorEastAsia" w:eastAsiaTheme="minorEastAsia" w:cstheme="minorEastAsia"/>
          <w:kern w:val="0"/>
          <w:sz w:val="28"/>
          <w:szCs w:val="28"/>
          <w:lang w:val="en-US" w:eastAsia="zh-CN" w:bidi="ar-SA"/>
        </w:rPr>
        <w:t>其中</w:t>
      </w:r>
      <w:r>
        <w:rPr>
          <w:rFonts w:hint="eastAsia" w:asciiTheme="minorEastAsia" w:hAnsiTheme="minorEastAsia" w:eastAsiaTheme="minorEastAsia" w:cstheme="minorEastAsia"/>
          <w:kern w:val="0"/>
          <w:sz w:val="28"/>
          <w:szCs w:val="28"/>
          <w:lang w:eastAsia="zh-CN"/>
        </w:rPr>
        <w:t>高滩镇大力发展烤烟、魔芋，通过建立信息化平台，扩大销售渠道；</w:t>
      </w:r>
      <w:r>
        <w:rPr>
          <w:rFonts w:hint="eastAsia" w:asciiTheme="minorEastAsia" w:hAnsiTheme="minorEastAsia" w:eastAsiaTheme="minorEastAsia" w:cstheme="minorEastAsia"/>
          <w:kern w:val="0"/>
          <w:sz w:val="28"/>
          <w:szCs w:val="28"/>
          <w:lang w:val="en-US" w:eastAsia="zh-CN" w:bidi="ar-SA"/>
        </w:rPr>
        <w:t>高桥镇围绕茶叶、厚朴、核桃等发展数字农业，通过</w:t>
      </w:r>
      <w:r>
        <w:rPr>
          <w:rFonts w:hint="eastAsia" w:asciiTheme="minorEastAsia" w:hAnsiTheme="minorEastAsia" w:eastAsiaTheme="minorEastAsia" w:cstheme="minorEastAsia"/>
          <w:b w:val="0"/>
          <w:bCs w:val="0"/>
          <w:kern w:val="0"/>
          <w:sz w:val="28"/>
          <w:szCs w:val="28"/>
          <w:lang w:val="en-US" w:eastAsia="zh-CN"/>
        </w:rPr>
        <w:t>搭建共享平台，企业+合作社+村域特色产业+电商+技术人才模式资源共享；</w:t>
      </w:r>
      <w:r>
        <w:rPr>
          <w:rFonts w:hint="eastAsia" w:asciiTheme="minorEastAsia" w:hAnsiTheme="minorEastAsia" w:eastAsiaTheme="minorEastAsia" w:cstheme="minorEastAsia"/>
          <w:kern w:val="0"/>
          <w:sz w:val="28"/>
          <w:szCs w:val="28"/>
          <w:lang w:eastAsia="zh-CN"/>
        </w:rPr>
        <w:t>毛坝镇和麻柳镇大力发展富硒产品</w:t>
      </w:r>
      <w:r>
        <w:rPr>
          <w:rFonts w:hint="eastAsia" w:asciiTheme="minorEastAsia" w:hAnsiTheme="minorEastAsia" w:eastAsiaTheme="minorEastAsia" w:cstheme="minorEastAsia"/>
          <w:kern w:val="0"/>
          <w:sz w:val="28"/>
          <w:szCs w:val="28"/>
          <w:lang w:val="en-US" w:eastAsia="zh-CN"/>
        </w:rPr>
        <w:t>，同时依托地理优势以及交通条件，扩大富硒产品的销售渠道。</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数字产业优势区域：</w:t>
      </w:r>
      <w:r>
        <w:rPr>
          <w:rFonts w:hint="eastAsia" w:asciiTheme="minorEastAsia" w:hAnsiTheme="minorEastAsia" w:eastAsiaTheme="minorEastAsia" w:cstheme="minorEastAsia"/>
          <w:b w:val="0"/>
          <w:bCs w:val="0"/>
          <w:kern w:val="0"/>
          <w:sz w:val="28"/>
          <w:szCs w:val="28"/>
          <w:lang w:val="en-US" w:eastAsia="zh-CN" w:bidi="ar-SA"/>
        </w:rPr>
        <w:t>重点在城关镇、蒿坪镇、向阳镇、选择自然风光秀丽交通便捷的地方，面向高端研发人员、高科技从业人员、社会知名人士，改建或扩建休闲疗养民宿，建立综合慢生活景观，为创业产业高端从业人员的工作与修养提供便利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val="0"/>
          <w:bCs w:val="0"/>
          <w:kern w:val="0"/>
          <w:sz w:val="28"/>
          <w:szCs w:val="28"/>
          <w:lang w:val="en-US" w:eastAsia="zh-CN" w:bidi="ar-SA"/>
        </w:rPr>
      </w:pPr>
      <w:r>
        <w:rPr>
          <w:rFonts w:hint="eastAsia" w:asciiTheme="minorEastAsia" w:hAnsiTheme="minorEastAsia" w:eastAsiaTheme="minorEastAsia" w:cstheme="minorEastAsia"/>
          <w:b w:val="0"/>
          <w:bCs w:val="0"/>
          <w:kern w:val="0"/>
          <w:sz w:val="28"/>
          <w:szCs w:val="28"/>
          <w:lang w:val="en-US" w:eastAsia="zh-CN" w:bidi="ar-SA"/>
        </w:rPr>
        <w:t>在向阳镇建立“西北数字创意设计产业生态园”，作为短视频、动漫与游戏、影视创作、紫阳民歌创作、紫阳板石画作、APP开发的工作室园区。</w:t>
      </w:r>
    </w:p>
    <w:p>
      <w:pPr>
        <w:pStyle w:val="5"/>
        <w:bidi w:val="0"/>
        <w:outlineLvl w:val="1"/>
        <w:rPr>
          <w:rFonts w:hint="eastAsia"/>
          <w:lang w:val="en-US" w:eastAsia="zh-CN"/>
        </w:rPr>
      </w:pPr>
      <w:bookmarkStart w:id="133" w:name="_Toc25973"/>
      <w:bookmarkStart w:id="134" w:name="_Toc22070"/>
      <w:bookmarkStart w:id="135" w:name="_Toc9968"/>
      <w:bookmarkStart w:id="136" w:name="_Toc27675"/>
      <w:bookmarkStart w:id="137" w:name="_Toc5166"/>
      <w:bookmarkStart w:id="138" w:name="_Toc31205"/>
      <w:bookmarkStart w:id="139" w:name="_Toc29691"/>
      <w:bookmarkStart w:id="140" w:name="_Toc11103"/>
      <w:r>
        <w:rPr>
          <w:rFonts w:hint="eastAsia" w:ascii="黑体" w:hAnsi="黑体" w:eastAsia="黑体" w:cs="黑体"/>
          <w:sz w:val="30"/>
          <w:szCs w:val="30"/>
          <w:lang w:val="en-US" w:eastAsia="zh-CN"/>
        </w:rPr>
        <w:t>4.3推动引导“多点”融合创新</w:t>
      </w:r>
      <w:bookmarkEnd w:id="133"/>
      <w:bookmarkEnd w:id="134"/>
      <w:bookmarkEnd w:id="135"/>
      <w:bookmarkEnd w:id="136"/>
      <w:bookmarkEnd w:id="137"/>
      <w:bookmarkEnd w:id="138"/>
      <w:bookmarkEnd w:id="139"/>
      <w:bookmarkEnd w:id="140"/>
    </w:p>
    <w:p>
      <w:pPr>
        <w:pStyle w:val="7"/>
        <w:keepNext w:val="0"/>
        <w:keepLines w:val="0"/>
        <w:pageBreakBefore w:val="0"/>
        <w:widowControl w:val="0"/>
        <w:numPr>
          <w:ilvl w:val="0"/>
          <w:numId w:val="0"/>
        </w:numPr>
        <w:kinsoku/>
        <w:wordWrap/>
        <w:overflowPunct/>
        <w:topLinePunct w:val="0"/>
        <w:autoSpaceDE/>
        <w:autoSpaceDN/>
        <w:bidi w:val="0"/>
        <w:adjustRightInd/>
        <w:snapToGrid/>
        <w:spacing w:before="200" w:after="80" w:line="360" w:lineRule="auto"/>
        <w:ind w:firstLine="562" w:firstLineChars="200"/>
        <w:jc w:val="both"/>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“多点”。</w:t>
      </w:r>
      <w:r>
        <w:rPr>
          <w:rFonts w:hint="eastAsia" w:ascii="宋体" w:hAnsi="宋体" w:eastAsia="宋体" w:cs="宋体"/>
          <w:b w:val="0"/>
          <w:bCs w:val="0"/>
          <w:kern w:val="0"/>
          <w:sz w:val="28"/>
          <w:szCs w:val="28"/>
          <w:lang w:val="en-US" w:eastAsia="zh-CN" w:bidi="ar-SA"/>
        </w:rPr>
        <w:t>推动“多点”融合创新。推动</w:t>
      </w:r>
      <w:r>
        <w:rPr>
          <w:rFonts w:hint="eastAsia" w:ascii="宋体" w:hAnsi="宋体" w:eastAsia="宋体" w:cs="宋体"/>
          <w:kern w:val="0"/>
          <w:sz w:val="28"/>
          <w:szCs w:val="28"/>
          <w:lang w:eastAsia="zh-CN" w:bidi="ar-SA"/>
        </w:rPr>
        <w:t>高桥、东木、双安</w:t>
      </w:r>
      <w:r>
        <w:rPr>
          <w:rFonts w:hint="eastAsia" w:ascii="宋体" w:hAnsi="宋体" w:eastAsia="宋体" w:cs="宋体"/>
          <w:kern w:val="0"/>
          <w:sz w:val="28"/>
          <w:szCs w:val="28"/>
          <w:lang w:val="en-US" w:eastAsia="zh-CN" w:bidi="ar-SA"/>
        </w:rPr>
        <w:t>等其余各镇，围绕</w:t>
      </w:r>
      <w:r>
        <w:rPr>
          <w:rFonts w:hint="eastAsia" w:ascii="宋体" w:hAnsi="宋体" w:eastAsia="宋体" w:cs="宋体"/>
          <w:b w:val="0"/>
          <w:bCs w:val="0"/>
          <w:kern w:val="0"/>
          <w:sz w:val="28"/>
          <w:szCs w:val="28"/>
          <w:lang w:val="en-US" w:eastAsia="zh-CN" w:bidi="ar-SA"/>
        </w:rPr>
        <w:t>旅游、农业、物流等传统优势产业数字化转型升级需求，加快智能制造、数字旅游、智慧农业、智慧物流等新业态发展，积极开展数字化应用示范，总结可规模化推广的 经验模式，带动全县数字经济与实体经济融合发展创新突破。</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200" w:after="80" w:line="360" w:lineRule="auto"/>
        <w:ind w:firstLine="562" w:firstLineChars="200"/>
        <w:jc w:val="both"/>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现代服务：</w:t>
      </w:r>
      <w:r>
        <w:rPr>
          <w:rFonts w:hint="eastAsia" w:ascii="宋体" w:hAnsi="宋体" w:eastAsia="宋体" w:cs="宋体"/>
          <w:b w:val="0"/>
          <w:bCs w:val="0"/>
          <w:kern w:val="0"/>
          <w:sz w:val="28"/>
          <w:szCs w:val="28"/>
          <w:lang w:val="en-US" w:eastAsia="zh-CN" w:bidi="ar-SA"/>
        </w:rPr>
        <w:t>在</w:t>
      </w:r>
      <w:r>
        <w:rPr>
          <w:rFonts w:hint="eastAsia" w:ascii="宋体" w:hAnsi="宋体" w:eastAsia="宋体" w:cs="宋体"/>
          <w:kern w:val="0"/>
          <w:sz w:val="28"/>
          <w:szCs w:val="28"/>
          <w:lang w:val="en-US" w:eastAsia="zh-CN" w:bidi="ar-SA"/>
        </w:rPr>
        <w:t>城关镇和向阳镇构建全县现代服务业聚集中心，着力发展修脚、家政、烹饪、电商等各类服务业技能培训。</w:t>
      </w:r>
    </w:p>
    <w:p>
      <w:pPr>
        <w:pStyle w:val="7"/>
        <w:widowControl w:val="0"/>
        <w:numPr>
          <w:ilvl w:val="0"/>
          <w:numId w:val="0"/>
        </w:numPr>
        <w:adjustRightInd/>
        <w:snapToGrid/>
        <w:spacing w:before="200" w:after="80" w:line="360" w:lineRule="auto"/>
        <w:ind w:firstLine="562"/>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bCs/>
          <w:kern w:val="0"/>
          <w:sz w:val="28"/>
          <w:szCs w:val="28"/>
          <w:lang w:val="en-US" w:eastAsia="zh-CN" w:bidi="ar-SA"/>
        </w:rPr>
        <w:t>富硒茶叶：</w:t>
      </w:r>
      <w:r>
        <w:rPr>
          <w:rFonts w:hint="eastAsia" w:ascii="宋体" w:hAnsi="宋体" w:eastAsia="宋体" w:cs="宋体"/>
          <w:kern w:val="0"/>
          <w:sz w:val="28"/>
          <w:szCs w:val="28"/>
          <w:lang w:val="en-US" w:eastAsia="zh-CN" w:bidi="ar-SA"/>
        </w:rPr>
        <w:t>整合现有产业基础，</w:t>
      </w:r>
      <w:r>
        <w:rPr>
          <w:rFonts w:hint="eastAsia" w:ascii="宋体" w:hAnsi="宋体" w:eastAsia="宋体" w:cs="宋体"/>
          <w:b w:val="0"/>
          <w:bCs w:val="0"/>
          <w:kern w:val="0"/>
          <w:sz w:val="28"/>
          <w:szCs w:val="28"/>
          <w:lang w:eastAsia="zh-CN" w:bidi="ar-SA"/>
        </w:rPr>
        <w:t>依托当地茶企业，</w:t>
      </w:r>
      <w:r>
        <w:rPr>
          <w:rFonts w:hint="eastAsia" w:ascii="宋体" w:hAnsi="宋体" w:eastAsia="宋体" w:cs="宋体"/>
          <w:b w:val="0"/>
          <w:bCs w:val="0"/>
          <w:kern w:val="0"/>
          <w:sz w:val="28"/>
          <w:szCs w:val="28"/>
          <w:lang w:bidi="ar-SA"/>
        </w:rPr>
        <w:t>采取“农户+基地+合作社”模式，</w:t>
      </w:r>
      <w:r>
        <w:rPr>
          <w:rFonts w:hint="eastAsia" w:ascii="宋体" w:hAnsi="宋体" w:eastAsia="宋体" w:cs="宋体"/>
          <w:kern w:val="0"/>
          <w:sz w:val="28"/>
          <w:szCs w:val="28"/>
          <w:lang w:val="en-US" w:eastAsia="zh-CN" w:bidi="ar-SA"/>
        </w:rPr>
        <w:t>大力发展茶产业的加工，同时加大龙头企业的带动作用，改造老旧的茶叶生产线，加大引进先进生产线的力度。</w:t>
      </w:r>
      <w:r>
        <w:rPr>
          <w:rFonts w:hint="eastAsia" w:ascii="宋体" w:hAnsi="宋体" w:eastAsia="宋体" w:cs="宋体"/>
          <w:b w:val="0"/>
          <w:bCs w:val="0"/>
          <w:kern w:val="0"/>
          <w:sz w:val="28"/>
          <w:szCs w:val="28"/>
          <w:lang w:val="en-US" w:eastAsia="zh-CN" w:bidi="ar-SA"/>
        </w:rPr>
        <w:t>通过搭建共享平台，实现企业+合作社+村域特色产业+电商+技术人才模式资源共享，加大资源的共享以及扩大销售渠道，</w:t>
      </w:r>
      <w:r>
        <w:rPr>
          <w:rFonts w:hint="eastAsia" w:ascii="宋体" w:hAnsi="宋体" w:eastAsia="宋体" w:cs="宋体"/>
          <w:kern w:val="0"/>
          <w:sz w:val="28"/>
          <w:szCs w:val="28"/>
          <w:lang w:val="en-US" w:eastAsia="zh-CN" w:bidi="ar-SA"/>
        </w:rPr>
        <w:t>积极发展“互联网+农业”，实现茶叶产业提质增效，在提高效率中提高产能和品质，使茶叶产业获得更高质量的发展。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200" w:after="80" w:line="360" w:lineRule="auto"/>
        <w:ind w:firstLine="562" w:firstLineChars="200"/>
        <w:jc w:val="both"/>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富硒食饮品:</w:t>
      </w:r>
      <w:r>
        <w:rPr>
          <w:rFonts w:hint="eastAsia" w:ascii="宋体" w:hAnsi="宋体" w:eastAsia="宋体" w:cs="宋体"/>
          <w:kern w:val="0"/>
          <w:sz w:val="28"/>
          <w:szCs w:val="28"/>
          <w:lang w:val="en-US" w:eastAsia="zh-CN" w:bidi="ar-SA"/>
        </w:rPr>
        <w:t>依托本地的特色产业以及园区，建立大数据平台，实现精准种植，推动农业大数据应用，加快农业数据的收集、整理、分析、共享。完善农村电商体系，培育农村电商主体，完善农产品供销产业链，推进农业产销信息快速传递、综合管理、监测预警、实时发布，实现数据分析、数据挖掘，同时建立产品溯源体系，进行产品主权的监管和维护。</w:t>
      </w:r>
    </w:p>
    <w:p>
      <w:pPr>
        <w:widowControl/>
        <w:numPr>
          <w:ilvl w:val="0"/>
          <w:numId w:val="0"/>
        </w:numPr>
        <w:adjustRightInd/>
        <w:snapToGrid/>
        <w:spacing w:before="200" w:after="80" w:line="360" w:lineRule="auto"/>
        <w:ind w:firstLine="562" w:firstLineChars="200"/>
        <w:jc w:val="both"/>
        <w:rPr>
          <w:rFonts w:hint="eastAsia" w:ascii="宋体" w:hAnsi="宋体" w:eastAsia="宋体" w:cs="宋体"/>
          <w:sz w:val="28"/>
          <w:szCs w:val="28"/>
          <w:lang w:val="en-US" w:eastAsia="zh-CN" w:bidi="ar-SA"/>
        </w:rPr>
      </w:pPr>
      <w:r>
        <w:rPr>
          <w:rFonts w:hint="eastAsia" w:ascii="宋体" w:hAnsi="宋体" w:eastAsia="宋体" w:cs="宋体"/>
          <w:b/>
          <w:bCs/>
          <w:kern w:val="0"/>
          <w:sz w:val="28"/>
          <w:szCs w:val="28"/>
          <w:lang w:val="en-US" w:eastAsia="zh-CN" w:bidi="ar-SA"/>
        </w:rPr>
        <w:t>旅游服务：</w:t>
      </w:r>
      <w:r>
        <w:rPr>
          <w:rFonts w:hint="eastAsia" w:ascii="宋体" w:hAnsi="宋体" w:eastAsia="宋体" w:cs="宋体"/>
          <w:kern w:val="0"/>
          <w:sz w:val="28"/>
          <w:szCs w:val="28"/>
          <w:lang w:val="en-US" w:eastAsia="zh-CN" w:bidi="ar-SA"/>
        </w:rPr>
        <w:t>借助特色资源与生态优势，将农业与乡村旅游业同步发展，建设硒谷茶乡·颐养紫阳紫阳旅游品牌。</w:t>
      </w:r>
      <w:r>
        <w:rPr>
          <w:rFonts w:hint="eastAsia" w:ascii="宋体" w:hAnsi="宋体" w:eastAsia="宋体" w:cs="宋体"/>
          <w:spacing w:val="0"/>
          <w:w w:val="100"/>
          <w:position w:val="0"/>
          <w:sz w:val="28"/>
          <w:szCs w:val="28"/>
          <w:lang w:val="en-US" w:eastAsia="zh-CN" w:bidi="ar-SA"/>
        </w:rPr>
        <w:t>推广普及数字旅游，加快构建“旅游数据分析平台"、“旅游统计工作平台”和“涉旅决策支持平台"，建立行业管理、产业监测、信息发布、互动分享、导游导览、电子商务等全覆盖的数字化应用体系，为全域旅游发展提供支撑。加快全县智慧景区建设，推进4A级旅游景区加快实现旅游服务、旅游管理、旅游营销、旅游体验、景区流量调控智能化。促进道路交通、住宿接待、餐饮、旅游集散中心、旅游景区的数据联动，打造相关行业之间信息互通、信息共享、服务相扣的“一条龙"模式，建立覆盖PC端、移动端和实体店的线上线下一体化旅游服务体系，为游客提供“吃、住、行、游、娱、购"全要素旅游消费服务，真正让游客“一部手机游紫阳"。</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200" w:after="80" w:line="360" w:lineRule="auto"/>
        <w:ind w:firstLine="562" w:firstLineChars="200"/>
        <w:jc w:val="both"/>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rPr>
        <w:t>畜牧养殖:</w:t>
      </w:r>
      <w:r>
        <w:rPr>
          <w:rFonts w:hint="eastAsia" w:ascii="宋体" w:hAnsi="宋体" w:eastAsia="宋体" w:cs="宋体"/>
          <w:kern w:val="0"/>
          <w:sz w:val="28"/>
          <w:szCs w:val="28"/>
          <w:lang w:val="en-US" w:eastAsia="zh-CN" w:bidi="ar-SA"/>
        </w:rPr>
        <w:t>发展家庭牧场，打造紫阳生态富硒品牌，由专业合作社为家庭牧场统一提供仔畜，统一生产管理，统一销售，同时构建畜禽全生命周期质量安全管控系统，加强动物疫病监测预警，进行生态养殖，并统一注册生态富硒商标，利用现代信息技术，实现订单养殖。</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200" w:after="80" w:line="360" w:lineRule="auto"/>
        <w:ind w:firstLine="560" w:firstLineChars="200"/>
        <w:jc w:val="both"/>
        <w:textAlignment w:val="auto"/>
        <w:rPr>
          <w:rFonts w:hint="eastAsia" w:ascii="宋体" w:hAnsi="宋体" w:eastAsia="宋体" w:cs="宋体"/>
          <w:kern w:val="0"/>
          <w:sz w:val="28"/>
          <w:szCs w:val="2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center"/>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drawing>
          <wp:inline distT="0" distB="0" distL="114300" distR="114300">
            <wp:extent cx="6108065" cy="6487160"/>
            <wp:effectExtent l="0" t="0" r="6985" b="8890"/>
            <wp:docPr id="3" name="图片 3" descr="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布局(1)"/>
                    <pic:cNvPicPr>
                      <a:picLocks noChangeAspect="1"/>
                    </pic:cNvPicPr>
                  </pic:nvPicPr>
                  <pic:blipFill>
                    <a:blip r:embed="rId22"/>
                    <a:stretch>
                      <a:fillRect/>
                    </a:stretch>
                  </pic:blipFill>
                  <pic:spPr>
                    <a:xfrm>
                      <a:off x="0" y="0"/>
                      <a:ext cx="6108065" cy="648716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482" w:firstLineChars="200"/>
        <w:jc w:val="center"/>
        <w:textAlignment w:val="auto"/>
        <w:rPr>
          <w:rFonts w:hint="eastAsia" w:asciiTheme="minorEastAsia" w:hAnsiTheme="minorEastAsia" w:eastAsiaTheme="minorEastAsia" w:cstheme="minorEastAsia"/>
          <w:b/>
          <w:bCs/>
          <w:kern w:val="0"/>
          <w:sz w:val="24"/>
          <w:szCs w:val="24"/>
          <w:lang w:val="en-US" w:eastAsia="zh-CN" w:bidi="ar-SA"/>
        </w:rPr>
      </w:pPr>
      <w:bookmarkStart w:id="141" w:name="_Toc13096_WPSOffice_Level2"/>
      <w:bookmarkStart w:id="142" w:name="_Toc1023_WPSOffice_Level1"/>
      <w:bookmarkStart w:id="143" w:name="_Toc24731_WPSOffice_Level2"/>
      <w:bookmarkStart w:id="144" w:name="_Toc32741_WPSOffice_Level1"/>
      <w:bookmarkStart w:id="145" w:name="_Toc6642_WPSOffice_Level1"/>
      <w:r>
        <w:rPr>
          <w:rFonts w:hint="eastAsia" w:asciiTheme="minorEastAsia" w:hAnsiTheme="minorEastAsia" w:eastAsiaTheme="minorEastAsia" w:cstheme="minorEastAsia"/>
          <w:b/>
          <w:bCs/>
          <w:kern w:val="0"/>
          <w:sz w:val="24"/>
          <w:szCs w:val="24"/>
          <w:lang w:val="en-US" w:eastAsia="zh-CN" w:bidi="ar-SA"/>
        </w:rPr>
        <w:t>图4-1 紫阳数字经济“一核两带多点”布局示意图</w:t>
      </w:r>
      <w:bookmarkEnd w:id="141"/>
      <w:bookmarkEnd w:id="142"/>
      <w:bookmarkEnd w:id="143"/>
      <w:bookmarkEnd w:id="144"/>
      <w:bookmarkEnd w:id="145"/>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482" w:firstLineChars="200"/>
        <w:jc w:val="center"/>
        <w:textAlignment w:val="auto"/>
        <w:rPr>
          <w:rFonts w:hint="eastAsia" w:asciiTheme="minorEastAsia" w:hAnsiTheme="minorEastAsia" w:eastAsiaTheme="minorEastAsia" w:cstheme="minorEastAsia"/>
          <w:b/>
          <w:bCs/>
          <w:kern w:val="0"/>
          <w:sz w:val="24"/>
          <w:szCs w:val="24"/>
          <w:lang w:val="en-US" w:eastAsia="zh-CN" w:bidi="ar-SA"/>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outlineLvl w:val="0"/>
        <w:rPr>
          <w:rFonts w:hint="eastAsia"/>
        </w:rPr>
      </w:pPr>
      <w:bookmarkStart w:id="146" w:name="_Toc18102"/>
      <w:r>
        <w:rPr>
          <w:rFonts w:hint="eastAsia"/>
          <w:lang w:val="en-US" w:eastAsia="zh-CN"/>
        </w:rPr>
        <w:t>第五章 推进数字基础设施建设</w:t>
      </w:r>
      <w:bookmarkEnd w:id="110"/>
      <w:bookmarkEnd w:id="111"/>
      <w:bookmarkEnd w:id="112"/>
      <w:bookmarkEnd w:id="113"/>
      <w:bookmarkEnd w:id="114"/>
      <w:bookmarkEnd w:id="115"/>
      <w:bookmarkEnd w:id="116"/>
      <w:bookmarkEnd w:id="146"/>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在统筹谋划紫阳县经济与社会发展第十四个五年规划中，就必须重视与加快县域数字基础设施布局建设，“十四五”期间，国家重点支持“两新一重”</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即</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"https://baike.baidu.com/item/%E6%96%B0%E5%9E%8B%E5%9F%BA%E7%A1%80%E8%AE%BE%E6%96%BD%E5%BB%BA%E8%AE%BE/24528423" \t "https://baike.baidu.com/item/%E4%B8%A4%E6%96%B0%E4%B8%80%E9%87%8D/_blank"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新型基础设施建设</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"https://baike.baidu.com/item/%E6%96%B0%E5%9E%8B%E5%9F%8E%E9%95%87%E5%8C%96%E5%BB%BA%E8%AE%BE/6470424" \t "https://baike.baidu.com/item/%E4%B8%A4%E6%96%B0%E4%B8%80%E9%87%8D/_blank"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新型城镇化建设</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"https://baike.baidu.com/item/%E4%BA%A4%E9%80%9A%E3%80%81%E6%B0%B4%E5%88%A9%E7%AD%89%E9%87%8D%E5%A4%A7%E5%B7%A5%E7%A8%8B%E5%BB%BA%E8%AE%BE/50155270" \t "https://baike.baidu.com/item/%E4%B8%A4%E6%96%B0%E4%B8%80%E9%87%8D/_blank"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交通、水利等重大工程建设</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kern w:val="0"/>
          <w:sz w:val="28"/>
          <w:szCs w:val="28"/>
          <w:lang w:val="en-US" w:eastAsia="zh-CN" w:bidi="ar-SA"/>
        </w:rPr>
        <w:t>建设，新基建的投资发展重点之一就是补足数字基础设施短板，为数字经济发展提供良好的支撑平台。</w:t>
      </w:r>
    </w:p>
    <w:p>
      <w:pPr>
        <w:pStyle w:val="5"/>
        <w:bidi w:val="0"/>
        <w:outlineLvl w:val="1"/>
        <w:rPr>
          <w:rFonts w:hint="eastAsia" w:ascii="黑体" w:hAnsi="黑体" w:eastAsia="黑体" w:cs="黑体"/>
          <w:sz w:val="30"/>
          <w:szCs w:val="30"/>
          <w:lang w:val="en-US" w:eastAsia="zh-CN"/>
        </w:rPr>
      </w:pPr>
      <w:bookmarkStart w:id="147" w:name="_Toc8294"/>
      <w:bookmarkStart w:id="148" w:name="_Toc4537"/>
      <w:bookmarkStart w:id="149" w:name="_Toc32289"/>
      <w:bookmarkStart w:id="150" w:name="_Toc18891"/>
      <w:bookmarkStart w:id="151" w:name="_Toc24466"/>
      <w:bookmarkStart w:id="152" w:name="_Toc19345"/>
      <w:bookmarkStart w:id="153" w:name="_Toc27423"/>
      <w:bookmarkStart w:id="154" w:name="_Toc31820"/>
      <w:r>
        <w:rPr>
          <w:rFonts w:hint="eastAsia" w:ascii="黑体" w:hAnsi="黑体" w:eastAsia="黑体" w:cs="黑体"/>
          <w:sz w:val="30"/>
          <w:szCs w:val="30"/>
          <w:lang w:val="en-US" w:eastAsia="zh-CN"/>
        </w:rPr>
        <w:t>5.1完善信息网络基础设施建设</w:t>
      </w:r>
      <w:bookmarkEnd w:id="147"/>
      <w:bookmarkEnd w:id="148"/>
      <w:bookmarkEnd w:id="149"/>
      <w:bookmarkEnd w:id="150"/>
      <w:bookmarkEnd w:id="151"/>
      <w:bookmarkEnd w:id="152"/>
      <w:bookmarkEnd w:id="153"/>
      <w:bookmarkEnd w:id="154"/>
    </w:p>
    <w:p>
      <w:pPr>
        <w:spacing w:line="360" w:lineRule="auto"/>
        <w:ind w:firstLine="703" w:firstLineChars="250"/>
        <w:rPr>
          <w:rFonts w:hint="eastAsia" w:ascii="宋体" w:hAnsi="宋体" w:eastAsia="宋体" w:cs="宋体"/>
          <w:sz w:val="28"/>
          <w:szCs w:val="28"/>
        </w:rPr>
      </w:pPr>
      <w:r>
        <w:rPr>
          <w:rFonts w:hint="eastAsia" w:ascii="宋体" w:hAnsi="宋体" w:eastAsia="宋体" w:cs="宋体"/>
          <w:b/>
          <w:bCs/>
          <w:sz w:val="28"/>
          <w:szCs w:val="28"/>
        </w:rPr>
        <w:t>进一步优化城域网网络结构</w:t>
      </w:r>
      <w:r>
        <w:rPr>
          <w:rFonts w:hint="eastAsia" w:ascii="宋体" w:hAnsi="宋体" w:eastAsia="宋体" w:cs="宋体"/>
          <w:b/>
          <w:bCs/>
          <w:sz w:val="28"/>
          <w:szCs w:val="28"/>
          <w:lang w:eastAsia="zh-CN"/>
        </w:rPr>
        <w:t>。</w:t>
      </w:r>
      <w:r>
        <w:rPr>
          <w:rFonts w:hint="eastAsia" w:ascii="宋体" w:hAnsi="宋体" w:eastAsia="宋体" w:cs="宋体"/>
          <w:sz w:val="28"/>
          <w:szCs w:val="28"/>
        </w:rPr>
        <w:t>加快城市互联网出口扩容，力争城域出口带宽达到0.8T。以支撑5G、窄带物联网等新一代移动通信网络为出发点，按照“一塔多站、资源共享、均衡发展”的工作思路，加快通信铁塔全县“一张网”建设，力争五年内建成“辐射全县、高度集约”的铁塔资源网。加快建设以5G为代表的新一代移动通信基础设施，着力改善民生，发展数字经济，着力培育发展新动能，提供高水平、高质量的移动通信基础设施保障。</w:t>
      </w:r>
    </w:p>
    <w:p>
      <w:pPr>
        <w:spacing w:line="360" w:lineRule="auto"/>
        <w:ind w:firstLine="703" w:firstLineChars="250"/>
        <w:rPr>
          <w:rFonts w:hint="eastAsia" w:ascii="宋体" w:hAnsi="宋体" w:eastAsia="宋体" w:cs="宋体"/>
          <w:sz w:val="28"/>
          <w:szCs w:val="28"/>
        </w:rPr>
      </w:pPr>
      <w:r>
        <w:rPr>
          <w:rFonts w:hint="eastAsia" w:ascii="宋体" w:hAnsi="宋体" w:eastAsia="宋体" w:cs="宋体"/>
          <w:b/>
          <w:bCs/>
          <w:sz w:val="28"/>
          <w:szCs w:val="28"/>
        </w:rPr>
        <w:t>加强对农村、山区等地区信息基础设施建设</w:t>
      </w:r>
      <w:r>
        <w:rPr>
          <w:rFonts w:hint="eastAsia" w:ascii="宋体" w:hAnsi="宋体" w:eastAsia="宋体" w:cs="宋体"/>
          <w:b/>
          <w:bCs/>
          <w:sz w:val="28"/>
          <w:szCs w:val="28"/>
          <w:lang w:eastAsia="zh-CN"/>
        </w:rPr>
        <w:t>。</w:t>
      </w:r>
      <w:r>
        <w:rPr>
          <w:rFonts w:hint="eastAsia" w:ascii="宋体" w:hAnsi="宋体" w:eastAsia="宋体" w:cs="宋体"/>
          <w:sz w:val="28"/>
          <w:szCs w:val="28"/>
        </w:rPr>
        <w:t>实施宽带网络“除盲补点”，提升农村光纤网络覆盖率。力争到2025年，农村宽带用户实现100Mbps以上接入能力。</w:t>
      </w:r>
    </w:p>
    <w:p>
      <w:pPr>
        <w:spacing w:line="360" w:lineRule="auto"/>
        <w:ind w:firstLine="703" w:firstLineChars="250"/>
        <w:rPr>
          <w:rFonts w:hint="eastAsia" w:ascii="宋体" w:hAnsi="宋体" w:eastAsia="宋体" w:cs="宋体"/>
          <w:sz w:val="28"/>
          <w:szCs w:val="28"/>
        </w:rPr>
      </w:pPr>
      <w:r>
        <w:rPr>
          <w:rFonts w:hint="eastAsia" w:ascii="宋体" w:hAnsi="宋体" w:eastAsia="宋体" w:cs="宋体"/>
          <w:b/>
          <w:bCs/>
          <w:sz w:val="28"/>
          <w:szCs w:val="28"/>
        </w:rPr>
        <w:t>推进信息基础网络的IPv6升级</w:t>
      </w:r>
      <w:r>
        <w:rPr>
          <w:rFonts w:hint="eastAsia" w:ascii="宋体" w:hAnsi="宋体" w:eastAsia="宋体" w:cs="宋体"/>
          <w:b/>
          <w:bCs/>
          <w:sz w:val="28"/>
          <w:szCs w:val="28"/>
          <w:lang w:eastAsia="zh-CN"/>
        </w:rPr>
        <w:t>。</w:t>
      </w:r>
      <w:r>
        <w:rPr>
          <w:rFonts w:hint="eastAsia" w:ascii="宋体" w:hAnsi="宋体" w:eastAsia="宋体" w:cs="宋体"/>
          <w:sz w:val="28"/>
          <w:szCs w:val="28"/>
        </w:rPr>
        <w:t>加快IPv6关键设备、软件和解决方案的研发和应用部署，鼓励制造企业、政府机关和国有企事业单位外网系统、重点商业网站系统应用IPv6，带动社会各领域网络系统的全面升级。</w:t>
      </w:r>
    </w:p>
    <w:p>
      <w:pPr>
        <w:pStyle w:val="7"/>
        <w:widowControl w:val="0"/>
        <w:spacing w:before="80" w:line="360" w:lineRule="auto"/>
        <w:ind w:firstLine="562"/>
        <w:jc w:val="both"/>
        <w:rPr>
          <w:rFonts w:hint="eastAsia" w:ascii="宋体" w:hAnsi="宋体" w:eastAsia="宋体" w:cs="宋体"/>
          <w:sz w:val="28"/>
          <w:szCs w:val="28"/>
        </w:rPr>
      </w:pPr>
      <w:r>
        <w:rPr>
          <w:rFonts w:hint="eastAsia" w:ascii="宋体" w:hAnsi="宋体" w:eastAsia="宋体" w:cs="宋体"/>
          <w:b/>
          <w:bCs/>
          <w:sz w:val="28"/>
          <w:szCs w:val="28"/>
          <w:lang w:eastAsia="zh-CN"/>
        </w:rPr>
        <w:t>加快推进无线</w:t>
      </w:r>
      <w:r>
        <w:rPr>
          <w:rFonts w:hint="eastAsia" w:ascii="宋体" w:hAnsi="宋体" w:eastAsia="宋体" w:cs="宋体"/>
          <w:b/>
          <w:bCs/>
          <w:sz w:val="28"/>
          <w:szCs w:val="28"/>
          <w:lang w:val="en-US" w:eastAsia="zh-CN"/>
        </w:rPr>
        <w:t>网络的</w:t>
      </w:r>
      <w:r>
        <w:rPr>
          <w:rFonts w:hint="eastAsia" w:ascii="宋体" w:hAnsi="宋体" w:eastAsia="宋体" w:cs="宋体"/>
          <w:b/>
          <w:bCs/>
          <w:sz w:val="28"/>
          <w:szCs w:val="28"/>
          <w:lang w:eastAsia="zh-CN"/>
        </w:rPr>
        <w:t>深度覆盖。</w:t>
      </w:r>
      <w:r>
        <w:rPr>
          <w:rFonts w:hint="eastAsia" w:ascii="宋体" w:hAnsi="宋体" w:eastAsia="宋体" w:cs="宋体"/>
          <w:sz w:val="28"/>
          <w:szCs w:val="28"/>
        </w:rPr>
        <w:t>加快推进公共场所免费无线网络（WiFi）的扫盲补漏和质量优化，进一步健全无线网络服务体系，力争规模总量达到500个。</w:t>
      </w:r>
    </w:p>
    <w:p>
      <w:pPr>
        <w:pStyle w:val="7"/>
        <w:keepNext w:val="0"/>
        <w:keepLines w:val="0"/>
        <w:pageBreakBefore w:val="0"/>
        <w:widowControl w:val="0"/>
        <w:numPr>
          <w:ilvl w:val="-1"/>
          <w:numId w:val="0"/>
        </w:numPr>
        <w:kinsoku/>
        <w:wordWrap/>
        <w:overflowPunct/>
        <w:topLinePunct w:val="0"/>
        <w:autoSpaceDE/>
        <w:autoSpaceDN/>
        <w:bidi w:val="0"/>
        <w:adjustRightInd/>
        <w:snapToGrid/>
        <w:spacing w:before="80" w:after="0" w:line="360" w:lineRule="auto"/>
        <w:ind w:firstLine="560" w:firstLineChars="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宋体" w:hAnsi="宋体" w:eastAsia="宋体" w:cs="宋体"/>
          <w:b/>
          <w:bCs/>
          <w:sz w:val="28"/>
          <w:szCs w:val="28"/>
        </w:rPr>
        <w:t>加快发展物联网技术应用</w:t>
      </w:r>
      <w:r>
        <w:rPr>
          <w:rFonts w:hint="eastAsia" w:ascii="宋体" w:hAnsi="宋体" w:eastAsia="宋体" w:cs="宋体"/>
          <w:b/>
          <w:bCs/>
          <w:sz w:val="28"/>
          <w:szCs w:val="28"/>
          <w:lang w:eastAsia="zh-CN"/>
        </w:rPr>
        <w:t>。</w:t>
      </w:r>
      <w:r>
        <w:rPr>
          <w:rFonts w:hint="eastAsia" w:ascii="宋体" w:hAnsi="宋体" w:eastAsia="宋体" w:cs="宋体"/>
          <w:sz w:val="28"/>
          <w:szCs w:val="28"/>
        </w:rPr>
        <w:t>推进重点地下管线、建筑设施、景观景点、环卫、交通、大气质量等城市公共基础设施广泛部署物联网传感终端，形成物联网网络，推进移动通信网络的技术演进和升级换代。</w:t>
      </w:r>
    </w:p>
    <w:p>
      <w:pPr>
        <w:pStyle w:val="5"/>
        <w:keepNext/>
        <w:keepLines/>
        <w:pageBreakBefore w:val="0"/>
        <w:widowControl/>
        <w:kinsoku/>
        <w:wordWrap/>
        <w:overflowPunct/>
        <w:topLinePunct w:val="0"/>
        <w:autoSpaceDE/>
        <w:autoSpaceDN/>
        <w:bidi w:val="0"/>
        <w:adjustRightInd/>
        <w:snapToGrid/>
        <w:spacing w:before="260" w:after="260" w:line="413" w:lineRule="auto"/>
        <w:textAlignment w:val="auto"/>
        <w:outlineLvl w:val="1"/>
        <w:rPr>
          <w:rFonts w:hint="eastAsia" w:ascii="黑体" w:hAnsi="黑体" w:eastAsia="黑体" w:cs="黑体"/>
          <w:sz w:val="30"/>
          <w:szCs w:val="30"/>
          <w:lang w:val="en-US" w:eastAsia="zh-CN"/>
        </w:rPr>
      </w:pPr>
      <w:bookmarkStart w:id="155" w:name="_Toc26313"/>
      <w:bookmarkStart w:id="156" w:name="_Toc7702"/>
      <w:bookmarkStart w:id="157" w:name="_Toc24331"/>
      <w:bookmarkStart w:id="158" w:name="_Toc20425_WPSOffice_Level2"/>
      <w:bookmarkStart w:id="159" w:name="_Toc3650"/>
      <w:bookmarkStart w:id="160" w:name="_Toc29754"/>
      <w:bookmarkStart w:id="161" w:name="_Toc3374"/>
      <w:bookmarkStart w:id="162" w:name="_Toc32003"/>
      <w:bookmarkStart w:id="163" w:name="_Toc29574"/>
      <w:bookmarkStart w:id="164" w:name="_Toc25791"/>
      <w:bookmarkStart w:id="165" w:name="_Toc795"/>
      <w:bookmarkStart w:id="166" w:name="_Toc14810"/>
      <w:bookmarkStart w:id="167" w:name="_Toc1760"/>
      <w:bookmarkStart w:id="168" w:name="_Toc16317"/>
      <w:bookmarkStart w:id="169" w:name="_Toc6293"/>
      <w:bookmarkStart w:id="170" w:name="_Toc3462"/>
      <w:bookmarkStart w:id="171" w:name="_Toc687"/>
      <w:bookmarkStart w:id="172" w:name="_Toc18346"/>
      <w:bookmarkStart w:id="173" w:name="_Toc7860"/>
      <w:bookmarkStart w:id="174" w:name="_Toc28469"/>
      <w:bookmarkStart w:id="175" w:name="_Toc16353"/>
      <w:bookmarkStart w:id="176" w:name="_Toc31087"/>
      <w:bookmarkStart w:id="177" w:name="_Toc21355"/>
      <w:bookmarkStart w:id="178" w:name="_Toc19272"/>
      <w:r>
        <w:rPr>
          <w:rFonts w:hint="eastAsia" w:ascii="黑体" w:hAnsi="黑体" w:eastAsia="黑体" w:cs="黑体"/>
          <w:sz w:val="30"/>
          <w:szCs w:val="30"/>
          <w:lang w:val="en-US" w:eastAsia="zh-CN"/>
        </w:rPr>
        <w:t>5.2</w:t>
      </w:r>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黑体" w:hAnsi="黑体" w:eastAsia="黑体" w:cs="黑体"/>
          <w:sz w:val="30"/>
          <w:szCs w:val="30"/>
          <w:lang w:val="en-US" w:eastAsia="zh-CN"/>
        </w:rPr>
        <w:t>统筹布局全县传感物联体系</w:t>
      </w:r>
      <w:bookmarkEnd w:id="168"/>
      <w:bookmarkEnd w:id="169"/>
      <w:bookmarkEnd w:id="170"/>
      <w:bookmarkEnd w:id="171"/>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加强生活感知网络建设。</w:t>
      </w:r>
      <w:r>
        <w:rPr>
          <w:rFonts w:hint="eastAsia" w:ascii="宋体" w:hAnsi="宋体" w:eastAsia="宋体" w:cs="宋体"/>
          <w:sz w:val="28"/>
          <w:szCs w:val="28"/>
          <w:lang w:val="en-US" w:eastAsia="zh-CN"/>
        </w:rPr>
        <w:t xml:space="preserve">推进集照明控制、WIFI无线基站、视频监控、应急救助等功能于一体的智慧多功能杆建设，提升智能感知水平。加强无线技术与自组感知网络结合，广泛部署视频采集终端、电子标识、RFID射频传感器、复合传感器及各行业无线传感器等多类型的信息传感设备，建成感知城市脉搏的泛在网络，为城市运转和居民生活提供广泛的感知数据。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加强生态环境感知网络建设。</w:t>
      </w:r>
      <w:r>
        <w:rPr>
          <w:rFonts w:hint="eastAsia" w:ascii="宋体" w:hAnsi="宋体" w:eastAsia="宋体" w:cs="宋体"/>
          <w:sz w:val="28"/>
          <w:szCs w:val="28"/>
          <w:lang w:val="en-US" w:eastAsia="zh-CN"/>
        </w:rPr>
        <w:t xml:space="preserve">按照统一标准规范，在城市敏感点、重点流域、饮用水水源地、工业园区等区域布设空气、水、土壤、声音、生物环境等物联网实时监测设备，建立完善的环境质量监测网络。深入推进卫星遥感监测技术在生态环境保护领域的应用，开展秸秆焚烧、灰霾、大气颗粒物、二氧化氮、饮用水源地、城市黑臭水体、重点生态功能区、生态敏感与脆弱区等的遥感动态监测，实现水环境、大气环境、生态环境和环境监管等遥感监测运行。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60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宋体" w:hAnsi="宋体" w:eastAsia="宋体" w:cs="宋体"/>
          <w:b/>
          <w:bCs/>
          <w:sz w:val="30"/>
          <w:szCs w:val="28"/>
          <w:lang w:val="en-US" w:eastAsia="zh-CN"/>
        </w:rPr>
        <w:t>加强现代农业感知网络建设。</w:t>
      </w:r>
      <w:r>
        <w:rPr>
          <w:rFonts w:hint="eastAsia" w:ascii="宋体" w:hAnsi="宋体" w:eastAsia="宋体" w:cs="宋体"/>
          <w:sz w:val="30"/>
          <w:szCs w:val="28"/>
          <w:lang w:val="en-US" w:eastAsia="zh-CN"/>
        </w:rPr>
        <w:t>以农业物联网建设为抓手，以现代农业园区、龙头企业、家庭农场、水产养殖场等重点，打造精准化、全程化的农业生产监控和感知网络，通过各种自动化、智能化系统，实现产前监测预警、产中智能监管和产后物流追溯。</w:t>
      </w:r>
      <w:bookmarkEnd w:id="172"/>
      <w:bookmarkEnd w:id="173"/>
      <w:bookmarkEnd w:id="174"/>
      <w:bookmarkEnd w:id="175"/>
      <w:bookmarkEnd w:id="176"/>
      <w:bookmarkEnd w:id="177"/>
      <w:bookmarkEnd w:id="178"/>
    </w:p>
    <w:p>
      <w:pPr>
        <w:pStyle w:val="5"/>
        <w:bidi w:val="0"/>
        <w:outlineLvl w:val="1"/>
        <w:rPr>
          <w:rFonts w:hint="eastAsia" w:asciiTheme="minorEastAsia" w:hAnsiTheme="minorEastAsia" w:eastAsiaTheme="minorEastAsia" w:cstheme="minorEastAsia"/>
          <w:bCs/>
          <w:szCs w:val="28"/>
          <w:lang w:val="en-US" w:eastAsia="zh-CN"/>
        </w:rPr>
      </w:pPr>
      <w:bookmarkStart w:id="179" w:name="_Toc16136"/>
      <w:bookmarkStart w:id="180" w:name="_Toc9552"/>
      <w:bookmarkStart w:id="181" w:name="_Toc21113"/>
      <w:bookmarkStart w:id="182" w:name="_Toc10424"/>
      <w:bookmarkStart w:id="183" w:name="_Toc30677"/>
      <w:bookmarkStart w:id="184" w:name="_Toc4497"/>
      <w:bookmarkStart w:id="185" w:name="_Toc9258"/>
      <w:bookmarkStart w:id="186" w:name="_Toc23345"/>
      <w:r>
        <w:rPr>
          <w:rFonts w:hint="eastAsia" w:ascii="黑体" w:hAnsi="黑体" w:eastAsia="黑体" w:cs="黑体"/>
          <w:sz w:val="30"/>
          <w:szCs w:val="30"/>
          <w:lang w:val="en-US" w:eastAsia="zh-CN"/>
        </w:rPr>
        <w:t>5.3着力提升数字技术支撑能力</w:t>
      </w:r>
      <w:bookmarkEnd w:id="179"/>
      <w:bookmarkEnd w:id="180"/>
      <w:bookmarkEnd w:id="181"/>
      <w:bookmarkEnd w:id="182"/>
      <w:bookmarkEnd w:id="183"/>
      <w:bookmarkEnd w:id="184"/>
      <w:bookmarkEnd w:id="185"/>
      <w:bookmarkEnd w:id="186"/>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推广关键数字技术应用。</w:t>
      </w:r>
      <w:r>
        <w:rPr>
          <w:rFonts w:hint="eastAsia" w:asciiTheme="minorEastAsia" w:hAnsiTheme="minorEastAsia" w:eastAsiaTheme="minorEastAsia" w:cstheme="minorEastAsia"/>
          <w:kern w:val="0"/>
          <w:sz w:val="28"/>
          <w:szCs w:val="28"/>
          <w:lang w:val="en-US" w:eastAsia="zh-CN" w:bidi="ar-SA"/>
        </w:rPr>
        <w:t>聚焦智能硬件、新型显示、大数据和云计算、人工智能、北斗导航和未来网络等重点领域，着力布局自主可控的数字技术，增强数字经济发展的核心驱动力。面向农业、制造业与服务业等传统产业，推动各类新兴数字技术的创新应用，提升产业数字化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完善技术创新服务体系。</w:t>
      </w:r>
      <w:r>
        <w:rPr>
          <w:rFonts w:hint="eastAsia" w:asciiTheme="minorEastAsia" w:hAnsiTheme="minorEastAsia" w:eastAsiaTheme="minorEastAsia" w:cstheme="minorEastAsia"/>
          <w:kern w:val="0"/>
          <w:sz w:val="28"/>
          <w:szCs w:val="28"/>
          <w:lang w:val="en-US" w:eastAsia="zh-CN" w:bidi="ar-SA"/>
        </w:rPr>
        <w:t>明确科技创新领域政府和市场的定位，从政府主导创新向服务创新转变，搭建共享云平台和行业大数据平台，构建全县信息化服务支撑体系。构筑大数据、区块链、物联网等信息技术产业的技术创新、标准规范、认证检测、市场推广等技术服务平台，以政企联合等方式建设科研基地，强化产业基础支撑能力，不断完善信息技术创新体系。加强知识产权服务平台建设，建立健全技术创新和应用创新的知识产权服务体系，完善关键技术和产品及关键应用领域的专利数据库，形成重点领域知识产权数据动态监测与分析的公共服务机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0" w:firstLineChars="0"/>
        <w:jc w:val="both"/>
        <w:textAlignment w:val="auto"/>
        <w:outlineLvl w:val="1"/>
        <w:rPr>
          <w:rFonts w:hint="eastAsia"/>
          <w:b/>
          <w:bCs w:val="0"/>
          <w:sz w:val="30"/>
          <w:szCs w:val="30"/>
          <w:lang w:val="en-US" w:eastAsia="zh-CN"/>
        </w:rPr>
      </w:pPr>
      <w:bookmarkStart w:id="187" w:name="_Toc32048"/>
      <w:bookmarkStart w:id="188" w:name="_Toc29835"/>
      <w:bookmarkStart w:id="189" w:name="_Toc1168"/>
      <w:r>
        <w:rPr>
          <w:rFonts w:hint="eastAsia" w:ascii="黑体" w:hAnsi="黑体" w:eastAsia="黑体" w:cs="黑体"/>
          <w:b/>
          <w:bCs w:val="0"/>
          <w:kern w:val="0"/>
          <w:sz w:val="30"/>
          <w:szCs w:val="30"/>
          <w:lang w:val="en-US" w:eastAsia="zh-CN"/>
        </w:rPr>
        <w:t>5.4统筹规划全县数据中心建设</w:t>
      </w:r>
      <w:bookmarkEnd w:id="187"/>
      <w:bookmarkEnd w:id="188"/>
      <w:bookmarkEnd w:id="189"/>
      <w:r>
        <w:rPr>
          <w:rFonts w:hint="eastAsia"/>
          <w:b/>
          <w:bCs w:val="0"/>
          <w:sz w:val="30"/>
          <w:szCs w:val="30"/>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宋体" w:hAnsi="宋体" w:eastAsia="宋体" w:cs="宋体"/>
          <w:b w:val="0"/>
          <w:bCs w:val="0"/>
          <w:kern w:val="0"/>
          <w:sz w:val="28"/>
          <w:szCs w:val="28"/>
          <w:lang w:val="en-US" w:eastAsia="zh-CN"/>
        </w:rPr>
        <w:t>统筹规划全县IDC（互联网中心）布局。统筹县域已建数据中心资源，基于全县机架数量需求建设全县IDC，统筹空间、规模、用能，优化数据中心建设布局和利用，避免资金、资源、空间浪费及布局失衡风险，为数据资源汇聚奠定基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outlineLvl w:val="0"/>
        <w:rPr>
          <w:rFonts w:hint="eastAsia"/>
          <w:lang w:val="en-US" w:eastAsia="zh-CN"/>
        </w:rPr>
      </w:pPr>
      <w:bookmarkStart w:id="190" w:name="_Toc5970"/>
      <w:bookmarkStart w:id="191" w:name="_Toc30167"/>
      <w:bookmarkStart w:id="192" w:name="_Toc32127"/>
      <w:bookmarkStart w:id="193" w:name="_Toc16834"/>
      <w:bookmarkStart w:id="194" w:name="_Toc9481"/>
      <w:bookmarkStart w:id="195" w:name="_Toc2697"/>
      <w:bookmarkStart w:id="196" w:name="_Toc16087"/>
      <w:bookmarkStart w:id="197" w:name="_Toc2680"/>
      <w:r>
        <w:rPr>
          <w:rFonts w:hint="eastAsia"/>
          <w:lang w:val="en-US" w:eastAsia="zh-CN"/>
        </w:rPr>
        <w:t>第六章 构建多样多用途的数字产业化经济形式</w:t>
      </w:r>
      <w:bookmarkEnd w:id="190"/>
      <w:bookmarkEnd w:id="191"/>
      <w:bookmarkEnd w:id="192"/>
      <w:bookmarkEnd w:id="193"/>
      <w:bookmarkEnd w:id="194"/>
      <w:bookmarkEnd w:id="195"/>
      <w:bookmarkEnd w:id="196"/>
      <w:bookmarkEnd w:id="197"/>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积极推动各类生产要素的数字化水平，布局应用移动互联网、大数据、云计算、物联网等一系列数字产业及产品应用，为数字经济建设提供物质、设备与软件保障。</w:t>
      </w:r>
    </w:p>
    <w:p>
      <w:pPr>
        <w:pStyle w:val="5"/>
        <w:bidi w:val="0"/>
        <w:outlineLvl w:val="1"/>
        <w:rPr>
          <w:rFonts w:hint="eastAsia" w:ascii="黑体" w:hAnsi="黑体" w:eastAsia="黑体" w:cs="黑体"/>
          <w:sz w:val="30"/>
          <w:szCs w:val="30"/>
          <w:lang w:val="en-US" w:eastAsia="zh-CN"/>
        </w:rPr>
      </w:pPr>
      <w:bookmarkStart w:id="198" w:name="_Toc23926"/>
      <w:bookmarkStart w:id="199" w:name="_Toc23226"/>
      <w:bookmarkStart w:id="200" w:name="_Toc22882"/>
      <w:bookmarkStart w:id="201" w:name="_Toc18995"/>
      <w:bookmarkStart w:id="202" w:name="_Toc27128"/>
      <w:bookmarkStart w:id="203" w:name="_Toc27970"/>
      <w:bookmarkStart w:id="204" w:name="_Toc24041"/>
      <w:bookmarkStart w:id="205" w:name="_Toc4669"/>
      <w:r>
        <w:rPr>
          <w:rFonts w:hint="eastAsia" w:ascii="黑体" w:hAnsi="黑体" w:eastAsia="黑体" w:cs="黑体"/>
          <w:sz w:val="30"/>
          <w:szCs w:val="30"/>
          <w:lang w:val="en-US" w:eastAsia="zh-CN"/>
        </w:rPr>
        <w:t>6.1加快推进生产要素数字化</w:t>
      </w:r>
      <w:bookmarkEnd w:id="198"/>
      <w:bookmarkEnd w:id="199"/>
      <w:bookmarkEnd w:id="200"/>
      <w:bookmarkEnd w:id="201"/>
      <w:bookmarkEnd w:id="202"/>
      <w:bookmarkEnd w:id="203"/>
      <w:bookmarkEnd w:id="204"/>
      <w:bookmarkEnd w:id="205"/>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结合紫阳数据资源现状和开发利用需求，从基础、平台、数据、应用等层面确定数据资源体系建设思路，梳理数据资源目录体系，构建数据标准体系、数据规范体系、数据管理体系、数字经济运行数据监测与任务考核体系，开发各类数据管理与应用的工具与平台，为数据的汇聚、流转、共享与利用奠定基础。推进土地、劳动力、市场、资本、技术、企业等传统生产要素及人口、法人、房产、社会治理、电子证照等一系列社会经济要素的数字化进程，通过数字提取出具有价值的关键信息，推动要素的数字化及价值化进程。以政府为主导，明确数据的确权定价体系，引导各类数据资产化。推进市场交易机制，通过建立完善的体制机制推动数字化进程。</w:t>
      </w:r>
    </w:p>
    <w:tbl>
      <w:tblPr>
        <w:tblStyle w:val="1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4" w:hRule="atLeast"/>
          <w:jc w:val="center"/>
        </w:trPr>
        <w:tc>
          <w:tcPr>
            <w:tcW w:w="948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专栏1 数据资源体系建设工程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确定数据资源体系建设方案：</w:t>
            </w:r>
            <w:r>
              <w:rPr>
                <w:rFonts w:hint="eastAsia" w:asciiTheme="minorEastAsia" w:hAnsiTheme="minorEastAsia" w:eastAsiaTheme="minorEastAsia" w:cstheme="minorEastAsia"/>
                <w:b w:val="0"/>
                <w:bCs w:val="0"/>
                <w:sz w:val="28"/>
                <w:szCs w:val="28"/>
                <w:lang w:val="en-US" w:eastAsia="zh-CN"/>
              </w:rPr>
              <w:t>考虑基础、平台、数据、应用等四个层面的需求。基础层包含山地、水系、林地、田地、劳动力、市场、资本、技术、企业人口、法人、房产、社会治理、电子证照等基础信息库；平台层包括数据共享交换平台、数据运维管理平台、数据开放平台等；数据层包括数据交换共享体系、数据开放管理体系、数据开放共享考核体系等；应用层包括各类数据二次开发和民生应用的App，构筑数据创新应用体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梳理数据资源目录体系：</w:t>
            </w:r>
            <w:r>
              <w:rPr>
                <w:rFonts w:hint="eastAsia" w:asciiTheme="minorEastAsia" w:hAnsiTheme="minorEastAsia" w:eastAsiaTheme="minorEastAsia" w:cstheme="minorEastAsia"/>
                <w:b w:val="0"/>
                <w:bCs w:val="0"/>
                <w:sz w:val="28"/>
                <w:szCs w:val="28"/>
                <w:lang w:val="en-US" w:eastAsia="zh-CN"/>
              </w:rPr>
              <w:t>包括共享目录、信息类结构、数据元目录、字典库、代码集等。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建设数据标准体系：</w:t>
            </w:r>
            <w:r>
              <w:rPr>
                <w:rFonts w:hint="eastAsia" w:asciiTheme="minorEastAsia" w:hAnsiTheme="minorEastAsia" w:eastAsiaTheme="minorEastAsia" w:cstheme="minorEastAsia"/>
                <w:b w:val="0"/>
                <w:bCs w:val="0"/>
                <w:sz w:val="28"/>
                <w:szCs w:val="28"/>
                <w:lang w:val="en-US" w:eastAsia="zh-CN"/>
              </w:rPr>
              <w:t>包括数据资源分类标准、元数据标准、信息编码标准、交换数据标准、共享数据标准、平台接口标准等。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建设数据规范体系：</w:t>
            </w:r>
            <w:r>
              <w:rPr>
                <w:rFonts w:hint="eastAsia" w:asciiTheme="minorEastAsia" w:hAnsiTheme="minorEastAsia" w:eastAsiaTheme="minorEastAsia" w:cstheme="minorEastAsia"/>
                <w:b w:val="0"/>
                <w:bCs w:val="0"/>
                <w:sz w:val="28"/>
                <w:szCs w:val="28"/>
                <w:lang w:val="en-US" w:eastAsia="zh-CN"/>
              </w:rPr>
              <w:t>包括数据质量规范、数据权限规范、数据开放规范、项目管理规范等。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r>
              <w:rPr>
                <w:rFonts w:hint="eastAsia" w:asciiTheme="minorEastAsia" w:hAnsiTheme="minorEastAsia" w:eastAsiaTheme="minorEastAsia" w:cstheme="minorEastAsia"/>
                <w:b/>
                <w:bCs/>
                <w:sz w:val="28"/>
                <w:szCs w:val="28"/>
                <w:lang w:val="en-US" w:eastAsia="zh-CN"/>
              </w:rPr>
              <w:t>建设数据管理体系：</w:t>
            </w:r>
            <w:r>
              <w:rPr>
                <w:rFonts w:hint="eastAsia" w:asciiTheme="minorEastAsia" w:hAnsiTheme="minorEastAsia" w:eastAsiaTheme="minorEastAsia" w:cstheme="minorEastAsia"/>
                <w:b w:val="0"/>
                <w:bCs w:val="0"/>
                <w:sz w:val="28"/>
                <w:szCs w:val="28"/>
                <w:lang w:val="en-US" w:eastAsia="zh-CN"/>
              </w:rPr>
              <w:t>包括数据资源管理办法、数据资源交换共享管理办法、数据资源开放管理办法、云数据平台管理办法、绩效考核办法等。</w:t>
            </w:r>
          </w:p>
        </w:tc>
      </w:tr>
    </w:tbl>
    <w:p>
      <w:pPr>
        <w:pStyle w:val="5"/>
        <w:bidi w:val="0"/>
        <w:outlineLvl w:val="1"/>
        <w:rPr>
          <w:rFonts w:hint="eastAsia" w:asciiTheme="minorEastAsia" w:hAnsiTheme="minorEastAsia" w:eastAsiaTheme="minorEastAsia" w:cstheme="minorEastAsia"/>
          <w:bCs/>
          <w:szCs w:val="28"/>
          <w:lang w:val="en-US" w:eastAsia="zh-CN"/>
        </w:rPr>
      </w:pPr>
      <w:bookmarkStart w:id="206" w:name="_Toc5855"/>
      <w:bookmarkStart w:id="207" w:name="_Toc8635"/>
      <w:bookmarkStart w:id="208" w:name="_Toc28515"/>
      <w:bookmarkStart w:id="209" w:name="_Toc28270"/>
      <w:bookmarkStart w:id="210" w:name="_Toc26372"/>
      <w:bookmarkStart w:id="211" w:name="_Toc18143"/>
      <w:bookmarkStart w:id="212" w:name="_Toc4190"/>
      <w:bookmarkStart w:id="213" w:name="_Toc17492"/>
      <w:r>
        <w:rPr>
          <w:rFonts w:hint="eastAsia" w:ascii="黑体" w:hAnsi="黑体" w:eastAsia="黑体" w:cs="黑体"/>
          <w:sz w:val="30"/>
          <w:szCs w:val="30"/>
          <w:lang w:val="en-US" w:eastAsia="zh-CN"/>
        </w:rPr>
        <w:t>6.2做强数字经济核心引领产业</w:t>
      </w:r>
      <w:bookmarkEnd w:id="206"/>
      <w:bookmarkEnd w:id="207"/>
      <w:bookmarkEnd w:id="208"/>
      <w:bookmarkEnd w:id="209"/>
      <w:bookmarkEnd w:id="210"/>
      <w:bookmarkEnd w:id="211"/>
      <w:bookmarkEnd w:id="212"/>
      <w:bookmarkEnd w:id="213"/>
    </w:p>
    <w:p>
      <w:pPr>
        <w:pStyle w:val="98"/>
        <w:keepNext w:val="0"/>
        <w:keepLines w:val="0"/>
        <w:widowControl w:val="0"/>
        <w:shd w:val="clear" w:color="auto" w:fill="auto"/>
        <w:bidi w:val="0"/>
        <w:spacing w:before="0" w:after="0" w:line="586" w:lineRule="exact"/>
        <w:ind w:left="0" w:right="0" w:firstLine="620"/>
        <w:jc w:val="both"/>
      </w:pPr>
      <w:bookmarkStart w:id="214" w:name="_Toc2218"/>
      <w:r>
        <w:rPr>
          <w:color w:val="000000"/>
          <w:spacing w:val="0"/>
          <w:w w:val="100"/>
          <w:position w:val="0"/>
        </w:rPr>
        <w:t>充分挖掘数据资源要素潜力。推动政府部门高效采集、有效整合政府数据和社会数据或委托第三方开展数据采集，促进政府数据采集向专业化、社会化、市场化以及多方利用模式转变。鼓励企业、行业协会、科研机构、社会组织等对行业和市场数据资源进行系统全面的采集、汇聚、整合、存储，支持合作建设行业数据库，开发数据产品。鼓励工业、农业、服务业等传统行业企业开展生产经营活动数据采集，建立企业数据中心。引导物流、电商依托交易平台汇聚、分析行业大数据，发布行业指数产品。鼓励优化数据</w:t>
      </w:r>
      <w:r>
        <w:rPr>
          <w:rFonts w:hint="eastAsia"/>
          <w:color w:val="000000"/>
          <w:spacing w:val="0"/>
          <w:w w:val="100"/>
          <w:position w:val="0"/>
          <w:lang w:val="en-US" w:eastAsia="zh-CN"/>
        </w:rPr>
        <w:t>中心</w:t>
      </w:r>
      <w:r>
        <w:rPr>
          <w:color w:val="000000"/>
          <w:spacing w:val="0"/>
          <w:w w:val="100"/>
          <w:position w:val="0"/>
        </w:rPr>
        <w:t>资源的生命周期管理，开展数据标识、数据清洗、数据挖掘分析等业务。鼓励数据资源的合规交易、有效利用，推动数据资产确权、评估、定价、交易等。加强数据治理，完善数据标准和安全标准，构建统一的数据体系架构。</w:t>
      </w:r>
    </w:p>
    <w:bookmarkEnd w:id="214"/>
    <w:p>
      <w:pPr>
        <w:pStyle w:val="2"/>
        <w:rPr>
          <w:rFonts w:hint="eastAsia"/>
          <w:lang w:val="en-US" w:eastAsia="zh-CN"/>
        </w:rPr>
      </w:pPr>
    </w:p>
    <w:tbl>
      <w:tblPr>
        <w:tblStyle w:val="2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专栏2 </w:t>
            </w:r>
            <w:r>
              <w:rPr>
                <w:rFonts w:hint="eastAsia" w:asciiTheme="minorEastAsia" w:hAnsiTheme="minorEastAsia" w:eastAsiaTheme="minorEastAsia" w:cstheme="minorEastAsia"/>
                <w:b/>
                <w:bCs/>
                <w:kern w:val="0"/>
                <w:sz w:val="28"/>
                <w:szCs w:val="28"/>
                <w:lang w:val="en-US" w:eastAsia="zh-CN" w:bidi="ar-SA"/>
              </w:rPr>
              <w:t>云数据中心建设工程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kern w:val="0"/>
                <w:sz w:val="28"/>
                <w:szCs w:val="28"/>
                <w:lang w:val="en-US" w:eastAsia="zh-CN" w:bidi="ar-SA"/>
              </w:rPr>
              <w:t>云数据中心建设工程。</w:t>
            </w:r>
            <w:r>
              <w:rPr>
                <w:rFonts w:hint="eastAsia" w:asciiTheme="minorEastAsia" w:hAnsiTheme="minorEastAsia" w:eastAsiaTheme="minorEastAsia" w:cstheme="minorEastAsia"/>
                <w:b w:val="0"/>
                <w:bCs w:val="0"/>
                <w:kern w:val="0"/>
                <w:sz w:val="28"/>
                <w:szCs w:val="28"/>
                <w:lang w:val="en-US" w:eastAsia="zh-CN" w:bidi="ar-SA"/>
              </w:rPr>
              <w:t>以“政府主导、需求驱动”模式，稳步推进云数据中心建设。以中国电信紫阳分公司启动的“宽带中国</w:t>
            </w:r>
            <w:r>
              <w:rPr>
                <w:rFonts w:hint="eastAsia" w:asciiTheme="minorEastAsia" w:hAnsiTheme="minorEastAsia" w:eastAsiaTheme="minorEastAsia" w:cstheme="minorEastAsia"/>
                <w:kern w:val="0"/>
                <w:sz w:val="28"/>
                <w:szCs w:val="28"/>
                <w:lang w:val="en-US" w:eastAsia="zh-CN" w:bidi="ar-SA"/>
              </w:rPr>
              <w:t>·</w:t>
            </w:r>
            <w:r>
              <w:rPr>
                <w:rFonts w:hint="eastAsia" w:asciiTheme="minorEastAsia" w:hAnsiTheme="minorEastAsia" w:eastAsiaTheme="minorEastAsia" w:cstheme="minorEastAsia"/>
                <w:b w:val="0"/>
                <w:bCs w:val="0"/>
                <w:kern w:val="0"/>
                <w:sz w:val="28"/>
                <w:szCs w:val="28"/>
                <w:lang w:val="en-US" w:eastAsia="zh-CN" w:bidi="ar-SA"/>
              </w:rPr>
              <w:t>光网紫阳”工程建设为契机，建设支撑本地“互联网+”政务、物联网云平台、大数据产业发展的大型云数据中心。县政府可主导大型云数据中心的建设，从用地、用电、用人等政策上加以扶持，以互联网+政务云作为首批示范应用进驻，积极引导本地物联网企业、大数据企业提出应用需求，构建物联网云平台和大数据云平台，以应用需求推动云数据中心的快速发展。</w:t>
            </w:r>
          </w:p>
        </w:tc>
      </w:tr>
    </w:tbl>
    <w:p>
      <w:pPr>
        <w:pStyle w:val="5"/>
        <w:bidi w:val="0"/>
        <w:outlineLvl w:val="1"/>
        <w:rPr>
          <w:rFonts w:hint="eastAsia" w:asciiTheme="minorEastAsia" w:hAnsiTheme="minorEastAsia" w:eastAsiaTheme="minorEastAsia" w:cstheme="minorEastAsia"/>
          <w:bCs/>
          <w:szCs w:val="28"/>
          <w:lang w:val="en-US" w:eastAsia="zh-CN"/>
        </w:rPr>
      </w:pPr>
      <w:bookmarkStart w:id="215" w:name="_Toc31532"/>
      <w:bookmarkStart w:id="216" w:name="_Toc7332"/>
      <w:bookmarkStart w:id="217" w:name="_Toc1030"/>
      <w:bookmarkStart w:id="218" w:name="_Toc9385"/>
      <w:bookmarkStart w:id="219" w:name="_Toc6782"/>
      <w:bookmarkStart w:id="220" w:name="_Toc6009"/>
      <w:bookmarkStart w:id="221" w:name="_Toc31898"/>
      <w:bookmarkStart w:id="222" w:name="_Toc24234"/>
      <w:r>
        <w:rPr>
          <w:rFonts w:hint="eastAsia" w:ascii="黑体" w:hAnsi="黑体" w:eastAsia="黑体" w:cs="黑体"/>
          <w:sz w:val="30"/>
          <w:szCs w:val="30"/>
          <w:lang w:val="en-US" w:eastAsia="zh-CN"/>
        </w:rPr>
        <w:t>6.3</w:t>
      </w:r>
      <w:bookmarkEnd w:id="215"/>
      <w:bookmarkEnd w:id="216"/>
      <w:bookmarkEnd w:id="217"/>
      <w:bookmarkEnd w:id="218"/>
      <w:bookmarkEnd w:id="219"/>
      <w:bookmarkEnd w:id="220"/>
      <w:bookmarkEnd w:id="221"/>
      <w:r>
        <w:rPr>
          <w:rFonts w:hint="eastAsia" w:ascii="黑体" w:hAnsi="黑体" w:eastAsia="黑体" w:cs="黑体"/>
          <w:sz w:val="30"/>
          <w:szCs w:val="30"/>
          <w:lang w:val="en-US" w:eastAsia="zh-CN"/>
        </w:rPr>
        <w:t>前瞻布局新兴产业</w:t>
      </w:r>
      <w:bookmarkEnd w:id="222"/>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发挥好紫阳县产业园区的现有基础及优势，也可在紫阳县向阳镇周边建立紫阳县数字经济创意与设计产业园，以紫阳县产业体系规划为框架，吸引国内外相关产业布局，布置一批数字技术核心企业，形成县域数字经济产业核心集群，重点依托紫阳县现有山水环境及资源优势展开侧重与富硒产业、循环产业的应用及研究，补足紫阳县新一代信息技术企业短板。</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数字经济核心产业重点包括：移动互联网产业、大数据产业、云计算产业、物联网产业等虚拟现实产业、人工智能产业、区块链产业、时空信息产业等。立足新一代信息技术，保障紫阳县数字山水，全域旅游，紫阳地理标志商品的定位、溯源、保护的应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紫阳有好空气、好山、好水、好茶、好食品，交通便利，可利用良好的生态环境优势，筑巢引凤，吸引西安、北京、上海等高新技术企业来紫阳短期研发或修养，以此培育与带动数字产业本地化发展。</w:t>
      </w:r>
    </w:p>
    <w:tbl>
      <w:tblPr>
        <w:tblStyle w:val="2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9"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专栏3 </w:t>
            </w:r>
            <w:r>
              <w:rPr>
                <w:rFonts w:hint="eastAsia" w:asciiTheme="minorEastAsia" w:hAnsiTheme="minorEastAsia" w:eastAsiaTheme="minorEastAsia" w:cstheme="minorEastAsia"/>
                <w:b/>
                <w:bCs/>
                <w:kern w:val="0"/>
                <w:sz w:val="28"/>
                <w:szCs w:val="28"/>
                <w:lang w:val="en-US" w:eastAsia="zh-CN" w:bidi="ar-SA"/>
              </w:rPr>
              <w:t>数字经济核心产业建设工程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大数据产业。</w:t>
            </w:r>
            <w:r>
              <w:rPr>
                <w:rFonts w:hint="eastAsia" w:asciiTheme="minorEastAsia" w:hAnsiTheme="minorEastAsia" w:eastAsiaTheme="minorEastAsia" w:cstheme="minorEastAsia"/>
                <w:b w:val="0"/>
                <w:bCs w:val="0"/>
                <w:sz w:val="28"/>
                <w:szCs w:val="28"/>
                <w:lang w:val="en-US" w:eastAsia="zh-CN"/>
              </w:rPr>
              <w:t>加快大数据技术推广应用，配置大数据产品服务体系。加快以大数据为支撑的数字政府建设，推动大数据在市场监管、环境保护、交通运输、文化教育、公共卫生等领域的创新应用。开展医疗健康、社会保障、教育文化和交通旅游等领域大数据应用工程，支持发展民生领域大数据增值服务。强化产业大数据创新能力，推动工业、服务业和农业大数据应用试点，促进传统产业经营管理方式变革、服务模式和商业模式创新。支持本地企业面向定位/跟踪/导航、安全/监控、计量/检测、在线教育、远程医疗、移动支付等领域发展基于大数据的产品和服务。支持大数据企业与旅游、健康养生、养老、医疗、金融保险、游戏娱乐等行业企业加强合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区块链产业。</w:t>
            </w:r>
            <w:r>
              <w:rPr>
                <w:rFonts w:hint="eastAsia" w:asciiTheme="minorEastAsia" w:hAnsiTheme="minorEastAsia" w:eastAsiaTheme="minorEastAsia" w:cstheme="minorEastAsia"/>
                <w:b w:val="0"/>
                <w:bCs w:val="0"/>
                <w:sz w:val="28"/>
                <w:szCs w:val="28"/>
                <w:lang w:val="en-US" w:eastAsia="zh-CN"/>
              </w:rPr>
              <w:t>加快区块链产业化进程。推进区块链技术与物联网、人工智能、大数据技术融合，积极拓展区块链应用场景，重点在金融、电子商务、智慧医疗、农产品安全追溯、供应链管理、社会信用评价等领域的推广应用，促进区块链专业服务加快发展。引进国内知名骨干企业开展区块链平台建设，促进区块链行业应用落地。加快区块链应用标准体系建设。加快布局区块链产业。鼓励社会资本加大对区块链创业创新的支持，积极培育本地企业和自主技术团队。</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未来网络产业。</w:t>
            </w:r>
            <w:r>
              <w:rPr>
                <w:rFonts w:hint="eastAsia" w:asciiTheme="minorEastAsia" w:hAnsiTheme="minorEastAsia" w:eastAsiaTheme="minorEastAsia" w:cstheme="minorEastAsia"/>
                <w:b w:val="0"/>
                <w:bCs w:val="0"/>
                <w:sz w:val="28"/>
                <w:szCs w:val="28"/>
                <w:lang w:val="en-US" w:eastAsia="zh-CN"/>
              </w:rPr>
              <w:t>加快推进未来网络等新型网络设施建设，推动未来网络与现有网络兼容发展。面向车联网、物联网、工业互联网、远程医疗、智能家居、4K/8K、AR/VR、空间网络等新业务类型，积极探索未来网络相关应用需求，推动未来网络泛在化发展。打造山水和谐的办公环境，为智力劳动者提供幽静与灵动的工作空间，利用紫阳便利的交通与山水自然环境，清新空气与天然有机食材等有利条件，吸引一线城市的高科技企业来紫阳设置创作与休闲基地，对项目进行封闭式研发，以“店小二”的姿态支持信息高科技企业加快未来网络相关技术研发，包括自主设备、增强分析、AI驱动的开发、数字孪生、赋权的边缘、沉浸式体验等领域技术的突破。</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时空信息服务产业。</w:t>
            </w:r>
            <w:r>
              <w:rPr>
                <w:rFonts w:hint="eastAsia" w:asciiTheme="minorEastAsia" w:hAnsiTheme="minorEastAsia" w:eastAsiaTheme="minorEastAsia" w:cstheme="minorEastAsia"/>
                <w:b w:val="0"/>
                <w:bCs w:val="0"/>
                <w:sz w:val="28"/>
                <w:szCs w:val="28"/>
                <w:lang w:val="en-US" w:eastAsia="zh-CN"/>
              </w:rPr>
              <w:t>加快优化智慧紫阳时空信息云平台，发展时空信息服务特色应用示范，推动现代物流、智能交通、国土资源、生态文明等领域的时空信息服务应用。以时空信息大数据与时空信息云平台为基础，以市场需求为导向，鼓励、引进人工智能、云计算、大数据、信息安全等前沿技术领域企业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虚拟现实产业。</w:t>
            </w:r>
            <w:r>
              <w:rPr>
                <w:rFonts w:hint="eastAsia" w:asciiTheme="minorEastAsia" w:hAnsiTheme="minorEastAsia" w:eastAsiaTheme="minorEastAsia" w:cstheme="minorEastAsia"/>
                <w:b w:val="0"/>
                <w:bCs w:val="0"/>
                <w:sz w:val="28"/>
                <w:szCs w:val="28"/>
                <w:lang w:val="en-US" w:eastAsia="zh-CN"/>
              </w:rPr>
              <w:t>加快推动虚拟现实与增强现实产业发展。支持企业开展虚拟现实/增强现实(VR/AR)产品研发及产业化项目，深化VR/AR技术的行业应用和服务，促进VR/AR与工业设计、健康医疗、文教娱乐等领域的融合发展。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outlineLvl w:val="0"/>
        <w:rPr>
          <w:rFonts w:hint="eastAsia"/>
          <w:lang w:val="en-US" w:eastAsia="zh-CN"/>
        </w:rPr>
      </w:pPr>
      <w:bookmarkStart w:id="223" w:name="_Toc26992"/>
      <w:bookmarkStart w:id="224" w:name="_Toc27492"/>
      <w:bookmarkStart w:id="225" w:name="_Toc4367"/>
      <w:bookmarkStart w:id="226" w:name="_Toc14816"/>
      <w:bookmarkStart w:id="227" w:name="_Toc12832"/>
      <w:bookmarkStart w:id="228" w:name="_Toc30954"/>
      <w:bookmarkStart w:id="229" w:name="_Toc22525"/>
      <w:bookmarkStart w:id="230" w:name="_Toc31841"/>
      <w:r>
        <w:rPr>
          <w:rFonts w:hint="eastAsia"/>
          <w:lang w:val="en-US" w:eastAsia="zh-CN"/>
        </w:rPr>
        <w:t>第七章 深入推进智慧农业建设</w:t>
      </w:r>
      <w:bookmarkEnd w:id="223"/>
      <w:bookmarkEnd w:id="224"/>
      <w:bookmarkEnd w:id="225"/>
      <w:bookmarkEnd w:id="226"/>
      <w:bookmarkEnd w:id="227"/>
      <w:bookmarkEnd w:id="228"/>
      <w:bookmarkEnd w:id="229"/>
      <w:bookmarkEnd w:id="230"/>
    </w:p>
    <w:p>
      <w:pPr>
        <w:pStyle w:val="7"/>
        <w:keepNext w:val="0"/>
        <w:keepLines w:val="0"/>
        <w:pageBreakBefore w:val="0"/>
        <w:widowControl/>
        <w:numPr>
          <w:ilvl w:val="0"/>
          <w:numId w:val="0"/>
        </w:numPr>
        <w:kinsoku/>
        <w:wordWrap/>
        <w:overflowPunct/>
        <w:topLinePunct w:val="0"/>
        <w:autoSpaceDE/>
        <w:autoSpaceDN/>
        <w:bidi w:val="0"/>
        <w:adjustRightInd/>
        <w:snapToGrid/>
        <w:spacing w:before="80" w:after="0"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紫阳虽山大沟深，经济发展落后，但生态环境优美，没有过度开发，这是紫阳的后发优势，尤其要利用数字技术，在保护生态的前提下适度将生态资源转化为生产资源，由于地处中国富硒带，要将富硒产业变为优势产业做强做大，利用品牌优势提高产品价值，使人民群众致富增收，围绕全县富硒品牌优势，延伸富硒产业链条，提升数字化水平，加强传统农业、林业、养殖业、渔业与</w:t>
      </w:r>
      <w:r>
        <w:rPr>
          <w:rFonts w:hint="default" w:ascii="宋体" w:hAnsi="宋体" w:eastAsia="宋体" w:cs="宋体"/>
          <w:sz w:val="28"/>
          <w:szCs w:val="28"/>
        </w:rPr>
        <w:t>农、林、牧、渔服务业</w:t>
      </w:r>
      <w:r>
        <w:rPr>
          <w:rFonts w:hint="default" w:ascii="宋体" w:hAnsi="宋体" w:eastAsia="宋体" w:cs="宋体"/>
          <w:sz w:val="28"/>
          <w:szCs w:val="28"/>
          <w:lang w:val="en-US" w:eastAsia="zh-CN"/>
        </w:rPr>
        <w:t>数字化升级。</w:t>
      </w:r>
    </w:p>
    <w:p>
      <w:pPr>
        <w:pStyle w:val="7"/>
        <w:keepNext w:val="0"/>
        <w:keepLines w:val="0"/>
        <w:pageBreakBefore w:val="0"/>
        <w:widowControl/>
        <w:numPr>
          <w:ilvl w:val="0"/>
          <w:numId w:val="0"/>
        </w:numPr>
        <w:kinsoku/>
        <w:wordWrap/>
        <w:overflowPunct/>
        <w:topLinePunct w:val="0"/>
        <w:autoSpaceDE/>
        <w:autoSpaceDN/>
        <w:bidi w:val="0"/>
        <w:adjustRightInd/>
        <w:snapToGrid/>
        <w:spacing w:before="80" w:after="0" w:line="36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按国家</w:t>
      </w:r>
      <w:r>
        <w:rPr>
          <w:rFonts w:hint="default" w:ascii="宋体" w:hAnsi="宋体" w:eastAsia="宋体" w:cs="宋体"/>
          <w:sz w:val="28"/>
          <w:szCs w:val="28"/>
        </w:rPr>
        <w:t>国民经济行业分类与代码（GB/4754-2011）</w:t>
      </w:r>
      <w:r>
        <w:rPr>
          <w:rFonts w:hint="default" w:ascii="宋体" w:hAnsi="宋体" w:eastAsia="宋体" w:cs="宋体"/>
          <w:sz w:val="28"/>
          <w:szCs w:val="28"/>
          <w:lang w:eastAsia="zh-CN"/>
        </w:rPr>
        <w:t>，</w:t>
      </w:r>
      <w:r>
        <w:rPr>
          <w:rFonts w:hint="default" w:ascii="宋体" w:hAnsi="宋体" w:eastAsia="宋体" w:cs="宋体"/>
          <w:sz w:val="28"/>
          <w:szCs w:val="28"/>
          <w:lang w:val="en-US" w:eastAsia="zh-CN"/>
        </w:rPr>
        <w:t>农业产业体系分为5个大类（如01农业、02林业等）、23个中类（如011谷物种植、012豆类、油料与薯类种植等）与60个小类（如0112小麦种植、0141蔬菜种植等），由于涉及具体产业名目较多，统称为X。</w:t>
      </w:r>
    </w:p>
    <w:p>
      <w:pPr>
        <w:pStyle w:val="7"/>
        <w:keepNext w:val="0"/>
        <w:keepLines w:val="0"/>
        <w:pageBreakBefore w:val="0"/>
        <w:widowControl/>
        <w:numPr>
          <w:ilvl w:val="0"/>
          <w:numId w:val="0"/>
        </w:numPr>
        <w:kinsoku/>
        <w:wordWrap/>
        <w:overflowPunct/>
        <w:topLinePunct w:val="0"/>
        <w:autoSpaceDE/>
        <w:autoSpaceDN/>
        <w:bidi w:val="0"/>
        <w:adjustRightInd/>
        <w:snapToGrid/>
        <w:spacing w:before="80" w:line="36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紫阳可以发展的第一产业详细分类体系请参见附录《紫阳县国民经济产业分类及代码》</w:t>
      </w:r>
      <w:r>
        <w:rPr>
          <w:rFonts w:hint="default" w:ascii="宋体" w:hAnsi="宋体" w:eastAsia="宋体" w:cs="宋体"/>
          <w:kern w:val="2"/>
          <w:sz w:val="28"/>
          <w:szCs w:val="28"/>
          <w:lang w:val="en-US" w:eastAsia="zh-CN" w:bidi="ar-SA"/>
        </w:rPr>
        <w:t>。</w:t>
      </w:r>
    </w:p>
    <w:p>
      <w:pPr>
        <w:pStyle w:val="5"/>
        <w:bidi w:val="0"/>
        <w:outlineLvl w:val="1"/>
        <w:rPr>
          <w:rFonts w:hint="default" w:eastAsiaTheme="minorEastAsia"/>
          <w:sz w:val="28"/>
          <w:szCs w:val="28"/>
          <w:lang w:val="en-US" w:eastAsia="zh-CN"/>
        </w:rPr>
      </w:pPr>
      <w:bookmarkStart w:id="231" w:name="_Toc6497"/>
      <w:bookmarkStart w:id="232" w:name="_Toc31736"/>
      <w:bookmarkStart w:id="233" w:name="_Toc3922"/>
      <w:bookmarkStart w:id="234" w:name="_Toc23909"/>
      <w:bookmarkStart w:id="235" w:name="_Toc27431"/>
      <w:bookmarkStart w:id="236" w:name="_Toc27337"/>
      <w:bookmarkStart w:id="237" w:name="_Toc9337"/>
      <w:bookmarkStart w:id="238" w:name="_Toc18430"/>
      <w:r>
        <w:rPr>
          <w:rFonts w:hint="eastAsia" w:ascii="黑体" w:hAnsi="黑体" w:eastAsia="黑体" w:cs="黑体"/>
          <w:sz w:val="30"/>
          <w:szCs w:val="30"/>
          <w:lang w:val="en-US" w:eastAsia="zh-CN"/>
        </w:rPr>
        <w:t>7.1提升“富硒+X”产业数字化水平</w:t>
      </w:r>
      <w:bookmarkEnd w:id="231"/>
      <w:bookmarkEnd w:id="232"/>
      <w:bookmarkEnd w:id="233"/>
      <w:bookmarkEnd w:id="234"/>
      <w:bookmarkEnd w:id="235"/>
      <w:bookmarkEnd w:id="236"/>
      <w:bookmarkEnd w:id="237"/>
      <w:bookmarkEnd w:id="238"/>
      <w:r>
        <w:rPr>
          <w:rFonts w:hint="eastAsia" w:ascii="黑体" w:hAnsi="黑体" w:eastAsia="黑体" w:cs="黑体"/>
          <w:sz w:val="30"/>
          <w:szCs w:val="30"/>
          <w:lang w:val="en-US" w:eastAsia="zh-CN"/>
        </w:rPr>
        <w:t xml:space="preserve">  </w:t>
      </w:r>
      <w:r>
        <w:rPr>
          <w:rFonts w:hint="eastAsia" w:ascii="黑体" w:hAnsi="黑体" w:eastAsia="黑体" w:cs="黑体"/>
          <w:sz w:val="28"/>
          <w:szCs w:val="28"/>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结合紫阳县富硒核心区的自然特点，推进“富硒”产业的数字优化升级。重点发展紫阳富硒茶产业，坚定不移走生态优先、绿色发展之路，使紫阳县因茶致富、因茶兴业，脱贫奔小康。丰富富硒产品特色种类，延长产业链，推进各类富硒产品精深加工，综合提升紫阳”富硒+X”产业的数字化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引进富硒综合开发龙头企业，整合全县资源，进行富硒茶叶、富硒饮品、富硒大米、富硒禽畜、富硒渔、富硒矿泉水、富硒日用化妆品、富硒医药保健品的研发生产，打造全国一流富硒特色品牌。在紫阳境内按客户需求加工与包装，优先供应安康市、西安市、武汉市等大城市的单位用户（如学校、医院、工厂、大型餐饮企业、社区超市等），也可以针对特殊人群进行定制化加工与配送，对城市人群的饮食提供完整的解决方案，利用数字技术将生产者、产品与消费者信息整合在一个平台上进行线上交易、创新C2B、B2C零售新模式。加快物联网、大数据等新一代信息技术与富硒生物产业的融合，整合、延伸，再造富硒产业链、供应链、价值链。</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40" w:firstLineChars="200"/>
        <w:jc w:val="both"/>
        <w:textAlignment w:val="auto"/>
        <w:rPr>
          <w:rFonts w:hint="default" w:ascii="Arial" w:hAnsi="Arial" w:eastAsia="微软雅黑" w:cs="Arial"/>
          <w:color w:val="333333"/>
          <w:sz w:val="27"/>
          <w:szCs w:val="27"/>
          <w:shd w:val="clear" w:fill="FFFFFF"/>
        </w:rPr>
      </w:pPr>
      <w:r>
        <w:rPr>
          <w:rStyle w:val="22"/>
          <w:rFonts w:hint="default" w:ascii="Arial" w:hAnsi="Arial" w:eastAsia="微软雅黑" w:cs="Arial"/>
          <w:color w:val="333333"/>
          <w:sz w:val="27"/>
          <w:szCs w:val="27"/>
          <w:shd w:val="clear" w:fill="FFFFFF"/>
        </w:rPr>
        <w:t>推动富硒</w:t>
      </w:r>
      <w:r>
        <w:rPr>
          <w:rStyle w:val="22"/>
          <w:rFonts w:hint="eastAsia" w:ascii="Arial" w:hAnsi="Arial" w:cs="Arial"/>
          <w:color w:val="333333"/>
          <w:sz w:val="27"/>
          <w:szCs w:val="27"/>
          <w:shd w:val="clear" w:fill="FFFFFF"/>
          <w:lang w:eastAsia="zh-CN"/>
        </w:rPr>
        <w:t>茶产业</w:t>
      </w:r>
      <w:r>
        <w:rPr>
          <w:rStyle w:val="22"/>
          <w:rFonts w:hint="default" w:ascii="Arial" w:hAnsi="Arial" w:eastAsia="微软雅黑" w:cs="Arial"/>
          <w:color w:val="333333"/>
          <w:sz w:val="27"/>
          <w:szCs w:val="27"/>
          <w:shd w:val="clear" w:fill="FFFFFF"/>
        </w:rPr>
        <w:t>提质增效</w:t>
      </w:r>
      <w:r>
        <w:rPr>
          <w:rFonts w:hint="default" w:ascii="Arial" w:hAnsi="Arial" w:eastAsia="微软雅黑" w:cs="Arial"/>
          <w:color w:val="333333"/>
          <w:sz w:val="27"/>
          <w:szCs w:val="27"/>
          <w:shd w:val="clear" w:fill="FFFFFF"/>
        </w:rPr>
        <w:t>。</w:t>
      </w:r>
      <w:r>
        <w:rPr>
          <w:rFonts w:hint="default" w:asciiTheme="minorEastAsia" w:hAnsiTheme="minorEastAsia" w:eastAsiaTheme="minorEastAsia" w:cstheme="minorEastAsia"/>
          <w:kern w:val="0"/>
          <w:sz w:val="28"/>
          <w:szCs w:val="28"/>
          <w:lang w:val="en-US" w:eastAsia="zh-CN" w:bidi="ar-SA"/>
        </w:rPr>
        <w:t>坚持以茶产业为主的富硒产业一业突破、多业并举，持续推进“八大创新”工程，深化“三品一标”</w:t>
      </w:r>
      <w:r>
        <w:rPr>
          <w:rFonts w:hint="eastAsia" w:asciiTheme="minorEastAsia" w:hAnsiTheme="minorEastAsia" w:eastAsiaTheme="minorEastAsia" w:cstheme="minorEastAsia"/>
          <w:kern w:val="0"/>
          <w:sz w:val="28"/>
          <w:szCs w:val="28"/>
          <w:lang w:val="en-US" w:eastAsia="zh-CN" w:bidi="ar-SA"/>
        </w:rPr>
        <w:t>、</w:t>
      </w:r>
      <w:r>
        <w:rPr>
          <w:rFonts w:hint="default" w:asciiTheme="minorEastAsia" w:hAnsiTheme="minorEastAsia" w:eastAsiaTheme="minorEastAsia" w:cstheme="minorEastAsia"/>
          <w:kern w:val="0"/>
          <w:sz w:val="28"/>
          <w:szCs w:val="28"/>
          <w:lang w:val="en-US" w:eastAsia="zh-CN" w:bidi="ar-SA"/>
        </w:rPr>
        <w:t>“十百千万”、全域绿色生产、线上线下立体销售四大体系建设，建立县级统一溯源管理平台</w:t>
      </w:r>
      <w:r>
        <w:rPr>
          <w:rFonts w:hint="eastAsia" w:asciiTheme="minorEastAsia" w:hAnsiTheme="minorEastAsia" w:eastAsiaTheme="minorEastAsia" w:cstheme="minorEastAsia"/>
          <w:kern w:val="0"/>
          <w:sz w:val="28"/>
          <w:szCs w:val="28"/>
          <w:lang w:val="en-US" w:eastAsia="zh-CN" w:bidi="ar-SA"/>
        </w:rPr>
        <w:t>和</w:t>
      </w:r>
      <w:r>
        <w:rPr>
          <w:rFonts w:hint="default" w:asciiTheme="minorEastAsia" w:hAnsiTheme="minorEastAsia" w:eastAsiaTheme="minorEastAsia" w:cstheme="minorEastAsia"/>
          <w:kern w:val="0"/>
          <w:sz w:val="28"/>
          <w:szCs w:val="28"/>
          <w:lang w:val="en-US" w:eastAsia="zh-CN" w:bidi="ar-SA"/>
        </w:rPr>
        <w:t>紫阳富硒茶可视化溯源基地，紫阳富硒茶交易中心专业市场建成运营，利用互联网组织开展云上开园节、春茶采摘季活动，运用新媒体开展网络营销、带货直播，积极拓展市场营销，提升紫阳富硒茶品牌效应。加快建设硒产业科研孵化服务中心和富硒产业聚集发展示范区，创建省级现代农业产业园和全国农产品质量安全县。</w:t>
      </w:r>
    </w:p>
    <w:tbl>
      <w:tblPr>
        <w:tblStyle w:val="20"/>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9"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专栏4 紫阳富硒茶产业数字化建设工程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ascii="宋体" w:hAnsi="宋体" w:eastAsia="宋体" w:cs="宋体"/>
                <w:sz w:val="28"/>
                <w:szCs w:val="28"/>
              </w:rPr>
            </w:pPr>
            <w:r>
              <w:rPr>
                <w:rFonts w:ascii="宋体" w:hAnsi="宋体" w:eastAsia="宋体" w:cs="宋体"/>
                <w:b/>
                <w:bCs/>
                <w:sz w:val="28"/>
                <w:szCs w:val="28"/>
              </w:rPr>
              <w:t>建立茶产业数据库。</w:t>
            </w:r>
            <w:r>
              <w:rPr>
                <w:rFonts w:ascii="宋体" w:hAnsi="宋体" w:eastAsia="宋体" w:cs="宋体"/>
                <w:sz w:val="28"/>
                <w:szCs w:val="28"/>
              </w:rPr>
              <w:t>整合全</w:t>
            </w:r>
            <w:r>
              <w:rPr>
                <w:rFonts w:hint="eastAsia" w:ascii="宋体" w:hAnsi="宋体" w:eastAsia="宋体" w:cs="宋体"/>
                <w:sz w:val="28"/>
                <w:szCs w:val="28"/>
                <w:lang w:eastAsia="zh-CN"/>
              </w:rPr>
              <w:t>县富硒</w:t>
            </w:r>
            <w:r>
              <w:rPr>
                <w:rFonts w:ascii="宋体" w:hAnsi="宋体" w:eastAsia="宋体" w:cs="宋体"/>
                <w:sz w:val="28"/>
                <w:szCs w:val="28"/>
              </w:rPr>
              <w:t>茶内部数据以及行业数据，并形成全</w:t>
            </w:r>
            <w:r>
              <w:rPr>
                <w:rFonts w:hint="eastAsia" w:ascii="宋体" w:hAnsi="宋体" w:eastAsia="宋体" w:cs="宋体"/>
                <w:sz w:val="28"/>
                <w:szCs w:val="28"/>
                <w:lang w:eastAsia="zh-CN"/>
              </w:rPr>
              <w:t>县</w:t>
            </w:r>
            <w:r>
              <w:rPr>
                <w:rFonts w:ascii="宋体" w:hAnsi="宋体" w:eastAsia="宋体" w:cs="宋体"/>
                <w:sz w:val="28"/>
                <w:szCs w:val="28"/>
              </w:rPr>
              <w:t>茶产业链图谱，实现资源“一张图”展示，为大数据分析应用做基础，完整呈现我</w:t>
            </w:r>
            <w:r>
              <w:rPr>
                <w:rFonts w:hint="eastAsia" w:ascii="宋体" w:hAnsi="宋体" w:eastAsia="宋体" w:cs="宋体"/>
                <w:sz w:val="28"/>
                <w:szCs w:val="28"/>
                <w:lang w:eastAsia="zh-CN"/>
              </w:rPr>
              <w:t>县</w:t>
            </w:r>
            <w:r>
              <w:rPr>
                <w:rFonts w:ascii="宋体" w:hAnsi="宋体" w:eastAsia="宋体" w:cs="宋体"/>
                <w:sz w:val="28"/>
                <w:szCs w:val="28"/>
              </w:rPr>
              <w:t>茶产业生态上各环节的参与者，促进龙头企业、中小企业以及政府三方之间的资源与需求对接。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ascii="宋体" w:hAnsi="宋体" w:eastAsia="宋体" w:cs="宋体"/>
                <w:b/>
                <w:bCs/>
                <w:sz w:val="28"/>
                <w:szCs w:val="28"/>
              </w:rPr>
              <w:t>建立茶叶质量安全溯源管理系统。</w:t>
            </w:r>
            <w:r>
              <w:rPr>
                <w:rFonts w:ascii="宋体" w:hAnsi="宋体" w:eastAsia="宋体" w:cs="宋体"/>
                <w:sz w:val="28"/>
                <w:szCs w:val="28"/>
              </w:rPr>
              <w:t>充分利用移动互联网、二维码识别等技术，实现茶叶从种植、加工、流通、消费全过程的质量安全实时追踪、分析与监管，杜绝假冒伪劣产品发生，建立茶生产加工与消费者之间的质量安全信任关系。</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b/>
                <w:bCs/>
                <w:sz w:val="28"/>
                <w:szCs w:val="28"/>
              </w:rPr>
              <w:t>建立营销大数据分析平台。</w:t>
            </w:r>
            <w:r>
              <w:rPr>
                <w:rFonts w:ascii="宋体" w:hAnsi="宋体" w:eastAsia="宋体" w:cs="宋体"/>
                <w:sz w:val="28"/>
                <w:szCs w:val="28"/>
              </w:rPr>
              <w:t>通过消费数据分析及AR、VR线下体验店，以“</w:t>
            </w:r>
            <w:r>
              <w:rPr>
                <w:rFonts w:hint="eastAsia" w:ascii="宋体" w:hAnsi="宋体" w:eastAsia="宋体" w:cs="宋体"/>
                <w:sz w:val="28"/>
                <w:szCs w:val="28"/>
                <w:lang w:eastAsia="zh-CN"/>
              </w:rPr>
              <w:t>紫阳硒茶</w:t>
            </w:r>
            <w:r>
              <w:rPr>
                <w:rFonts w:ascii="宋体" w:hAnsi="宋体" w:eastAsia="宋体" w:cs="宋体"/>
                <w:sz w:val="28"/>
                <w:szCs w:val="28"/>
              </w:rPr>
              <w:t>”为概念主体进行精准营销，将其打造成为与“西湖龙井”等比肩的世界驰名品牌资源，以需求促生产，真正惠及我</w:t>
            </w:r>
            <w:r>
              <w:rPr>
                <w:rFonts w:hint="eastAsia" w:ascii="宋体" w:hAnsi="宋体" w:eastAsia="宋体" w:cs="宋体"/>
                <w:sz w:val="28"/>
                <w:szCs w:val="28"/>
                <w:lang w:eastAsia="zh-CN"/>
              </w:rPr>
              <w:t>县</w:t>
            </w:r>
            <w:r>
              <w:rPr>
                <w:rFonts w:ascii="宋体" w:hAnsi="宋体" w:eastAsia="宋体" w:cs="宋体"/>
                <w:sz w:val="28"/>
                <w:szCs w:val="28"/>
              </w:rPr>
              <w:t>各类大型、特别是中小型茶企业。</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b/>
                <w:bCs/>
                <w:sz w:val="28"/>
                <w:szCs w:val="28"/>
              </w:rPr>
              <w:t>建立种植与加工数据分析平台。</w:t>
            </w:r>
            <w:r>
              <w:rPr>
                <w:rFonts w:ascii="宋体" w:hAnsi="宋体" w:eastAsia="宋体" w:cs="宋体"/>
                <w:sz w:val="28"/>
                <w:szCs w:val="28"/>
              </w:rPr>
              <w:t>通过数字化种植、智能化加工、定制化生产，构建面向消费者的种植、加工、销售一体化体系，建立的唯一产业标准，以提升品牌认可度，提高产品溢价。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提升茶叶品牌价值。</w:t>
            </w:r>
            <w:r>
              <w:rPr>
                <w:rFonts w:hint="eastAsia" w:asciiTheme="minorEastAsia" w:hAnsiTheme="minorEastAsia" w:eastAsiaTheme="minorEastAsia" w:cstheme="minorEastAsia"/>
                <w:b w:val="0"/>
                <w:bCs w:val="0"/>
                <w:sz w:val="28"/>
                <w:szCs w:val="28"/>
                <w:lang w:val="en-US" w:eastAsia="zh-CN"/>
              </w:rPr>
              <w:t>依托紫阳县</w:t>
            </w:r>
            <w:r>
              <w:rPr>
                <w:rFonts w:hint="eastAsia" w:ascii="宋体" w:hAnsi="宋体" w:eastAsia="宋体" w:cs="宋体"/>
                <w:color w:val="333333"/>
                <w:sz w:val="28"/>
                <w:szCs w:val="28"/>
                <w:shd w:val="clear" w:fill="FFFFFF"/>
              </w:rPr>
              <w:t>中国特色农产品优势区，全国茶业百强县</w:t>
            </w:r>
            <w:r>
              <w:rPr>
                <w:rFonts w:hint="eastAsia" w:ascii="宋体" w:hAnsi="宋体" w:eastAsia="宋体" w:cs="宋体"/>
                <w:color w:val="333333"/>
                <w:sz w:val="28"/>
                <w:szCs w:val="28"/>
                <w:shd w:val="clear" w:fill="FFFFFF"/>
                <w:lang w:eastAsia="zh-CN"/>
              </w:rPr>
              <w:t>的优势，提升</w:t>
            </w:r>
            <w:r>
              <w:rPr>
                <w:rFonts w:hint="eastAsia" w:ascii="宋体" w:hAnsi="宋体" w:eastAsia="宋体" w:cs="宋体"/>
                <w:b w:val="0"/>
                <w:bCs w:val="0"/>
                <w:sz w:val="28"/>
                <w:szCs w:val="28"/>
                <w:lang w:val="en-US" w:eastAsia="zh-CN"/>
              </w:rPr>
              <w:t>茶叶品类从产业链的各个环节提升市场占有率和品牌价值。</w:t>
            </w:r>
            <w:r>
              <w:rPr>
                <w:rFonts w:hint="eastAsia" w:asciiTheme="minorEastAsia" w:hAnsiTheme="minorEastAsia" w:eastAsiaTheme="minorEastAsia" w:cstheme="minorEastAsia"/>
                <w:b w:val="0"/>
                <w:bCs w:val="0"/>
                <w:sz w:val="28"/>
                <w:szCs w:val="28"/>
                <w:lang w:val="en-US" w:eastAsia="zh-CN"/>
              </w:rPr>
              <w:t>通过采用互联网宣传、政府推广、企业联盟等形式宣传紫阳茶叶，对茶叶的生产、包装、销售、管理等一系列生产活动进行精细化管理，提升紫阳茶叶的附加值，构建紫阳富硒茶叶国家地理标志产品。</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构建数字化茶园管理体系。</w:t>
            </w:r>
            <w:r>
              <w:rPr>
                <w:rFonts w:hint="eastAsia" w:asciiTheme="minorEastAsia" w:hAnsiTheme="minorEastAsia" w:eastAsiaTheme="minorEastAsia" w:cstheme="minorEastAsia"/>
                <w:b w:val="0"/>
                <w:bCs w:val="0"/>
                <w:sz w:val="28"/>
                <w:szCs w:val="28"/>
                <w:lang w:val="en-US" w:eastAsia="zh-CN"/>
              </w:rPr>
              <w:t>建设一批数字化管理示范茶园，建立“水肥一体化+气象预报+病虫害监测+安全监控溯源”技术一体化云平台，集成应用计算机、农业物联网、自动控制、气象预报、病虫害绿色防控等技术形成以营养诊断为核心智能化茶园管理体系。在茶园通过设置环境传感器，进行微生态采集。环境传感器将收集到温度、湿度、光照强度、土壤PH值等信息传输到后台运营管理中心，进行汇总、分类、分析；或将采集到的信息收集汇总到专家组，由专家组分析信息并提供解决茶园管理的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推进茶叶分类定级。</w:t>
            </w:r>
            <w:r>
              <w:rPr>
                <w:rFonts w:hint="eastAsia" w:asciiTheme="minorEastAsia" w:hAnsiTheme="minorEastAsia" w:eastAsiaTheme="minorEastAsia" w:cstheme="minorEastAsia"/>
                <w:b w:val="0"/>
                <w:bCs w:val="0"/>
                <w:sz w:val="28"/>
                <w:szCs w:val="28"/>
                <w:lang w:val="en-US" w:eastAsia="zh-CN"/>
              </w:rPr>
              <w:t>根据茶园不同的温度、湿度、光照强度、土壤PH值、茶树情况、土壤信息等一系列自然生态条件，不同镇域的人文条件、文化传统以及茶叶采摘季节，对茶叶及茶产品进行分类定级。明确茶叶级别划分，发挥紫阳茶叶高端化与品牌化效应，注重保护紫阳县优质茶叶的保护，掌握茶叶价格主权。同时，针对不同等级及产量的茶叶采取差异化的销售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推进智能生产线</w:t>
            </w:r>
            <w:r>
              <w:rPr>
                <w:rFonts w:hint="eastAsia" w:asciiTheme="minorEastAsia" w:hAnsiTheme="minorEastAsia" w:eastAsiaTheme="minorEastAsia" w:cstheme="minorEastAsia"/>
                <w:b w:val="0"/>
                <w:bCs w:val="0"/>
                <w:sz w:val="28"/>
                <w:szCs w:val="28"/>
                <w:lang w:val="en-US" w:eastAsia="zh-CN"/>
              </w:rPr>
              <w:t>。推进紫阳县闽秦茶业有限公司、道通天下茶等茶叶龙头企业从茶叶智能萎凋、杀青、揉捻、传输、发酵控制到自动烘干的流程，以及模拟光照、滚筒匀推机、静电吸附、自动下料、自动包装机等控制系统，实现全程自动化、智能化。采取自动化、智能化的茶叶生产线，让制茶师傅根据茶青、温度、湿度标准化地做茶品质稳定的茶。使茶叶生产从靠人工检验向自动控制转变，使茶叶加工全程实现数字化、自动化和清洁化。通过智能生产线每个环节监控显示茶业的温度、湿度、重量等各种数据，通过数字化达到精准生产。</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推进茶叶柔性生产。</w:t>
            </w:r>
            <w:r>
              <w:rPr>
                <w:rFonts w:hint="eastAsia" w:asciiTheme="minorEastAsia" w:hAnsiTheme="minorEastAsia" w:eastAsiaTheme="minorEastAsia" w:cstheme="minorEastAsia"/>
                <w:b w:val="0"/>
                <w:bCs w:val="0"/>
                <w:sz w:val="28"/>
                <w:szCs w:val="28"/>
                <w:lang w:val="en-US" w:eastAsia="zh-CN"/>
              </w:rPr>
              <w:t>通过数字化设备与技术的应用将与消费者形成紧密的联系和互动，更为真实地捕捉到消费者的需求和实际想法，从而借助信息对构建和改造产业，建设“拉式供应链”，形成以消费者需求为核心的新式经营理念。依托茶多网、天猫、京东商城等平台，大力发展国内电商和跨境电商，通过电子商务平台的后台数据，观测消费者停留页面和停留时长，判断购买茶叶的动向及市场需求，转换运营策略，满足更多消费者需求。</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研发茶衍生产品。</w:t>
            </w:r>
            <w:r>
              <w:rPr>
                <w:rFonts w:hint="eastAsia" w:asciiTheme="minorEastAsia" w:hAnsiTheme="minorEastAsia" w:eastAsiaTheme="minorEastAsia" w:cstheme="minorEastAsia"/>
                <w:b w:val="0"/>
                <w:bCs w:val="0"/>
                <w:sz w:val="28"/>
                <w:szCs w:val="28"/>
                <w:lang w:val="en-US" w:eastAsia="zh-CN"/>
              </w:rPr>
              <w:t>加大紫阳茶衍生产品的生产研发。推进茶叶的普通加工和精深加工，对茶树的茶叶、茶叶末、老茶叶、茶梗、茶渣进行全方位的综合利用。如生产研发茶饮品、茶食品、茶保健品、茶多酚精制产品、茶叶枕头、茶粉、工艺艺术品、生物菌肥加工等多种利用模式。推进茶产业种类，提升紫阳茶产品品牌价值。</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增强茶叶生产监管能力。</w:t>
            </w:r>
            <w:r>
              <w:rPr>
                <w:rFonts w:hint="eastAsia" w:asciiTheme="minorEastAsia" w:hAnsiTheme="minorEastAsia" w:eastAsiaTheme="minorEastAsia" w:cstheme="minorEastAsia"/>
                <w:b w:val="0"/>
                <w:bCs w:val="0"/>
                <w:sz w:val="28"/>
                <w:szCs w:val="28"/>
                <w:lang w:val="en-US" w:eastAsia="zh-CN"/>
              </w:rPr>
              <w:t>推进紫阳县茶叶市场数字化升级，严格实行“一品一码”，追溯茶叶全部信息，构建以县为单位的从茶园到茶杯的茶叶质量全程保障体系。如全面实行交易市场实名制，茶农进入茶都市场，每人一张卡，凭卡交易，明确身份，跟踪茶叶流向，让茶叶市场监管更加有效透明。</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建设茶交易平台。</w:t>
            </w:r>
            <w:r>
              <w:rPr>
                <w:rFonts w:hint="eastAsia" w:asciiTheme="minorEastAsia" w:hAnsiTheme="minorEastAsia" w:eastAsiaTheme="minorEastAsia" w:cstheme="minorEastAsia"/>
                <w:b w:val="0"/>
                <w:bCs w:val="0"/>
                <w:sz w:val="28"/>
                <w:szCs w:val="28"/>
                <w:lang w:val="en-US" w:eastAsia="zh-CN"/>
              </w:rPr>
              <w:t>建立仓储、交易、信息发布一体化的茶品现货交易平台，采取F2C（厂商到消费者）的交易模式，采取推动线上线下相结合的交易方式，让厂商和消费者直接对接，真品直供，价值回归，推动紫阳茶交易聚集发展，形成区域品牌，提高茶交易效率。</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重大平台与重大工程。</w:t>
            </w:r>
            <w:r>
              <w:rPr>
                <w:rFonts w:hint="eastAsia" w:asciiTheme="minorEastAsia" w:hAnsiTheme="minorEastAsia" w:eastAsiaTheme="minorEastAsia" w:cstheme="minorEastAsia"/>
                <w:b w:val="0"/>
                <w:bCs w:val="0"/>
                <w:sz w:val="28"/>
                <w:szCs w:val="28"/>
                <w:lang w:val="en-US" w:eastAsia="zh-CN"/>
              </w:rPr>
              <w:t>由县政府主导，实施建设一批数字化茶园示范点、全县统一的茶交易平台及茶叶溯源系统。</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562" w:firstLineChars="200"/>
        <w:jc w:val="both"/>
        <w:textAlignment w:val="auto"/>
        <w:rPr>
          <w:rFonts w:hint="eastAsia" w:asciiTheme="minorEastAsia" w:hAnsiTheme="minorEastAsia" w:eastAsiaTheme="minorEastAsia" w:cstheme="minorEastAsia"/>
          <w:b/>
          <w:bCs/>
          <w:kern w:val="0"/>
          <w:sz w:val="28"/>
          <w:szCs w:val="2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提升富硒魔芋产业特色。</w:t>
      </w:r>
      <w:r>
        <w:rPr>
          <w:rFonts w:hint="eastAsia" w:asciiTheme="minorEastAsia" w:hAnsiTheme="minorEastAsia" w:eastAsiaTheme="minorEastAsia" w:cstheme="minorEastAsia"/>
          <w:kern w:val="0"/>
          <w:sz w:val="28"/>
          <w:szCs w:val="28"/>
          <w:lang w:val="en-US" w:eastAsia="zh-CN" w:bidi="ar-SA"/>
        </w:rPr>
        <w:t>全县魔芋总面积约0.51万公顷，</w:t>
      </w:r>
      <w:r>
        <w:rPr>
          <w:rFonts w:hint="eastAsia" w:asciiTheme="minorEastAsia" w:hAnsiTheme="minorEastAsia" w:eastAsiaTheme="minorEastAsia" w:cstheme="minorEastAsia"/>
          <w:kern w:val="0"/>
          <w:sz w:val="28"/>
          <w:szCs w:val="28"/>
          <w:highlight w:val="none"/>
          <w:lang w:val="en-US" w:eastAsia="zh-CN" w:bidi="ar-SA"/>
        </w:rPr>
        <w:t>魔芋种植规模较大，是仅次于富硒茶产业的优势种植产业</w:t>
      </w:r>
      <w:r>
        <w:rPr>
          <w:rFonts w:hint="eastAsia" w:asciiTheme="minorEastAsia" w:hAnsiTheme="minorEastAsia" w:eastAsiaTheme="minorEastAsia" w:cstheme="minorEastAsia"/>
          <w:kern w:val="0"/>
          <w:sz w:val="28"/>
          <w:szCs w:val="28"/>
          <w:lang w:val="en-US" w:eastAsia="zh-CN" w:bidi="ar-SA"/>
        </w:rPr>
        <w:t>。目前，紫阳县魔芋生产销售存在品牌知名度不高，产品价值及优势发挥不明显等问题。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十四五”期间，结合紫阳县富硒生态特点，推动富硒魔芋产业数字化、品牌化发展。重点建设一批数字化富硒魔芋种植培育基地、推进数字化魔芋产业链条，使富硒魔芋数字化升级；推进富硒魔芋产品开发、个性化、科技化生产研发、推进电子商务运营及交易平台建设，推动紫阳富硒魔芋价值提升。</w:t>
      </w:r>
    </w:p>
    <w:tbl>
      <w:tblPr>
        <w:tblStyle w:val="20"/>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7"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专栏5 紫阳富硒魔芋产业数字化建设工程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推进数字化魔芋产业链。</w:t>
            </w:r>
            <w:r>
              <w:rPr>
                <w:rFonts w:hint="eastAsia" w:asciiTheme="minorEastAsia" w:hAnsiTheme="minorEastAsia" w:eastAsiaTheme="minorEastAsia" w:cstheme="minorEastAsia"/>
                <w:b w:val="0"/>
                <w:bCs w:val="0"/>
                <w:sz w:val="28"/>
                <w:szCs w:val="28"/>
                <w:lang w:val="en-US" w:eastAsia="zh-CN"/>
              </w:rPr>
              <w:t>深入推进“外联市场促富硒食品开发，内联农户建魔芋种植基地”的“紫阳实践”富硒魔芋产业链发展模式。应用大数据、互联网平台、技术增强公司、合作社、基地、农户间的联系，推进魔芋产业种植、加工、销售一体化的发展模式，打通上下游间的壁垒，实现行业信息互通互联，增强各类要素的流通效率。</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推进个性化、科技化生产研发。</w:t>
            </w:r>
            <w:r>
              <w:rPr>
                <w:rFonts w:hint="eastAsia" w:asciiTheme="minorEastAsia" w:hAnsiTheme="minorEastAsia" w:eastAsiaTheme="minorEastAsia" w:cstheme="minorEastAsia"/>
                <w:b w:val="0"/>
                <w:bCs w:val="0"/>
                <w:sz w:val="28"/>
                <w:szCs w:val="28"/>
                <w:lang w:val="en-US" w:eastAsia="zh-CN"/>
              </w:rPr>
              <w:t>探索企业+科研机构的产品研发机制，建设魔芋产品研发基地，建立产业价值网，增强产品种类，提高深加工能力。与上下游知名企业合作，依托生态资源优势，推进魔芋产品的个性化定制。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25"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推进富硒魔芋产品开发。</w:t>
            </w:r>
            <w:r>
              <w:rPr>
                <w:rFonts w:hint="eastAsia" w:asciiTheme="minorEastAsia" w:hAnsiTheme="minorEastAsia" w:eastAsiaTheme="minorEastAsia" w:cstheme="minorEastAsia"/>
                <w:b w:val="0"/>
                <w:bCs w:val="0"/>
                <w:sz w:val="28"/>
                <w:szCs w:val="28"/>
                <w:lang w:val="en-US" w:eastAsia="zh-CN"/>
              </w:rPr>
              <w:t>充分利用当地紫阳县富硒食品有限公司和天然富硒魔芋资源，在已建成鲜魔芋烘干、魔芋粉加工、纯化魔芋粉（魔芋胶）、魔芋风味即食食品、魔芋面条、高分散魔芋膳食纤维粉、魔芋干燥剂等7条生产线的基础上，积极研发其他富硒魔芋食品、工业产品、保健品、化妆品等产品，推进魔芋的精深加工，提高产品的附加值和科技含量，提高产品的市场占有率和国际竞争力。魔芋食品：魔芋米、魔芋即食食品、魔芋豆腐、魔芋面条、魔芋奶茶、魔芋饮料、魔芋酒等；工业产品：魔芋精粉、魔芋胶、食品添加剂等；魔芋保健品：魔芋减肥产品、魔芋代餐粉；魔芋化妆品：魔芋洁面球、魔芋化妆棉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推进魔芋电子商务运营。</w:t>
            </w:r>
            <w:r>
              <w:rPr>
                <w:rFonts w:hint="eastAsia" w:asciiTheme="minorEastAsia" w:hAnsiTheme="minorEastAsia" w:eastAsiaTheme="minorEastAsia" w:cstheme="minorEastAsia"/>
                <w:b w:val="0"/>
                <w:bCs w:val="0"/>
                <w:sz w:val="28"/>
                <w:szCs w:val="28"/>
                <w:lang w:val="en-US" w:eastAsia="zh-CN"/>
              </w:rPr>
              <w:t>增强魔芋产品的流通环节，积极布局淘宝、京东、抖音等一系列互联网平台，扩紫阳大魔芋产业知名度及产品销量，让更多优质产品走向全国、走向世界。推进魔芋企业的电子商务运营，帮助魔芋企业做成网络生意，增强流通环节。</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建设魔芋交易平台。</w:t>
            </w:r>
            <w:r>
              <w:rPr>
                <w:rFonts w:hint="eastAsia" w:asciiTheme="minorEastAsia" w:hAnsiTheme="minorEastAsia" w:eastAsiaTheme="minorEastAsia" w:cstheme="minorEastAsia"/>
                <w:b w:val="0"/>
                <w:bCs w:val="0"/>
                <w:sz w:val="28"/>
                <w:szCs w:val="28"/>
                <w:lang w:val="en-US" w:eastAsia="zh-CN"/>
              </w:rPr>
              <w:t>打造魔芋产业电子商务交易平台，做好线上及线下经营。在发挥线上魔芋产业交易中心优势的同时，也要建立线下的魔芋交易市场，把紫阳县打造成为安康市的魔芋产业线上线下交易集散中心，同时吸引更多全国各地的魔芋企业、魔芋种植户涌入紫阳县，完善产业链条，建立有序的、规模化的魔芋产业集中发展区。</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重大平台与重大工程。</w:t>
            </w:r>
            <w:r>
              <w:rPr>
                <w:rFonts w:hint="eastAsia" w:asciiTheme="minorEastAsia" w:hAnsiTheme="minorEastAsia" w:eastAsiaTheme="minorEastAsia" w:cstheme="minorEastAsia"/>
                <w:b w:val="0"/>
                <w:bCs w:val="0"/>
                <w:sz w:val="28"/>
                <w:szCs w:val="28"/>
                <w:lang w:val="en-US" w:eastAsia="zh-CN"/>
              </w:rPr>
              <w:t>由县政府主导，实施建设数字化魔芋种植示范点、全县统一的魔芋交易平台。</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20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壮大富硒中草药产业规模。</w:t>
      </w:r>
      <w:r>
        <w:rPr>
          <w:rFonts w:hint="eastAsia" w:asciiTheme="minorEastAsia" w:hAnsiTheme="minorEastAsia" w:eastAsiaTheme="minorEastAsia" w:cstheme="minorEastAsia"/>
          <w:kern w:val="0"/>
          <w:sz w:val="28"/>
          <w:szCs w:val="28"/>
          <w:lang w:val="en-US" w:eastAsia="zh-CN" w:bidi="ar-SA"/>
        </w:rPr>
        <w:t>中草药产业是紫阳县富硒产业的代表产业之一，但存在中医药特色优势弱化的问题。目前全县种植天麻、猪苓、丹参、苦参、白及、大黄、菊花等一系列中药材，但中草药种植受到自然环境的影响，且生产方式以传统种植方式为主，中药标准化和智能化程度不高，面临技术升级的困境。同时由于中药材品种及生长周期不同，产业链各缓解发展不协调，中药材种植农户收入不稳定。中药材产业，产业链长、产品附加值高，产业涉及农业、工业等多个部门，“十四五”时期，紫阳县应推进数字技术与中草药产业的结合，提升紫阳县中草药的品牌优势与地区价值。</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处于不同维度、不同海拔、不同气候的中草药其生长环境不同，导致的价值就不同，需要一定的种植技术指导，可整合北斗提供的位置与时间信息、气象卫星提供的气象信息与中草药专家的智力资源，通过5G网络，可远程指导农民种植，对于固定工序可以通过物联网设施代替人工劳作进行自动化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default" w:asciiTheme="minorEastAsia" w:hAnsiTheme="minorEastAsia" w:eastAsiaTheme="minorEastAsia" w:cstheme="minorEastAsia"/>
          <w:kern w:val="0"/>
          <w:sz w:val="28"/>
          <w:szCs w:val="28"/>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专栏6 紫阳富硒中草药产业数字化建设工程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数字化种植与管理。</w:t>
            </w:r>
            <w:r>
              <w:rPr>
                <w:rFonts w:hint="eastAsia" w:asciiTheme="minorEastAsia" w:hAnsiTheme="minorEastAsia" w:eastAsiaTheme="minorEastAsia" w:cstheme="minorEastAsia"/>
                <w:b w:val="0"/>
                <w:bCs w:val="0"/>
                <w:sz w:val="28"/>
                <w:szCs w:val="28"/>
                <w:lang w:val="en-US" w:eastAsia="zh-CN"/>
              </w:rPr>
              <w:t>利用物联网技术，温度传感器、湿度传感器、ph值传感器、光传感器，检测环境中的温度、湿度、相对湿度、ph值、光照强度、土壤养分等，搜集中药材种植过程中的数据信息，为质量追溯提供依据。</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中药材精深加工。</w:t>
            </w:r>
            <w:r>
              <w:rPr>
                <w:rFonts w:hint="eastAsia" w:asciiTheme="minorEastAsia" w:hAnsiTheme="minorEastAsia" w:eastAsiaTheme="minorEastAsia" w:cstheme="minorEastAsia"/>
                <w:b w:val="0"/>
                <w:bCs w:val="0"/>
                <w:sz w:val="28"/>
                <w:szCs w:val="28"/>
                <w:lang w:val="en-US" w:eastAsia="zh-CN"/>
              </w:rPr>
              <w:t>依托安康普方药业有限公司中药材加工提取项目的优势，推动中药加工的数字化、网络化、智能化。通过“制造执行系统”，实现生产过程的自动化控制，提高重要产品质量。通过工业互联网、物联网和云计算等信息化技术，进行数据挖掘，为生产决策提供支撑。</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建立信息互联平台。</w:t>
            </w:r>
            <w:r>
              <w:rPr>
                <w:rFonts w:hint="eastAsia" w:asciiTheme="minorEastAsia" w:hAnsiTheme="minorEastAsia" w:eastAsiaTheme="minorEastAsia" w:cstheme="minorEastAsia"/>
                <w:b w:val="0"/>
                <w:bCs w:val="0"/>
                <w:sz w:val="28"/>
                <w:szCs w:val="28"/>
                <w:lang w:val="en-US" w:eastAsia="zh-CN"/>
              </w:rPr>
              <w:t>建立中草药种植、质量管理和信息互联平台，整合产业生产要素，提升产业产能，利用大数据、遥感技术、地理信息系统，北斗导航等技术，中医药资源普查、动态监测和预警，系统收集重要资源种类、分布、蕴藏量和变化趋势，栽培和野生情况、收购量、需求量和质量等相关信息。</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促进中药上下游产业链的融合。</w:t>
            </w:r>
            <w:r>
              <w:rPr>
                <w:rFonts w:hint="eastAsia" w:asciiTheme="minorEastAsia" w:hAnsiTheme="minorEastAsia" w:eastAsiaTheme="minorEastAsia" w:cstheme="minorEastAsia"/>
                <w:b w:val="0"/>
                <w:bCs w:val="0"/>
                <w:sz w:val="28"/>
                <w:szCs w:val="28"/>
                <w:lang w:val="en-US" w:eastAsia="zh-CN"/>
              </w:rPr>
              <w:t>发挥互联网的先进生产要素，将分散的中草药种植农户和中草药小型加工户连接起来，融合农户小规模种植和加工与县域大规模深加工，统一产销利益实时分享进行有效融合。使零散的中草药种植汇聚成大规模产业链。打通线上线下营销体系，促进中药产品销售，通过云计算、大数据等技术将患者和用户的需求传递到中药研发与生产缓解，形成中药产业的“闭环”，构建智能产业生态系统。</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互联网与中药研发融合。</w:t>
            </w:r>
            <w:r>
              <w:rPr>
                <w:rFonts w:hint="eastAsia" w:asciiTheme="minorEastAsia" w:hAnsiTheme="minorEastAsia" w:eastAsiaTheme="minorEastAsia" w:cstheme="minorEastAsia"/>
                <w:b w:val="0"/>
                <w:bCs w:val="0"/>
                <w:sz w:val="28"/>
                <w:szCs w:val="28"/>
                <w:lang w:val="en-US" w:eastAsia="zh-CN"/>
              </w:rPr>
              <w:t>借助信息技术辅助研发，提高中药新药的研发水平中药流通融合，应用现代科学手段，结合医学、化学、分子生物学等科学，定制一套从研发、生产、质量控制至安全评价、临床应用的标准体系，构建中药产品的质量控制和评价标准，产业标准，增强产业创新动能。</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建立中草药溯源链。</w:t>
            </w:r>
            <w:r>
              <w:rPr>
                <w:rFonts w:hint="eastAsia" w:asciiTheme="minorEastAsia" w:hAnsiTheme="minorEastAsia" w:eastAsiaTheme="minorEastAsia" w:cstheme="minorEastAsia"/>
                <w:b w:val="0"/>
                <w:bCs w:val="0"/>
                <w:sz w:val="28"/>
                <w:szCs w:val="28"/>
                <w:lang w:val="en-US" w:eastAsia="zh-CN"/>
              </w:rPr>
              <w:t>在中药全产业链领域，运用互联网信息技术，通过电子标签，收集中药材种植、加工、流通等缓解的关联数据，生产质量信息实时监控系统，基于过程分析技术的智能化控制系统，源头可追溯、过程可监控、流程可跟踪，解决信息不对称问题，实现顾客可感知、生产可视化、产品可评价、质量可追溯。</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重大平台与重大工程。</w:t>
            </w:r>
            <w:r>
              <w:rPr>
                <w:rFonts w:hint="eastAsia" w:asciiTheme="minorEastAsia" w:hAnsiTheme="minorEastAsia" w:eastAsiaTheme="minorEastAsia" w:cstheme="minorEastAsia"/>
                <w:b w:val="0"/>
                <w:bCs w:val="0"/>
                <w:sz w:val="28"/>
                <w:szCs w:val="28"/>
                <w:lang w:val="en-US" w:eastAsia="zh-CN"/>
              </w:rPr>
              <w:t>由县政府主导，实施建设数字化中草药种植示范点、中草药信息互联平台。</w:t>
            </w:r>
          </w:p>
        </w:tc>
      </w:tr>
    </w:tbl>
    <w:p>
      <w:pPr>
        <w:pStyle w:val="5"/>
        <w:bidi w:val="0"/>
        <w:spacing w:line="360" w:lineRule="auto"/>
        <w:outlineLvl w:val="1"/>
        <w:rPr>
          <w:rFonts w:hint="eastAsia" w:ascii="黑体" w:hAnsi="黑体" w:eastAsia="黑体" w:cs="黑体"/>
          <w:sz w:val="30"/>
          <w:szCs w:val="30"/>
          <w:lang w:val="en-US" w:eastAsia="zh-CN"/>
        </w:rPr>
      </w:pPr>
      <w:bookmarkStart w:id="239" w:name="_Toc31150"/>
      <w:bookmarkStart w:id="240" w:name="_Toc5201"/>
      <w:bookmarkStart w:id="241" w:name="_Toc20128"/>
      <w:bookmarkStart w:id="242" w:name="_Toc16514"/>
      <w:bookmarkStart w:id="243" w:name="_Toc18106"/>
      <w:bookmarkStart w:id="244" w:name="_Toc875"/>
      <w:bookmarkStart w:id="245" w:name="_Toc18040"/>
      <w:bookmarkStart w:id="246" w:name="_Toc8311"/>
      <w:r>
        <w:rPr>
          <w:rFonts w:hint="eastAsia" w:ascii="黑体" w:hAnsi="黑体" w:eastAsia="黑体" w:cs="黑体"/>
          <w:sz w:val="30"/>
          <w:szCs w:val="30"/>
          <w:lang w:val="en-US" w:eastAsia="zh-CN"/>
        </w:rPr>
        <w:t>7.2加快特色经济林基地数字化水平</w:t>
      </w:r>
      <w:bookmarkEnd w:id="239"/>
      <w:bookmarkEnd w:id="240"/>
      <w:bookmarkEnd w:id="241"/>
      <w:bookmarkEnd w:id="242"/>
      <w:bookmarkEnd w:id="243"/>
      <w:bookmarkEnd w:id="244"/>
      <w:bookmarkEnd w:id="245"/>
      <w:bookmarkEnd w:id="246"/>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为深入挖掘林业资源禀赋，大力发展山林经济，紫阳县积极引导和鼓励林农通过转包、出租、转让等形式流转林地，促进林地适度规模经营。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紫阳县应把推进林地适度规模经营与优化林业产业布局相结合，按照不同区域的资源优势，围绕富硒茶叶、林下经济、木本药材等优势产业，抢抓“一带一路”和“541国道”产业经济带发展机遇，因地制宜，着力打造富硒特色产业园区，不断壮大特色林产品生产基地，大力推进特色产业集群发展，加快建设现代林业产业体系，带动农民增收致富。紫阳也因此被授予全国首批富硒农业产业示范基地，魔芋产业发展的“紫阳实践”也在全国推广。同时为进一步开发利用好境内丰富山林资源，紫阳县出台《山林经济发展奖励扶持暂行办法》，鼓励各类人士和企业参与山林经济发展，做大做强山林经济。</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对于林下放养鸡和其他林下动物养殖，林下药材种植、林下食用菌种植、林下经济作物种植等重点发展的特色经济林基地，深化云计算、物联网、移动互联网、大数据等新一代信息技术应用，加快数字化林业产业发展。推进数字化林业资源监管，对全县林业资源进行精确定位、精细保护和动态监管。推进数字化林业灾害应急管理，提高森林火灾、病虫害等生态灾害的应急管理能力，降低突发灾害造成的损失。推动新一代信息技术与林业生态补偿、林业产业培育、林产品生产加工、流通销售环节等深度结合，促进林下经济增长，实现林业产业创新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山林经济发展也需要监管，利用物联网技术与互联网平台，将林地四界范围、主体责任人、产品种类、产品生产规模与产品生产过程、环保处理、预警处理、产品包装、产品物流、产品消费者等全过程产生的数据信息自动保存，这是环境友好型产业必须的管控路径。    </w:t>
      </w:r>
    </w:p>
    <w:p>
      <w:pPr>
        <w:pStyle w:val="5"/>
        <w:bidi w:val="0"/>
        <w:outlineLvl w:val="1"/>
        <w:rPr>
          <w:rFonts w:hint="eastAsia" w:ascii="黑体" w:hAnsi="黑体" w:eastAsia="黑体" w:cs="黑体"/>
          <w:sz w:val="30"/>
          <w:szCs w:val="30"/>
          <w:lang w:val="en-US" w:eastAsia="zh-CN"/>
        </w:rPr>
      </w:pPr>
      <w:bookmarkStart w:id="247" w:name="_Toc26314"/>
      <w:bookmarkStart w:id="248" w:name="_Toc9694"/>
      <w:bookmarkStart w:id="249" w:name="_Toc22987"/>
      <w:bookmarkStart w:id="250" w:name="_Toc13925"/>
      <w:bookmarkStart w:id="251" w:name="_Toc30935"/>
      <w:bookmarkStart w:id="252" w:name="_Toc18342"/>
      <w:bookmarkStart w:id="253" w:name="_Toc26091"/>
      <w:bookmarkStart w:id="254" w:name="_Toc11600"/>
      <w:r>
        <w:rPr>
          <w:rFonts w:hint="eastAsia" w:ascii="黑体" w:hAnsi="黑体" w:eastAsia="黑体" w:cs="黑体"/>
          <w:sz w:val="30"/>
          <w:szCs w:val="30"/>
          <w:lang w:val="en-US" w:eastAsia="zh-CN"/>
        </w:rPr>
        <w:t>7.3发展生态数字化养殖基地</w:t>
      </w:r>
      <w:bookmarkEnd w:id="247"/>
      <w:bookmarkEnd w:id="248"/>
      <w:bookmarkEnd w:id="249"/>
      <w:bookmarkEnd w:id="250"/>
      <w:bookmarkEnd w:id="251"/>
      <w:bookmarkEnd w:id="252"/>
      <w:bookmarkEnd w:id="253"/>
      <w:bookmarkEnd w:id="2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发展家庭牧场，打造紫阳生态富硒品牌。</w:t>
      </w:r>
      <w:r>
        <w:rPr>
          <w:rFonts w:hint="eastAsia" w:asciiTheme="minorEastAsia" w:hAnsiTheme="minorEastAsia" w:eastAsiaTheme="minorEastAsia" w:cstheme="minorEastAsia"/>
          <w:b w:val="0"/>
          <w:bCs w:val="0"/>
          <w:kern w:val="2"/>
          <w:sz w:val="28"/>
          <w:szCs w:val="28"/>
          <w:lang w:val="en-US" w:eastAsia="zh-CN" w:bidi="ar-SA"/>
        </w:rPr>
        <w:t>随着农村城镇化步伐加快，大批农户进城或迁居农村城镇居住，大量土地荒山闲置，要积极鼓励有志之士流转租赁土地，种植优质富硒饲草、饲料，发展适度规模（家畜百头只，家禽千头只）家庭牧场。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在发展模式上，推广“龙头企业+合作社+农场”，</w:t>
      </w:r>
      <w:r>
        <w:rPr>
          <w:rFonts w:hint="eastAsia" w:asciiTheme="minorEastAsia" w:hAnsiTheme="minorEastAsia" w:eastAsiaTheme="minorEastAsia" w:cstheme="minorEastAsia"/>
          <w:b w:val="0"/>
          <w:bCs w:val="0"/>
          <w:kern w:val="2"/>
          <w:sz w:val="28"/>
          <w:szCs w:val="28"/>
          <w:lang w:val="en-US" w:eastAsia="zh-CN" w:bidi="ar-SA"/>
        </w:rPr>
        <w:t>鼓励畜禽养殖龙头企业为畜禽养殖合作社和家庭牧场统一提供仔畜，统一组织防疫治病，统一生产管理，统一销售。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在饲养管理上，</w:t>
      </w:r>
      <w:r>
        <w:rPr>
          <w:rFonts w:hint="eastAsia" w:asciiTheme="minorEastAsia" w:hAnsiTheme="minorEastAsia" w:eastAsiaTheme="minorEastAsia" w:cstheme="minorEastAsia"/>
          <w:b w:val="0"/>
          <w:bCs w:val="0"/>
          <w:kern w:val="2"/>
          <w:sz w:val="28"/>
          <w:szCs w:val="28"/>
          <w:lang w:val="en-US" w:eastAsia="zh-CN" w:bidi="ar-SA"/>
        </w:rPr>
        <w:t>加强养殖环境监控、畜禽体征监测、精准饲喂、废弃物自动处理、智能养殖机器人、网络联合选育系统等信息技术和装备的应用。加强二维码、射频识别等技术应用，构建畜禽全生命周期质量安全管控系统。加强动物疫病监测预警，提升重大动物疫病防控能力，同时实行动物福利，采用当地防暑降温、健脾开胃等优质中草药，对家畜开展预防保健，提高动物免疫力，并淘汰病原阳性畜禽，避免使用抗生素等药物，进行生态养殖，从而生产出生态富硒畜产品，并统一注册生态富硒商标，让紫阳生态富硒畜产品走出紫阳、迈向世界，为紫阳经济突破增长发挥积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发挥资源优势、调整畜禽结构。</w:t>
      </w:r>
      <w:r>
        <w:rPr>
          <w:rFonts w:hint="eastAsia" w:asciiTheme="minorEastAsia" w:hAnsiTheme="minorEastAsia" w:eastAsiaTheme="minorEastAsia" w:cstheme="minorEastAsia"/>
          <w:b w:val="0"/>
          <w:bCs w:val="0"/>
          <w:kern w:val="2"/>
          <w:sz w:val="28"/>
          <w:szCs w:val="28"/>
          <w:lang w:val="en-US" w:eastAsia="zh-CN" w:bidi="ar-SA"/>
        </w:rPr>
        <w:t>生猪大场大户要利用现有的设施设备采用提高母猪繁殖能力，猪场疾病防控、程序免疫等系列实用技术引领，实行精准管理为突破口，巩固养殖规模，提高养殖效益。在稳定生猪生产的同时，充分发挥我县大量荒山、草坡的资源优势，突破发展牛、羊、鸡，以满足市场需求。随着人民食物多元化，目前牛、羊肉市场需求量较大，大量牛、羊、鸡及产品靠外运，应以市场为导向，利用当地自然资源优势，大力提高畜牧产业发展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利用现代信息技术，实现订单养殖。</w:t>
      </w:r>
      <w:r>
        <w:rPr>
          <w:rFonts w:hint="eastAsia" w:asciiTheme="minorEastAsia" w:hAnsiTheme="minorEastAsia" w:eastAsiaTheme="minorEastAsia" w:cstheme="minorEastAsia"/>
          <w:b w:val="0"/>
          <w:bCs w:val="0"/>
          <w:kern w:val="2"/>
          <w:sz w:val="28"/>
          <w:szCs w:val="28"/>
          <w:lang w:val="en-US" w:eastAsia="zh-CN" w:bidi="ar-SA"/>
        </w:rPr>
        <w:t xml:space="preserve"> 利用广播、电视、网络等多媒体，加大宣传力度，对养殖的畜禽配戴电子标识，饲养圈舍、活动场所实行电子眼跟踪，让消费者时刻能看到畜禽活动、饮食、精神等健康状况。让广大消费者及特殊（缺硒）群体，高端消费者知晓、认知生态富硒畜产品，力争实现订单养殖，并延长产业链条，打造养殖、屠宰、加工、销售为一体畜牧养殖新机制，为紫阳畜牧产业腾飞起到推动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00" w:beforeAutospacing="0" w:after="80" w:afterAutospacing="0" w:line="360" w:lineRule="auto"/>
        <w:ind w:left="0" w:right="0" w:firstLine="562"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强化组织领导，改善扶持政策。</w:t>
      </w:r>
      <w:r>
        <w:rPr>
          <w:rFonts w:hint="eastAsia" w:asciiTheme="minorEastAsia" w:hAnsiTheme="minorEastAsia" w:eastAsiaTheme="minorEastAsia" w:cstheme="minorEastAsia"/>
          <w:b w:val="0"/>
          <w:bCs w:val="0"/>
          <w:kern w:val="2"/>
          <w:sz w:val="28"/>
          <w:szCs w:val="28"/>
          <w:lang w:val="en-US" w:eastAsia="zh-CN" w:bidi="ar-SA"/>
        </w:rPr>
        <w:t xml:space="preserve"> 成立生态富硒养殖领导小组，以加强组织领导，负责协调解决发展的资金、技术、土地、宣传、品牌认证等具体问题，对生态富硒畜禽生产进行质量安全监管，保证产品质量，以质量求生存，以信誉求发展。促进我县畜牧产业大干、快上，并着力制定扶持政策，对出售商品畜禽进行以奖代补，以提高畜牧产业经济效益，激励畜牧产业发展积极性。</w:t>
      </w:r>
    </w:p>
    <w:p>
      <w:pPr>
        <w:pStyle w:val="2"/>
        <w:keepNext w:val="0"/>
        <w:keepLines w:val="0"/>
        <w:pageBreakBefore w:val="0"/>
        <w:widowControl/>
        <w:kinsoku/>
        <w:wordWrap/>
        <w:overflowPunct/>
        <w:topLinePunct w:val="0"/>
        <w:autoSpaceDE/>
        <w:autoSpaceDN/>
        <w:bidi w:val="0"/>
        <w:adjustRightInd w:val="0"/>
        <w:snapToGrid w:val="0"/>
        <w:spacing w:before="200" w:after="80" w:line="36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利用数字技术，动态监测环境</w:t>
      </w:r>
      <w:r>
        <w:rPr>
          <w:rFonts w:hint="eastAsia" w:asciiTheme="minorEastAsia" w:hAnsiTheme="minorEastAsia" w:eastAsiaTheme="minorEastAsia" w:cstheme="minorEastAsia"/>
          <w:sz w:val="28"/>
          <w:szCs w:val="28"/>
          <w:lang w:val="en-US" w:eastAsia="zh-CN"/>
        </w:rPr>
        <w:t>。 由于紫阳属于南水北调中线工程水源涵养地，必须保证“一江清水送北京”，所以利用物联网、5G、大数据、人工智能等技术对养殖场所进行全方位的监控，对污水排放成分实时采集与分析，随时对项目主体责任单位进行监管，对过度消耗周边资源进行警示，因地制宜随时保障生态友好型产业的健康发展。</w:t>
      </w:r>
    </w:p>
    <w:p>
      <w:pPr>
        <w:pStyle w:val="2"/>
        <w:keepNext w:val="0"/>
        <w:keepLines w:val="0"/>
        <w:pageBreakBefore w:val="0"/>
        <w:widowControl/>
        <w:kinsoku/>
        <w:wordWrap/>
        <w:overflowPunct/>
        <w:topLinePunct w:val="0"/>
        <w:autoSpaceDE/>
        <w:autoSpaceDN/>
        <w:bidi w:val="0"/>
        <w:adjustRightInd w:val="0"/>
        <w:snapToGrid w:val="0"/>
        <w:spacing w:before="200" w:after="80" w:line="360" w:lineRule="auto"/>
        <w:ind w:firstLine="560" w:firstLineChars="200"/>
        <w:textAlignment w:val="auto"/>
        <w:rPr>
          <w:rFonts w:hint="eastAsia" w:asciiTheme="minorEastAsia" w:hAnsiTheme="minorEastAsia" w:eastAsiaTheme="minorEastAsia" w:cstheme="minorEastAsia"/>
          <w:sz w:val="28"/>
          <w:szCs w:val="28"/>
          <w:lang w:val="en-US" w:eastAsia="zh-CN"/>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numPr>
          <w:ilvl w:val="-1"/>
          <w:numId w:val="0"/>
        </w:numPr>
        <w:tabs>
          <w:tab w:val="left" w:pos="677"/>
        </w:tabs>
        <w:bidi w:val="0"/>
        <w:ind w:firstLine="321" w:firstLineChars="100"/>
        <w:jc w:val="center"/>
        <w:outlineLvl w:val="0"/>
        <w:rPr>
          <w:rFonts w:hint="eastAsia"/>
          <w:lang w:val="en-US" w:eastAsia="zh-CN"/>
        </w:rPr>
      </w:pPr>
      <w:bookmarkStart w:id="255" w:name="_Toc9779"/>
      <w:bookmarkStart w:id="256" w:name="_Toc6716"/>
      <w:bookmarkStart w:id="257" w:name="_Toc21745"/>
      <w:bookmarkStart w:id="258" w:name="_Toc20143"/>
      <w:bookmarkStart w:id="259" w:name="_Toc21719"/>
      <w:bookmarkStart w:id="260" w:name="_Toc23289"/>
      <w:bookmarkStart w:id="261" w:name="_Toc22805"/>
      <w:bookmarkStart w:id="262" w:name="_Toc22585"/>
      <w:r>
        <w:rPr>
          <w:rFonts w:hint="eastAsia"/>
          <w:lang w:val="en-US" w:eastAsia="zh-CN"/>
        </w:rPr>
        <w:t>第八章 加快工业数字化转型</w:t>
      </w:r>
      <w:bookmarkEnd w:id="255"/>
      <w:bookmarkEnd w:id="256"/>
      <w:bookmarkEnd w:id="257"/>
      <w:bookmarkEnd w:id="258"/>
      <w:bookmarkEnd w:id="259"/>
      <w:bookmarkEnd w:id="260"/>
      <w:bookmarkEnd w:id="261"/>
      <w:bookmarkEnd w:id="262"/>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由于紫阳地理位置的限制，县域工业基础薄弱，经济总量仍然偏小，企业开放创新不足、产业质效不优、重大项目不多、投资增长乏力，发展质量效益不高；项目建设进展不快，滚动接续储备不足，投资增长后劲乏力；产业链条化发展水平不高，民营经济发展滞后，市场主体活力不强，营商环境有待优化，所以要强化循环经济，以两园为依托，着力打造以富硒食饮品、新型材料、劳密加工为三大支柱的工业体系，建立工业互联网体系，构建园区总厂、社区工厂、家庭作坊三级网络，按不同分工协作组织生产，总厂承接订单，社区外包加工，家庭备份应急网络生产模式，总厂装配集成并质量控制，社区工厂做标准部件，生产计划与工期安排通过网络下达，原料与成本通过物流传输，费用结算通过网络分享，减少了中间环节提高了效率，也可以降低成本，通过互联网平台承接东部加工产业，适合紫阳劳动密集型产业的发展，延长产业链，同时提升园区、工厂数字化水平，补足企业以及相关产业发展短板。</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按国家国民经济行业分类与代码（GB/4754-2011），适合紫阳县情的工业产业体系的门类有四个（矿物加工、制造业、电力发电与建筑业），22个大类（如</w:t>
      </w:r>
      <w:r>
        <w:rPr>
          <w:rFonts w:hint="eastAsia" w:asciiTheme="minorEastAsia" w:hAnsiTheme="minorEastAsia" w:eastAsiaTheme="minorEastAsia" w:cstheme="minorEastAsia"/>
          <w:b w:val="0"/>
          <w:bCs w:val="0"/>
          <w:kern w:val="0"/>
          <w:sz w:val="28"/>
          <w:szCs w:val="28"/>
          <w:lang w:val="en-US" w:eastAsia="zh-CN" w:bidi="ar-SA"/>
        </w:rPr>
        <w:t>13</w:t>
      </w:r>
      <w:r>
        <w:rPr>
          <w:rFonts w:hint="eastAsia" w:asciiTheme="minorEastAsia" w:hAnsiTheme="minorEastAsia" w:eastAsiaTheme="minorEastAsia" w:cstheme="minorEastAsia"/>
          <w:b w:val="0"/>
          <w:bCs w:val="0"/>
          <w:kern w:val="0"/>
          <w:sz w:val="28"/>
          <w:szCs w:val="28"/>
        </w:rPr>
        <w:t>农副食品加工业</w:t>
      </w:r>
      <w:r>
        <w:rPr>
          <w:rFonts w:hint="eastAsia" w:asciiTheme="minorEastAsia" w:hAnsiTheme="minorEastAsia" w:eastAsiaTheme="minorEastAsia" w:cstheme="minorEastAsia"/>
          <w:b w:val="0"/>
          <w:bCs w:val="0"/>
          <w:kern w:val="0"/>
          <w:sz w:val="28"/>
          <w:szCs w:val="28"/>
          <w:lang w:eastAsia="zh-CN"/>
        </w:rPr>
        <w:t>、</w:t>
      </w:r>
      <w:r>
        <w:rPr>
          <w:rFonts w:hint="eastAsia" w:asciiTheme="minorEastAsia" w:hAnsiTheme="minorEastAsia" w:eastAsiaTheme="minorEastAsia" w:cstheme="minorEastAsia"/>
          <w:b w:val="0"/>
          <w:bCs w:val="0"/>
          <w:kern w:val="0"/>
          <w:sz w:val="28"/>
          <w:szCs w:val="28"/>
          <w:lang w:val="en-US" w:eastAsia="zh-CN"/>
        </w:rPr>
        <w:t>14</w:t>
      </w:r>
      <w:r>
        <w:rPr>
          <w:rFonts w:hint="eastAsia" w:asciiTheme="minorEastAsia" w:hAnsiTheme="minorEastAsia" w:eastAsiaTheme="minorEastAsia" w:cstheme="minorEastAsia"/>
          <w:b w:val="0"/>
          <w:bCs w:val="0"/>
          <w:kern w:val="0"/>
          <w:sz w:val="28"/>
          <w:szCs w:val="28"/>
        </w:rPr>
        <w:t>食品制造业</w:t>
      </w:r>
      <w:r>
        <w:rPr>
          <w:rFonts w:hint="eastAsia" w:asciiTheme="minorEastAsia" w:hAnsiTheme="minorEastAsia" w:eastAsiaTheme="minorEastAsia" w:cstheme="minorEastAsia"/>
          <w:kern w:val="0"/>
          <w:sz w:val="28"/>
          <w:szCs w:val="28"/>
          <w:lang w:val="en-US" w:eastAsia="zh-CN" w:bidi="ar-SA"/>
        </w:rPr>
        <w:t>等）、226个中类（137</w:t>
      </w:r>
      <w:r>
        <w:rPr>
          <w:rFonts w:hint="eastAsia" w:asciiTheme="minorEastAsia" w:hAnsiTheme="minorEastAsia" w:eastAsiaTheme="minorEastAsia" w:cstheme="minorEastAsia"/>
          <w:kern w:val="0"/>
          <w:sz w:val="28"/>
          <w:szCs w:val="28"/>
        </w:rPr>
        <w:t>蔬菜、水果和坚果加工</w:t>
      </w:r>
      <w:r>
        <w:rPr>
          <w:rFonts w:hint="eastAsia" w:asciiTheme="minorEastAsia" w:hAnsiTheme="minorEastAsia" w:eastAsiaTheme="minorEastAsia" w:cstheme="minorEastAsia"/>
          <w:kern w:val="0"/>
          <w:sz w:val="28"/>
          <w:szCs w:val="28"/>
          <w:lang w:val="en-US" w:eastAsia="zh-CN" w:bidi="ar-SA"/>
        </w:rPr>
        <w:t>、153精致茶加工业）与718个小类（如</w:t>
      </w:r>
      <w:r>
        <w:rPr>
          <w:rFonts w:hint="eastAsia" w:asciiTheme="minorEastAsia" w:hAnsiTheme="minorEastAsia" w:eastAsiaTheme="minorEastAsia" w:cstheme="minorEastAsia"/>
          <w:kern w:val="0"/>
          <w:sz w:val="28"/>
          <w:szCs w:val="28"/>
        </w:rPr>
        <w:t>1371蔬菜</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2450玩具制造</w:t>
      </w:r>
      <w:r>
        <w:rPr>
          <w:rFonts w:hint="eastAsia" w:asciiTheme="minorEastAsia" w:hAnsiTheme="minorEastAsia" w:eastAsiaTheme="minorEastAsia" w:cstheme="minorEastAsia"/>
          <w:kern w:val="0"/>
          <w:sz w:val="28"/>
          <w:szCs w:val="28"/>
          <w:lang w:val="en-US" w:eastAsia="zh-CN" w:bidi="ar-SA"/>
        </w:rPr>
        <w:t>等），其中在紫阳县可以发展农副产品深加工、生物医药制造、富硒饮品制造、精制茶加工、玩具制造、水泥制品及类似制品制造、木材加工、家具制造、机械设备与电器设备修理、建筑业与装饰业等多样性产业。</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紫阳可以发展的第二产业详细分类体系请参见附录《紫阳县国民经济产业分类及代码》。</w:t>
      </w:r>
    </w:p>
    <w:p>
      <w:pPr>
        <w:pStyle w:val="5"/>
        <w:bidi w:val="0"/>
        <w:outlineLvl w:val="1"/>
        <w:rPr>
          <w:rFonts w:hint="eastAsia" w:ascii="黑体" w:hAnsi="黑体" w:eastAsia="黑体" w:cs="黑体"/>
          <w:b/>
          <w:sz w:val="30"/>
          <w:szCs w:val="30"/>
          <w:lang w:val="en-US" w:eastAsia="zh-CN" w:bidi="ar-SA"/>
        </w:rPr>
      </w:pPr>
      <w:bookmarkStart w:id="263" w:name="_Toc5856"/>
      <w:bookmarkStart w:id="264" w:name="_Toc31996"/>
      <w:bookmarkStart w:id="265" w:name="_Toc3435"/>
      <w:bookmarkStart w:id="266" w:name="_Toc617"/>
      <w:bookmarkStart w:id="267" w:name="_Toc18064"/>
      <w:bookmarkStart w:id="268" w:name="_Toc30295"/>
      <w:bookmarkStart w:id="269" w:name="_Toc14015"/>
      <w:bookmarkStart w:id="270" w:name="_Toc3457"/>
      <w:r>
        <w:rPr>
          <w:rFonts w:hint="eastAsia" w:ascii="黑体" w:hAnsi="黑体" w:eastAsia="黑体" w:cs="黑体"/>
          <w:sz w:val="30"/>
          <w:szCs w:val="30"/>
          <w:lang w:val="en-US" w:eastAsia="zh-CN"/>
        </w:rPr>
        <w:t>8</w:t>
      </w:r>
      <w:r>
        <w:rPr>
          <w:rFonts w:hint="eastAsia" w:ascii="黑体" w:hAnsi="黑体" w:eastAsia="黑体" w:cs="黑体"/>
          <w:b/>
          <w:sz w:val="30"/>
          <w:szCs w:val="30"/>
          <w:lang w:val="en-US" w:eastAsia="zh-CN" w:bidi="ar-SA"/>
        </w:rPr>
        <w:t>.1推动装备制造业与数字化升级</w:t>
      </w:r>
      <w:bookmarkEnd w:id="263"/>
      <w:bookmarkEnd w:id="264"/>
      <w:bookmarkEnd w:id="265"/>
      <w:bookmarkEnd w:id="266"/>
      <w:bookmarkEnd w:id="267"/>
      <w:bookmarkEnd w:id="268"/>
      <w:bookmarkEnd w:id="269"/>
      <w:bookmarkEnd w:id="270"/>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rPr>
        <w:t>推动园区、工厂数字化提升</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kern w:val="0"/>
          <w:sz w:val="28"/>
          <w:szCs w:val="28"/>
          <w:lang w:val="en-US" w:eastAsia="zh-CN" w:bidi="ar-SA"/>
        </w:rPr>
        <w:t>着力提升紫阳县硒谷园区、飞地园区的数字化水平，重点完善产业园区基础设施的数字化升级。通过整体规划设计、全面优化布局、系统改造提升，形成平台、孵化器、核心企业一体的开放空间，打造优势互补、特色突出、功能集聚的开放载体。</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default" w:asciiTheme="minorEastAsia" w:hAnsiTheme="minorEastAsia" w:eastAsiaTheme="minorEastAsia" w:cstheme="minorEastAsia"/>
          <w:b w:val="0"/>
          <w:bCs w:val="0"/>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扩大园区、新社区工厂、家庭作坊的三级网络生产体系及经营规模，完善上下游产业链条，全力打造数字供应链。以需求为导向，通过数据业务化、业务数据化，构建线上线下、全流程、一体化的供应链体系。结合各镇创新布局一系列社区工厂数字化转型示范点。</w:t>
      </w:r>
      <w:r>
        <w:rPr>
          <w:rFonts w:hint="eastAsia" w:asciiTheme="minorEastAsia" w:hAnsiTheme="minorEastAsia" w:eastAsiaTheme="minorEastAsia" w:cstheme="minorEastAsia"/>
          <w:b w:val="0"/>
          <w:bCs w:val="0"/>
          <w:kern w:val="0"/>
          <w:sz w:val="28"/>
          <w:szCs w:val="28"/>
          <w:lang w:val="en-US" w:eastAsia="zh-CN" w:bidi="ar-SA"/>
        </w:rPr>
        <w:t>即农副产品初加工与简易包装在家庭，社区按订单需求进行复检与精加工，园区以品牌化进行深加工并负责统一对外销售，通过互联网打破地域空间限制，整合优质资源，进行基于互联网的分布式协作生产。</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4"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专栏7 数字化重点园区升级改造</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硒谷产业园。</w:t>
            </w:r>
            <w:r>
              <w:rPr>
                <w:rFonts w:hint="eastAsia" w:asciiTheme="minorEastAsia" w:hAnsiTheme="minorEastAsia" w:eastAsiaTheme="minorEastAsia" w:cstheme="minorEastAsia"/>
                <w:sz w:val="28"/>
                <w:szCs w:val="28"/>
              </w:rPr>
              <w:t>硒谷园区主要围绕富硒食饮品、健康医药产业聚集发展；加速推动完善富硒产业链条，形成原料、生产、加工、包装、销售一体化发展</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同时带动</w:t>
            </w:r>
            <w:r>
              <w:rPr>
                <w:rFonts w:hint="eastAsia" w:asciiTheme="minorEastAsia" w:hAnsiTheme="minorEastAsia" w:eastAsiaTheme="minorEastAsia" w:cstheme="minorEastAsia"/>
                <w:b w:val="0"/>
                <w:i w:val="0"/>
                <w:caps w:val="0"/>
                <w:color w:val="333333"/>
                <w:spacing w:val="0"/>
                <w:sz w:val="28"/>
                <w:szCs w:val="28"/>
                <w:shd w:val="clear" w:fill="auto"/>
              </w:rPr>
              <w:t>稀硒泉水开发有限公司</w:t>
            </w:r>
            <w:r>
              <w:rPr>
                <w:rFonts w:hint="eastAsia" w:asciiTheme="minorEastAsia" w:hAnsiTheme="minorEastAsia" w:eastAsiaTheme="minorEastAsia" w:cstheme="minorEastAsia"/>
                <w:b w:val="0"/>
                <w:i w:val="0"/>
                <w:caps w:val="0"/>
                <w:color w:val="333333"/>
                <w:spacing w:val="0"/>
                <w:sz w:val="28"/>
                <w:szCs w:val="28"/>
                <w:shd w:val="clear" w:fill="auto"/>
                <w:lang w:eastAsia="zh-CN"/>
              </w:rPr>
              <w:t>等各镇富硒企业的数字化转型</w:t>
            </w:r>
            <w:r>
              <w:rPr>
                <w:rFonts w:hint="eastAsia" w:asciiTheme="minorEastAsia" w:hAnsiTheme="minorEastAsia" w:eastAsiaTheme="minorEastAsia" w:cstheme="minorEastAsia"/>
                <w:b w:val="0"/>
                <w:i w:val="0"/>
                <w:caps w:val="0"/>
                <w:spacing w:val="0"/>
                <w:sz w:val="28"/>
                <w:szCs w:val="28"/>
                <w:shd w:val="clear"/>
                <w:lang w:eastAsia="zh-CN"/>
              </w:rPr>
              <w:t>，增加衍生产品生产线</w:t>
            </w:r>
            <w:r>
              <w:rPr>
                <w:rFonts w:hint="eastAsia" w:asciiTheme="minorEastAsia" w:hAnsiTheme="minorEastAsia" w:eastAsiaTheme="minorEastAsia" w:cstheme="minorEastAsia"/>
                <w:sz w:val="28"/>
                <w:szCs w:val="28"/>
              </w:rPr>
              <w:t>。整合现建的富硒产品体验中心、展示销售中心及紫阳富硒产品网店，加速推进线上、线下园区宣传工作和体验活动，为园区数字化转型提供动力。优化富硒产业科研基地及孵化服务中心，提高其技术发展水平和数据整合体系；积极推进国内外知名企业及科研中心开展硒资源、硒产品及核心技术的应用研究；持续打造全县富硒产品线上线下交易中心，促进富硒产品的数据共享平台的建设和应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rPr>
              <w:t>飞地产业园。</w:t>
            </w:r>
            <w:r>
              <w:rPr>
                <w:rFonts w:hint="eastAsia" w:asciiTheme="minorEastAsia" w:hAnsiTheme="minorEastAsia" w:eastAsiaTheme="minorEastAsia" w:cstheme="minorEastAsia"/>
                <w:sz w:val="28"/>
                <w:szCs w:val="28"/>
              </w:rPr>
              <w:t>飞地园区主要围绕环保建材、生物医药、电子产品加工、装备制造、智慧物流等循环产业发展。</w:t>
            </w:r>
            <w:r>
              <w:rPr>
                <w:rFonts w:hint="eastAsia" w:asciiTheme="minorEastAsia" w:hAnsiTheme="minorEastAsia" w:eastAsiaTheme="minorEastAsia" w:cstheme="minorEastAsia"/>
                <w:sz w:val="28"/>
                <w:szCs w:val="28"/>
                <w:lang w:eastAsia="zh-CN"/>
              </w:rPr>
              <w:t>积极推动</w:t>
            </w:r>
            <w:r>
              <w:rPr>
                <w:rFonts w:hint="eastAsia" w:asciiTheme="minorEastAsia" w:hAnsiTheme="minorEastAsia" w:eastAsiaTheme="minorEastAsia" w:cstheme="minorEastAsia"/>
                <w:sz w:val="28"/>
                <w:szCs w:val="28"/>
              </w:rPr>
              <w:t>电子产品加工</w:t>
            </w:r>
            <w:r>
              <w:rPr>
                <w:rFonts w:hint="eastAsia" w:asciiTheme="minorEastAsia" w:hAnsiTheme="minorEastAsia" w:eastAsiaTheme="minorEastAsia" w:cstheme="minorEastAsia"/>
                <w:sz w:val="28"/>
                <w:szCs w:val="28"/>
                <w:lang w:eastAsia="zh-CN"/>
              </w:rPr>
              <w:t>企业的数字化转型，带</w:t>
            </w:r>
            <w:r>
              <w:rPr>
                <w:rFonts w:hint="eastAsia" w:asciiTheme="minorEastAsia" w:hAnsiTheme="minorEastAsia" w:eastAsiaTheme="minorEastAsia" w:cstheme="minorEastAsia"/>
                <w:i w:val="0"/>
                <w:caps w:val="0"/>
                <w:spacing w:val="0"/>
                <w:sz w:val="28"/>
                <w:szCs w:val="28"/>
                <w:shd w:val="clear"/>
                <w:lang w:eastAsia="zh-CN"/>
              </w:rPr>
              <w:t>动紫阳县仁华电器有限公司等各镇企业开展生产换线、设备换新等数字化改造，缩短工期，提高产品质量，同时进行产品生产过程的数字化存档，</w:t>
            </w:r>
            <w:r>
              <w:rPr>
                <w:rFonts w:hint="eastAsia" w:asciiTheme="minorEastAsia" w:hAnsiTheme="minorEastAsia" w:eastAsiaTheme="minorEastAsia" w:cstheme="minorEastAsia"/>
                <w:sz w:val="28"/>
                <w:szCs w:val="28"/>
              </w:rPr>
              <w:t>开展生物医药企业智能化改造行动，通过机器换人、设备换芯、生产换线等智能化改造措施，全面促进制造业数字化转型应用。加速中药配方颗粒加工、工业机器人及智能水壶加工、绞股蓝总甙提取、茯茶加工及提取、冷链物流等信息化技术，持续融合制造业发展。优化生物医药产业科研基地及研发中心水平，积极推进国内外知名企业及科研机构开展中药配方、其核心技术的应用研究。持续打造制造业线上线下研究沟通中心和平台，促进数据共享资源平台的建设和应用。</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both"/>
        <w:textAlignment w:val="auto"/>
        <w:rPr>
          <w:rFonts w:hint="eastAsia" w:asciiTheme="minorEastAsia" w:hAnsiTheme="minorEastAsia" w:eastAsiaTheme="minorEastAsia" w:cstheme="minorEastAsia"/>
          <w:kern w:val="0"/>
          <w:sz w:val="28"/>
          <w:szCs w:val="28"/>
          <w:lang w:val="en-US" w:eastAsia="zh-CN" w:bidi="ar-SA"/>
        </w:rPr>
      </w:pPr>
    </w:p>
    <w:p>
      <w:pPr>
        <w:pStyle w:val="98"/>
        <w:keepNext w:val="0"/>
        <w:keepLines w:val="0"/>
        <w:widowControl w:val="0"/>
        <w:shd w:val="clear" w:color="auto" w:fill="auto"/>
        <w:bidi w:val="0"/>
        <w:spacing w:before="0" w:after="420" w:line="589" w:lineRule="exact"/>
        <w:ind w:left="0" w:right="0" w:firstLine="562" w:firstLineChars="200"/>
        <w:jc w:val="both"/>
      </w:pPr>
      <w:r>
        <w:rPr>
          <w:rFonts w:hint="eastAsia" w:asciiTheme="minorEastAsia" w:hAnsiTheme="minorEastAsia" w:eastAsiaTheme="minorEastAsia" w:cstheme="minorEastAsia"/>
          <w:b/>
          <w:bCs/>
          <w:sz w:val="28"/>
          <w:szCs w:val="28"/>
          <w:lang w:val="en-US" w:eastAsia="zh-CN"/>
        </w:rPr>
        <w:t>提升智能制造水平。</w:t>
      </w:r>
      <w:r>
        <w:rPr>
          <w:rFonts w:hint="eastAsia" w:asciiTheme="minorEastAsia" w:hAnsiTheme="minorEastAsia" w:eastAsiaTheme="minorEastAsia" w:cstheme="minorEastAsia"/>
          <w:b w:val="0"/>
          <w:bCs w:val="0"/>
          <w:sz w:val="28"/>
          <w:szCs w:val="28"/>
          <w:lang w:val="en-US" w:eastAsia="zh-CN"/>
        </w:rPr>
        <w:t>以园区为载体，积极引导装备、医药、食品、纺织等传统优势产业发展智能制造，积极开展智能生产线、数字化车间和智能工厂试点示范，推动传统制造业向高端化、智能化、绿色化方向发展。支持面向生产制造、经营管理、市场营销、运维服务等关键环节的信息物理系统、工业大数据等关键技术研发及产业化。推进智能化生产，鼓励装备制造、家电、电子信息等离散型制造业企业生产设备向全面感知、设备互联、数据集成、智能管控等方向升级，促进生产过程的精准化、柔性化、敏捷化；鼓励医药、食品等流程型制企业，加快推广部署先进过程控制，实现生产过程</w:t>
      </w:r>
      <w:r>
        <w:rPr>
          <w:color w:val="000000"/>
          <w:spacing w:val="0"/>
          <w:w w:val="100"/>
          <w:position w:val="0"/>
        </w:rPr>
        <w:t>的集约高效、动态优化、安全可靠和绿色低碳。支持重点企业开展智能制造应用示范，试点建设智能工厂或数字化车间。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9"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专栏8 重点领域智能制造水平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建设智能制造生产线。</w:t>
            </w:r>
            <w:r>
              <w:rPr>
                <w:rFonts w:hint="eastAsia" w:asciiTheme="minorEastAsia" w:hAnsiTheme="minorEastAsia" w:eastAsiaTheme="minorEastAsia" w:cstheme="minorEastAsia"/>
                <w:b w:val="0"/>
                <w:bCs w:val="0"/>
                <w:sz w:val="28"/>
                <w:szCs w:val="28"/>
                <w:lang w:val="en-US" w:eastAsia="zh-CN"/>
              </w:rPr>
              <w:t>支持园区工业骨干企业利用国家两化融合的资金与企业自有资金，淘汰或升级产品生产线，利用物联网技术动态采集各生产环节信息，汇总形成质量合格率与产能等信息，供物流与仓储试用。政府不仅要招商引资，还需要招才引智，加大对智能制造急需人才的引进、培养和培训，帮助企业人才快速适应智能制造发展的需要。</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推动生物医药产业向智能制造转化。</w:t>
            </w:r>
            <w:r>
              <w:rPr>
                <w:rFonts w:hint="eastAsia" w:asciiTheme="minorEastAsia" w:hAnsiTheme="minorEastAsia" w:eastAsiaTheme="minorEastAsia" w:cstheme="minorEastAsia"/>
                <w:b w:val="0"/>
                <w:bCs w:val="0"/>
                <w:sz w:val="28"/>
                <w:szCs w:val="28"/>
                <w:lang w:val="en-US" w:eastAsia="zh-CN"/>
              </w:rPr>
              <w:t>开展生物医药企业智能化改造行动，通过机器换人、设备换芯、生产换线等改造措施，全面提升智能化制造水平。一是树立一批示范试点企业，推动智能车间与智能工厂建设；二是对企业制药装备、自动化控制系统和信息化管理系统进行改进、扩展和完善，应用智能识别、智能监测等，提高企业智能化水平；三是鼓励采用新一代信息技术的应用，推广条形码、无线射频识别(RFID)技术和视频监控系统，实现生产过程工艺参数的自动采集与调控，提高生产过程的实时调度和在线监测水平</w:t>
            </w:r>
            <w:r>
              <w:rPr>
                <w:rFonts w:hint="eastAsia" w:asciiTheme="minorEastAsia" w:hAnsiTheme="minorEastAsia" w:eastAsiaTheme="minorEastAsia" w:cstheme="minorEastAsia"/>
                <w:b/>
                <w:bCs/>
                <w:sz w:val="28"/>
                <w:szCs w:val="28"/>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开展智能制造试点示范。</w:t>
            </w:r>
            <w:r>
              <w:rPr>
                <w:rFonts w:hint="eastAsia" w:asciiTheme="minorEastAsia" w:hAnsiTheme="minorEastAsia" w:eastAsiaTheme="minorEastAsia" w:cstheme="minorEastAsia"/>
                <w:b w:val="0"/>
                <w:bCs w:val="0"/>
                <w:sz w:val="28"/>
                <w:szCs w:val="28"/>
                <w:highlight w:val="none"/>
                <w:lang w:val="en-US" w:eastAsia="zh-CN"/>
              </w:rPr>
              <w:t>在园区选择市场有竞争力、产品销量多、用户口碑好、企业管理规范的具有发展潜力的企业，政府积极扶持企业开展智能制造项目建设，发挥典型示范作用。紫阳县前卫实业有限公司、紫阳县仁华电器有限公司智能化生产线建设；加快推动县域茶厂、富硒食品公司等企业的数字化绿色制造产能提升、打造一系列数字化转型示范企业。推动紫阳富硒产业研究孵化服务中心优化升级，推动研究中心数字化研究平台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提升生态食品产业智能化制造水平。</w:t>
            </w:r>
            <w:r>
              <w:rPr>
                <w:rFonts w:hint="eastAsia" w:asciiTheme="minorEastAsia" w:hAnsiTheme="minorEastAsia" w:eastAsiaTheme="minorEastAsia" w:cstheme="minorEastAsia"/>
                <w:b w:val="0"/>
                <w:bCs w:val="0"/>
                <w:sz w:val="28"/>
                <w:szCs w:val="28"/>
                <w:lang w:val="en-US" w:eastAsia="zh-CN"/>
              </w:rPr>
              <w:t>一是支持企业加快生产关键工序自动化、数字化改造步伐；二是积极推广柔性制造单元、智能生产线、数字化车间和智慧工厂建设，努力实现制造流程柔性化、敏捷化和智能化；三是推动企业建立食品质量可追溯体系；四是支持企业建设电子商务平台。</w:t>
            </w:r>
          </w:p>
        </w:tc>
      </w:tr>
    </w:tbl>
    <w:p>
      <w:pPr>
        <w:pStyle w:val="5"/>
        <w:bidi w:val="0"/>
        <w:outlineLvl w:val="1"/>
        <w:rPr>
          <w:rFonts w:hint="eastAsia" w:ascii="黑体" w:hAnsi="黑体" w:eastAsia="黑体" w:cs="黑体"/>
          <w:sz w:val="30"/>
          <w:szCs w:val="30"/>
          <w:lang w:val="en-US" w:eastAsia="zh-CN"/>
        </w:rPr>
      </w:pPr>
      <w:bookmarkStart w:id="271" w:name="_Toc24468"/>
      <w:bookmarkStart w:id="272" w:name="_Toc32640"/>
      <w:bookmarkStart w:id="273" w:name="_Toc19111"/>
      <w:bookmarkStart w:id="274" w:name="_Toc19158"/>
      <w:bookmarkStart w:id="275" w:name="_Toc5737"/>
      <w:bookmarkStart w:id="276" w:name="_Toc14110"/>
      <w:bookmarkStart w:id="277" w:name="_Toc20751"/>
      <w:bookmarkStart w:id="278" w:name="_Toc10414"/>
      <w:r>
        <w:rPr>
          <w:rFonts w:hint="eastAsia" w:ascii="黑体" w:hAnsi="黑体" w:eastAsia="黑体" w:cs="黑体"/>
          <w:sz w:val="30"/>
          <w:szCs w:val="30"/>
          <w:lang w:val="en-US" w:eastAsia="zh-CN"/>
        </w:rPr>
        <w:t>8.2积极推动工业互联网平台的建设</w:t>
      </w:r>
      <w:bookmarkEnd w:id="271"/>
      <w:bookmarkEnd w:id="272"/>
      <w:bookmarkEnd w:id="273"/>
      <w:bookmarkEnd w:id="274"/>
      <w:bookmarkEnd w:id="275"/>
      <w:bookmarkEnd w:id="276"/>
      <w:bookmarkEnd w:id="277"/>
      <w:bookmarkEnd w:id="278"/>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推动企业级和行业级的综合性工业互联网建设，搭建工业云平台，支撑企业内外数据汇聚和建模分析。推进工业园区、社区工厂、家庭作坊等各类工业企业上云平台，推进制造技术软件化升级、制造技术软件化云服务，加快各类信息技术在企业中的普及应用，促使互联网应用逐步向制造全过程深度融合。加快柔性制造、个性化定制、智能化生产、网络化协同、服务化延伸等新模式应用，逐步推动制造业骨干企业与互联网或互联网企业的跨界融合，打造数据驱动的制造业新形态。建立健全工业互联网安全保障体系，定期开展安全风险评估、安全能力认证和监督检查，提升核心节点安全防护能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4"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专栏9工业互联网平台建设工程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实施工业设备上云计划。</w:t>
            </w:r>
            <w:r>
              <w:rPr>
                <w:rFonts w:hint="eastAsia" w:asciiTheme="minorEastAsia" w:hAnsiTheme="minorEastAsia" w:eastAsiaTheme="minorEastAsia" w:cstheme="minorEastAsia"/>
                <w:b w:val="0"/>
                <w:bCs w:val="0"/>
                <w:sz w:val="28"/>
                <w:szCs w:val="28"/>
                <w:lang w:val="en-US" w:eastAsia="zh-CN"/>
              </w:rPr>
              <w:t>推动紫阳县产业园区</w:t>
            </w:r>
            <w:r>
              <w:rPr>
                <w:rFonts w:hint="eastAsia" w:asciiTheme="minorEastAsia" w:hAnsiTheme="minorEastAsia" w:eastAsiaTheme="minorEastAsia" w:cstheme="minorEastAsia"/>
                <w:b w:val="0"/>
                <w:bCs w:val="0"/>
                <w:kern w:val="2"/>
                <w:sz w:val="28"/>
                <w:szCs w:val="28"/>
                <w:lang w:val="en-US" w:eastAsia="zh-CN" w:bidi="ar-SA"/>
              </w:rPr>
              <w:t>重点工业设备数据云端迁移、高耗能流程设备、通用动力设备、新能源设备、智能化设备上云用云，提高设备运行效率和可靠性，降低资源能源消耗和维修成本。鼓励平台在线发布核心设备运行绩效榜单和最佳工艺方案，引导企业通过对标优化设备运行管理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推动企业业务系统上云。</w:t>
            </w:r>
            <w:r>
              <w:rPr>
                <w:rFonts w:hint="eastAsia" w:asciiTheme="minorEastAsia" w:hAnsiTheme="minorEastAsia" w:eastAsiaTheme="minorEastAsia" w:cstheme="minorEastAsia"/>
                <w:b w:val="0"/>
                <w:bCs w:val="0"/>
                <w:sz w:val="28"/>
                <w:szCs w:val="28"/>
                <w:lang w:val="en-US" w:eastAsia="zh-CN"/>
              </w:rPr>
              <w:t>鼓励龙头企业面向行业开放共享业务系统，带动产业链上下游企业开展协同设计和协同供应链管理。鼓励地方通过创新券、服务券等方式加大企业上云支持力度，发挥中小企业公共服务平台、小型微型企业创业创新基地作用，降低中小企业平台应用门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培育工业互联网平台应用新模式。</w:t>
            </w:r>
            <w:r>
              <w:rPr>
                <w:rFonts w:hint="eastAsia" w:asciiTheme="minorEastAsia" w:hAnsiTheme="minorEastAsia" w:eastAsiaTheme="minorEastAsia" w:cstheme="minorEastAsia"/>
                <w:b w:val="0"/>
                <w:bCs w:val="0"/>
                <w:sz w:val="28"/>
                <w:szCs w:val="28"/>
                <w:lang w:val="en-US" w:eastAsia="zh-CN"/>
              </w:rPr>
              <w:t>组织开展工业互联网试点示范（平台方向），培育协同设计、协同供应链管理、产品全生命周期管理、供应链金融等平台应用新模式。组织制定工业互联网平台应用指南，明确平台应用的咨询、实施、评估、培训、采信等全流程方法体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vertAlign w:val="baseline"/>
                <w:lang w:val="en-US" w:eastAsia="zh-CN" w:bidi="ar-SA"/>
              </w:rPr>
            </w:pPr>
            <w:r>
              <w:rPr>
                <w:rFonts w:hint="eastAsia" w:asciiTheme="minorEastAsia" w:hAnsiTheme="minorEastAsia" w:eastAsiaTheme="minorEastAsia" w:cstheme="minorEastAsia"/>
                <w:b/>
                <w:bCs/>
                <w:sz w:val="28"/>
                <w:szCs w:val="28"/>
                <w:lang w:val="en-US" w:eastAsia="zh-CN"/>
              </w:rPr>
              <w:t>推动平台间数据与服务互联互通。</w:t>
            </w:r>
            <w:r>
              <w:rPr>
                <w:rFonts w:hint="eastAsia" w:asciiTheme="minorEastAsia" w:hAnsiTheme="minorEastAsia" w:eastAsiaTheme="minorEastAsia" w:cstheme="minorEastAsia"/>
                <w:b w:val="0"/>
                <w:bCs w:val="0"/>
                <w:sz w:val="28"/>
                <w:szCs w:val="28"/>
                <w:lang w:val="en-US" w:eastAsia="zh-CN"/>
              </w:rPr>
              <w:t>制定工业互联网平台互联互通规范，构建公平、有序、开放的平台发展环境。制定发布工业互联网平台数据迁移行业准则，实现不同平台间工业数据的自由传输迁移。同时推动工业模型、微服务组件、工业APP在不同平台间可部署、可调用、可订阅。</w:t>
            </w:r>
          </w:p>
        </w:tc>
      </w:tr>
    </w:tbl>
    <w:p>
      <w:pPr>
        <w:pStyle w:val="5"/>
        <w:keepNext/>
        <w:keepLines/>
        <w:pageBreakBefore w:val="0"/>
        <w:widowControl/>
        <w:numPr>
          <w:ilvl w:val="0"/>
          <w:numId w:val="0"/>
        </w:numPr>
        <w:kinsoku/>
        <w:wordWrap/>
        <w:overflowPunct/>
        <w:topLinePunct w:val="0"/>
        <w:autoSpaceDE/>
        <w:autoSpaceDN/>
        <w:bidi w:val="0"/>
        <w:adjustRightInd w:val="0"/>
        <w:snapToGrid w:val="0"/>
        <w:spacing w:before="260" w:after="260" w:line="413" w:lineRule="auto"/>
        <w:jc w:val="both"/>
        <w:textAlignment w:val="auto"/>
        <w:outlineLvl w:val="1"/>
        <w:rPr>
          <w:rFonts w:hint="eastAsia" w:ascii="黑体" w:hAnsi="黑体" w:eastAsia="黑体" w:cs="黑体"/>
          <w:sz w:val="30"/>
          <w:szCs w:val="30"/>
          <w:lang w:val="en-US" w:eastAsia="zh-CN"/>
        </w:rPr>
      </w:pPr>
      <w:bookmarkStart w:id="279" w:name="_Toc13079"/>
      <w:bookmarkStart w:id="280" w:name="_Toc24337"/>
      <w:bookmarkStart w:id="281" w:name="_Toc13913"/>
      <w:bookmarkStart w:id="282" w:name="_Toc366"/>
      <w:bookmarkStart w:id="283" w:name="_Toc7105"/>
      <w:bookmarkStart w:id="284" w:name="_Toc15439"/>
      <w:bookmarkStart w:id="285" w:name="_Toc29659"/>
      <w:bookmarkStart w:id="286" w:name="_Toc18584"/>
      <w:bookmarkStart w:id="287" w:name="_Toc30865"/>
      <w:bookmarkStart w:id="288" w:name="_Toc525544043"/>
      <w:bookmarkStart w:id="289" w:name="_Toc18384"/>
      <w:bookmarkStart w:id="290" w:name="_Toc12804"/>
      <w:bookmarkStart w:id="291" w:name="_Toc3791"/>
      <w:bookmarkStart w:id="292" w:name="_Toc525283840"/>
      <w:bookmarkStart w:id="293" w:name="_Toc18721"/>
      <w:bookmarkStart w:id="294" w:name="_Toc22269"/>
      <w:bookmarkStart w:id="295" w:name="_Toc526600338"/>
      <w:bookmarkStart w:id="296" w:name="_Toc20385"/>
      <w:r>
        <w:rPr>
          <w:rFonts w:hint="eastAsia" w:ascii="黑体" w:hAnsi="黑体" w:eastAsia="黑体" w:cs="黑体"/>
          <w:sz w:val="30"/>
          <w:szCs w:val="30"/>
          <w:lang w:val="en-US" w:eastAsia="zh-CN"/>
        </w:rPr>
        <w:t>8.3推动企业设备和互联网升级改造</w:t>
      </w:r>
      <w:bookmarkEnd w:id="279"/>
      <w:bookmarkEnd w:id="280"/>
      <w:bookmarkEnd w:id="281"/>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80" w:beforeAutospacing="0" w:after="0" w:afterAutospacing="0" w:line="360" w:lineRule="auto"/>
        <w:ind w:left="0" w:right="0" w:firstLine="562" w:firstLineChars="200"/>
        <w:jc w:val="both"/>
        <w:textAlignment w:val="auto"/>
        <w:rPr>
          <w:rFonts w:hint="eastAsia" w:ascii="宋体" w:hAnsi="宋体" w:eastAsia="宋体" w:cs="宋体"/>
          <w:sz w:val="28"/>
          <w:szCs w:val="28"/>
          <w:highlight w:val="none"/>
        </w:rPr>
      </w:pPr>
      <w:r>
        <w:rPr>
          <w:rFonts w:hint="eastAsia" w:ascii="宋体" w:hAnsi="宋体" w:eastAsia="宋体" w:cs="宋体"/>
          <w:b/>
          <w:bCs/>
          <w:sz w:val="28"/>
          <w:szCs w:val="28"/>
        </w:rPr>
        <w:t>加快设备及生产线的自动化、数字化改造。</w:t>
      </w:r>
      <w:r>
        <w:rPr>
          <w:rFonts w:hint="eastAsia" w:ascii="宋体" w:hAnsi="宋体" w:eastAsia="宋体" w:cs="宋体"/>
          <w:sz w:val="28"/>
          <w:szCs w:val="28"/>
        </w:rPr>
        <w:t>鼓励电子信息、智能装备制造、农产品加工等行业中小型企业采取联合采购、融资租赁等方式购买使用自动化、智能化装备，替代传统手工、半机械化装备。支持能源、新材料、智能装备制造、生物医药等行业龙头企业采用一体化、数字化、智能化生产设备和生产线，提高生产效率和产品质量稳定性。开展智能制造试点示范，实施“生产换线”“设备换芯”“机器换人”，提升企业关键工序数控化率和工业智能设备联网率，建设</w:t>
      </w:r>
      <w:r>
        <w:rPr>
          <w:rFonts w:hint="eastAsia" w:ascii="宋体" w:hAnsi="宋体" w:eastAsia="宋体" w:cs="宋体"/>
          <w:sz w:val="28"/>
          <w:szCs w:val="28"/>
          <w:lang w:val="en-US" w:eastAsia="zh-CN"/>
        </w:rPr>
        <w:t>5</w:t>
      </w:r>
      <w:r>
        <w:rPr>
          <w:rFonts w:hint="eastAsia" w:ascii="宋体" w:hAnsi="宋体" w:eastAsia="宋体" w:cs="宋体"/>
          <w:sz w:val="28"/>
          <w:szCs w:val="28"/>
        </w:rPr>
        <w:t>家以上智</w:t>
      </w:r>
      <w:r>
        <w:rPr>
          <w:rFonts w:hint="eastAsia" w:ascii="宋体" w:hAnsi="宋体" w:eastAsia="宋体" w:cs="宋体"/>
          <w:sz w:val="28"/>
          <w:szCs w:val="28"/>
          <w:highlight w:val="none"/>
        </w:rPr>
        <w:t>提升工业企业网络建设。</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40" w:beforeAutospacing="0" w:after="0" w:afterAutospacing="0" w:line="360" w:lineRule="auto"/>
        <w:ind w:left="0" w:right="0"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bCs/>
          <w:sz w:val="28"/>
          <w:szCs w:val="28"/>
        </w:rPr>
        <w:t>优先推动大型工业企业部署IPv6</w:t>
      </w:r>
      <w:r>
        <w:rPr>
          <w:rFonts w:hint="eastAsia" w:ascii="宋体" w:hAnsi="宋体" w:eastAsia="宋体" w:cs="宋体"/>
          <w:b/>
          <w:bCs/>
          <w:sz w:val="28"/>
          <w:szCs w:val="28"/>
          <w:lang w:eastAsia="zh-CN"/>
        </w:rPr>
        <w:t>。</w:t>
      </w:r>
      <w:r>
        <w:rPr>
          <w:rFonts w:hint="eastAsia" w:ascii="宋体" w:hAnsi="宋体" w:eastAsia="宋体" w:cs="宋体"/>
          <w:sz w:val="28"/>
          <w:szCs w:val="28"/>
          <w:highlight w:val="none"/>
        </w:rPr>
        <w:t xml:space="preserve">加快基于IPv6的工业互联网企业内、外网络建设，推动基于IPv6的工业生产、管理、数据采集和分析的信息系统建设。加快重点工业企业内网络改造升级，推动工业企业内网IT化、扁平化、柔性化，整合企业研发、生产、物流、仓储、营销各环节信息化系统，打通内部“信息孤岛”“数据烟囱”。提升工业企业外网建设质量，优化宽带网络基础设施应用能力和服务水平，扩大网络覆盖范围。鼓励电信运营商推进中小企业专线建设，持续推进中小企业专线网络提速降费，全面降低中小企业信息服务成本。 </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80" w:beforeAutospacing="0" w:after="0" w:afterAutospacing="0" w:line="360" w:lineRule="auto"/>
        <w:ind w:left="0" w:right="0" w:firstLine="562" w:firstLineChars="200"/>
        <w:jc w:val="both"/>
        <w:textAlignment w:val="auto"/>
        <w:rPr>
          <w:rFonts w:hint="eastAsia" w:ascii="宋体" w:hAnsi="宋体" w:eastAsia="宋体" w:cs="宋体"/>
          <w:sz w:val="28"/>
          <w:szCs w:val="28"/>
          <w:highlight w:val="none"/>
        </w:rPr>
      </w:pPr>
      <w:r>
        <w:rPr>
          <w:rFonts w:hint="eastAsia" w:ascii="宋体" w:hAnsi="宋体" w:eastAsia="宋体" w:cs="宋体"/>
          <w:b/>
          <w:bCs/>
          <w:sz w:val="28"/>
          <w:szCs w:val="28"/>
        </w:rPr>
        <w:t>提升企业数字化管理水平。</w:t>
      </w:r>
      <w:r>
        <w:rPr>
          <w:rFonts w:hint="eastAsia" w:ascii="宋体" w:hAnsi="宋体" w:eastAsia="宋体" w:cs="宋体"/>
          <w:sz w:val="28"/>
          <w:szCs w:val="28"/>
          <w:highlight w:val="none"/>
        </w:rPr>
        <w:t xml:space="preserve">深入开展“两化融合”贯彻标准企业培育，完善“两化融合”管理体系和指标评价体系，不断扩大贯标企业数量和规模。推动中小企业信息化系统升级，支持中小企业普及应用在线协同办公系统、在线企业资源计划管理系统（ERP）、在线客户关系管理系统（CRM）等标准化、模块化的基础信息系统。推动重点行业龙头型企业利用大数据、人工智能、5G进行业务流程再造和组织方式变革，构建开放式、扁平化、平台化的组织管理新模式。支持大中型企业合理定制化部署企业资源计划管理系统、制造企业生产过程执行管理系统（MES）、产品生命周期管理（PLM）等系统，提高企业研发、生产、管理和服务的智能化水平。 </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80" w:beforeAutospacing="0" w:after="0" w:afterAutospacing="0" w:line="360" w:lineRule="auto"/>
        <w:ind w:left="0" w:right="0" w:firstLine="562" w:firstLineChars="200"/>
        <w:jc w:val="both"/>
        <w:textAlignment w:val="auto"/>
        <w:rPr>
          <w:rFonts w:hint="eastAsia" w:ascii="宋体" w:hAnsi="宋体" w:eastAsia="宋体" w:cs="宋体"/>
          <w:sz w:val="28"/>
          <w:szCs w:val="28"/>
          <w:highlight w:val="none"/>
        </w:rPr>
      </w:pPr>
      <w:r>
        <w:rPr>
          <w:rFonts w:hint="eastAsia" w:ascii="宋体" w:hAnsi="宋体" w:eastAsia="宋体" w:cs="宋体"/>
          <w:b/>
          <w:bCs/>
          <w:sz w:val="28"/>
          <w:szCs w:val="28"/>
        </w:rPr>
        <w:t>加强企业数字化新模式应用。</w:t>
      </w:r>
      <w:r>
        <w:rPr>
          <w:rFonts w:hint="eastAsia" w:ascii="宋体" w:hAnsi="宋体" w:eastAsia="宋体" w:cs="宋体"/>
          <w:sz w:val="28"/>
          <w:szCs w:val="28"/>
          <w:highlight w:val="none"/>
        </w:rPr>
        <w:t>加快培育特色产业集群，推进网络化协同新模式，面向电子信息、智能装备制造等重点行业，推动建设协同制造云平台，开展企业间网络协同设计、众包研发设计、网络化协同供应链管理等应用，促进企业研发设计、生产制造、市场营销等环节全面互联和综合集成。发展个性化定制新模式，推动智能终端、消费电子等行业引入定制解决方案和柔性生产设备，发展支持客户深度参与设计的大规模定制生产能力。支持智能装备制造、</w:t>
      </w:r>
      <w:r>
        <w:rPr>
          <w:rFonts w:hint="eastAsia" w:ascii="宋体" w:hAnsi="宋体" w:eastAsia="宋体" w:cs="宋体"/>
          <w:sz w:val="28"/>
          <w:szCs w:val="28"/>
          <w:highlight w:val="none"/>
          <w:lang w:eastAsia="zh-CN"/>
        </w:rPr>
        <w:t>清洁</w:t>
      </w:r>
      <w:r>
        <w:rPr>
          <w:rFonts w:hint="eastAsia" w:ascii="宋体" w:hAnsi="宋体" w:eastAsia="宋体" w:cs="宋体"/>
          <w:sz w:val="28"/>
          <w:szCs w:val="28"/>
          <w:highlight w:val="none"/>
        </w:rPr>
        <w:t xml:space="preserve">能源等行业领军企业向制造服务型企业转变，运用互联网发展工业设计、全生命周期管理、产品远程故障诊断、远程在线运行维护、智能制造集成设计等新型业态。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黑体" w:hAnsi="黑体" w:eastAsia="黑体" w:cs="黑体"/>
          <w:b/>
          <w:bCs w:val="0"/>
          <w:kern w:val="0"/>
          <w:sz w:val="28"/>
          <w:szCs w:val="28"/>
          <w:lang w:val="en-US" w:eastAsia="zh-CN"/>
        </w:rPr>
      </w:pPr>
      <w:r>
        <w:rPr>
          <w:rFonts w:hint="eastAsia" w:ascii="宋体" w:hAnsi="宋体" w:eastAsia="宋体" w:cs="宋体"/>
          <w:b/>
          <w:bCs/>
          <w:sz w:val="28"/>
          <w:szCs w:val="28"/>
        </w:rPr>
        <w:t>拓展企业数字化应用渠道。</w:t>
      </w:r>
      <w:r>
        <w:rPr>
          <w:rFonts w:hint="eastAsia" w:ascii="宋体" w:hAnsi="宋体" w:eastAsia="宋体" w:cs="宋体"/>
          <w:sz w:val="28"/>
          <w:szCs w:val="28"/>
          <w:highlight w:val="none"/>
        </w:rPr>
        <w:t>依托产品工艺流程相似的产业集群，建立产业信息化发展需求对接平台，统筹推进中小企业数字化应用。探索建立企业联合采购机制，促进中小企业购买数字化服务，切实降低中小企业数字化转型成本。借鉴合同能源管理模式，采取先使用后收益的方式，以企业数字化转型带来的经济效益支付企业数字化改造升级的费用，建立健全企业和供应商风险共担机制。建立针对企业数字化应用的风险补偿和激励机制，定期组织行业专家开展专业培训，增强中小企业数字化转型信心。</w:t>
      </w: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发展个性化定制。</w:t>
      </w:r>
      <w:r>
        <w:rPr>
          <w:rFonts w:hint="eastAsia" w:ascii="宋体" w:hAnsi="宋体" w:eastAsia="宋体" w:cs="宋体"/>
          <w:sz w:val="28"/>
          <w:szCs w:val="28"/>
        </w:rPr>
        <w:t>鼓励重点行业</w:t>
      </w:r>
      <w:r>
        <w:rPr>
          <w:rFonts w:hint="eastAsia" w:ascii="宋体" w:hAnsi="宋体" w:eastAsia="宋体" w:cs="宋体"/>
          <w:sz w:val="28"/>
          <w:szCs w:val="28"/>
          <w:lang w:eastAsia="zh-CN"/>
        </w:rPr>
        <w:t>，</w:t>
      </w:r>
      <w:r>
        <w:rPr>
          <w:rFonts w:hint="eastAsia" w:ascii="宋体" w:hAnsi="宋体" w:eastAsia="宋体" w:cs="宋体"/>
          <w:sz w:val="28"/>
          <w:szCs w:val="28"/>
        </w:rPr>
        <w:t>重点企业运用大数据挖掘和动态体验感知等手段，充分整合市场信息和客户个性化需求，挖掘细分市场，开展个性化定制服务。重点推动饮料食品、服装、家具等行业引进定制解决方案和柔性生产设备，开发小批量、多品种、柔性化的定制生产，培育形成</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家个性化定制示范企业。</w:t>
      </w:r>
    </w:p>
    <w:p>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发展工业电子商务。</w:t>
      </w:r>
      <w:r>
        <w:rPr>
          <w:rFonts w:hint="eastAsia" w:ascii="宋体" w:hAnsi="宋体" w:eastAsia="宋体" w:cs="宋体"/>
          <w:sz w:val="28"/>
          <w:szCs w:val="28"/>
        </w:rPr>
        <w:t>充分借助</w:t>
      </w:r>
      <w:r>
        <w:rPr>
          <w:rFonts w:hint="eastAsia" w:ascii="宋体" w:hAnsi="宋体" w:eastAsia="宋体" w:cs="宋体"/>
          <w:sz w:val="28"/>
          <w:szCs w:val="28"/>
          <w:lang w:eastAsia="zh-CN"/>
        </w:rPr>
        <w:t>陕西省</w:t>
      </w:r>
      <w:r>
        <w:rPr>
          <w:rFonts w:hint="eastAsia" w:ascii="宋体" w:hAnsi="宋体" w:eastAsia="宋体" w:cs="宋体"/>
          <w:sz w:val="28"/>
          <w:szCs w:val="28"/>
        </w:rPr>
        <w:t>建设“</w:t>
      </w:r>
      <w:r>
        <w:rPr>
          <w:rFonts w:hint="eastAsia" w:ascii="宋体" w:hAnsi="宋体" w:eastAsia="宋体" w:cs="宋体"/>
          <w:sz w:val="28"/>
          <w:szCs w:val="28"/>
          <w:lang w:eastAsia="zh-CN"/>
        </w:rPr>
        <w:t>陕西</w:t>
      </w:r>
      <w:r>
        <w:rPr>
          <w:rFonts w:hint="eastAsia" w:ascii="宋体" w:hAnsi="宋体" w:eastAsia="宋体" w:cs="宋体"/>
          <w:sz w:val="28"/>
          <w:szCs w:val="28"/>
        </w:rPr>
        <w:t>工业产品线上博览平台”机遇，积极组织</w:t>
      </w:r>
      <w:r>
        <w:rPr>
          <w:rFonts w:hint="eastAsia" w:ascii="宋体" w:hAnsi="宋体" w:eastAsia="宋体" w:cs="宋体"/>
          <w:sz w:val="28"/>
          <w:szCs w:val="28"/>
          <w:lang w:val="en-US" w:eastAsia="zh-CN"/>
        </w:rPr>
        <w:t>紫阳</w:t>
      </w:r>
      <w:r>
        <w:rPr>
          <w:rFonts w:hint="eastAsia" w:ascii="宋体" w:hAnsi="宋体" w:eastAsia="宋体" w:cs="宋体"/>
          <w:sz w:val="28"/>
          <w:szCs w:val="28"/>
        </w:rPr>
        <w:t>工业企业开展产品线上线下展销推介活动。重点培育一批有效运用电子商务、具有创新发展优势、竞争力强的中小企业，不断提高中小企业与大企业互动创新和协同制造的能力，打造大中小微企业融通发展新局面。</w:t>
      </w:r>
    </w:p>
    <w:p>
      <w:pPr>
        <w:pStyle w:val="5"/>
        <w:bidi w:val="0"/>
        <w:outlineLvl w:val="1"/>
        <w:rPr>
          <w:rFonts w:hint="eastAsia" w:ascii="黑体" w:hAnsi="黑体" w:eastAsia="黑体" w:cs="黑体"/>
          <w:sz w:val="30"/>
          <w:szCs w:val="30"/>
          <w:lang w:val="en-US" w:eastAsia="zh-CN"/>
        </w:rPr>
      </w:pPr>
      <w:bookmarkStart w:id="297" w:name="_Toc9409"/>
      <w:bookmarkStart w:id="298" w:name="_Toc29516"/>
      <w:bookmarkStart w:id="299" w:name="_Toc31713"/>
      <w:bookmarkStart w:id="300" w:name="_Toc11154"/>
      <w:bookmarkStart w:id="301" w:name="_Toc8658"/>
      <w:bookmarkStart w:id="302" w:name="_Toc14866"/>
      <w:bookmarkStart w:id="303" w:name="_Toc22595"/>
      <w:r>
        <w:rPr>
          <w:rFonts w:hint="eastAsia" w:ascii="黑体" w:hAnsi="黑体" w:eastAsia="黑体" w:cs="黑体"/>
          <w:sz w:val="30"/>
          <w:szCs w:val="30"/>
          <w:lang w:val="en-US" w:eastAsia="zh-CN"/>
        </w:rPr>
        <w:t>8.4 推动建筑与装饰类企业数字化转型升级</w:t>
      </w:r>
      <w:bookmarkEnd w:id="297"/>
      <w:bookmarkEnd w:id="298"/>
      <w:bookmarkEnd w:id="299"/>
      <w:bookmarkEnd w:id="300"/>
      <w:bookmarkEnd w:id="301"/>
      <w:bookmarkEnd w:id="302"/>
      <w:bookmarkEnd w:id="303"/>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建筑与装饰业是劳动密集型产业，对从业人员的特殊技能要求不高，通过短期培训就可以上岗工作，为此应大力发展与支持。紫阳外出务工人员至少超过六万人，有相当外出务工者从事建筑施工，可以建立紫阳外出务工人员职业技能数据库，同步统计与跟踪建筑与装修从业人员的工作状态，紫阳县境内的建筑总承包企业与建筑劳务分包企业应信息共享，通过灵活就业模式高效率解决就业，也为当地建筑业装饰业施工企业提供强大的人力资源，对建筑与装饰业的设计业务可以通过网络外包模式，通过合约从外地引入高技术人才</w:t>
      </w:r>
      <w:r>
        <w:rPr>
          <w:rFonts w:hint="eastAsia" w:ascii="宋体" w:hAnsi="宋体" w:eastAsia="宋体" w:cs="宋体"/>
          <w:sz w:val="28"/>
          <w:szCs w:val="28"/>
        </w:rPr>
        <w:t>，</w:t>
      </w:r>
      <w:r>
        <w:rPr>
          <w:rFonts w:hint="eastAsia" w:ascii="宋体" w:hAnsi="宋体" w:eastAsia="宋体" w:cs="宋体"/>
          <w:sz w:val="28"/>
          <w:szCs w:val="28"/>
          <w:lang w:val="en-US" w:eastAsia="zh-CN"/>
        </w:rPr>
        <w:t>对注册地在紫阳的信息化程度高的建筑与装修企业，政府在项目招标上可以给予优惠。</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通过移动互联网技术，可以打通建筑与装饰企业、从业人员、项目等信息屏障，在统一信息平台上高效进行企业与劳动者的双向选择，降低传统企业交易成本，减少务工人员不必要的求职花费</w:t>
      </w:r>
      <w:r>
        <w:rPr>
          <w:rFonts w:hint="eastAsia" w:ascii="宋体" w:hAnsi="宋体" w:eastAsia="宋体" w:cs="宋体"/>
          <w:sz w:val="28"/>
          <w:szCs w:val="28"/>
        </w:rPr>
        <w:t>。</w:t>
      </w:r>
    </w:p>
    <w:p>
      <w:pPr>
        <w:pStyle w:val="5"/>
        <w:keepNext w:val="0"/>
        <w:keepLines w:val="0"/>
        <w:widowControl/>
        <w:suppressLineNumbers w:val="0"/>
        <w:spacing w:line="420" w:lineRule="atLeast"/>
        <w:ind w:left="0" w:firstLine="0"/>
        <w:jc w:val="both"/>
        <w:outlineLvl w:val="1"/>
        <w:rPr>
          <w:rFonts w:hint="eastAsia" w:ascii="黑体" w:hAnsi="黑体" w:eastAsia="黑体" w:cs="黑体"/>
          <w:sz w:val="30"/>
          <w:szCs w:val="30"/>
          <w:lang w:val="en-US" w:eastAsia="zh-CN"/>
        </w:rPr>
      </w:pPr>
      <w:bookmarkStart w:id="304" w:name="_Toc7862"/>
      <w:bookmarkStart w:id="305" w:name="_Toc19389"/>
      <w:r>
        <w:rPr>
          <w:rFonts w:hint="eastAsia" w:ascii="黑体" w:hAnsi="黑体" w:eastAsia="黑体" w:cs="黑体"/>
          <w:sz w:val="30"/>
          <w:szCs w:val="30"/>
          <w:lang w:val="en-US" w:eastAsia="zh-CN"/>
        </w:rPr>
        <w:t>8.5加强毛绒玩具产业的发展</w:t>
      </w:r>
      <w:bookmarkEnd w:id="304"/>
      <w:bookmarkEnd w:id="305"/>
    </w:p>
    <w:p>
      <w:pPr>
        <w:keepNext w:val="0"/>
        <w:keepLines w:val="0"/>
        <w:widowControl w:val="0"/>
        <w:suppressLineNumbers w:val="0"/>
        <w:adjustRightInd/>
        <w:snapToGrid/>
        <w:spacing w:before="0" w:beforeAutospacing="0" w:after="0" w:afterAutospacing="0" w:line="360" w:lineRule="auto"/>
        <w:ind w:left="0" w:right="0" w:firstLine="560" w:firstLineChars="200"/>
        <w:jc w:val="both"/>
        <w:rPr>
          <w:rFonts w:hint="default" w:ascii="宋体" w:hAnsi="宋体" w:eastAsia="宋体" w:cs="宋体"/>
          <w:color w:val="000000" w:themeColor="text1"/>
          <w:sz w:val="28"/>
          <w:szCs w:val="28"/>
          <w:shd w:val="clear" w:color="auto" w:fill="FFFFFF"/>
          <w:lang w:eastAsia="zh-CN" w:bidi="ar-SA"/>
          <w14:textFill>
            <w14:solidFill>
              <w14:schemeClr w14:val="tx1"/>
            </w14:solidFill>
          </w14:textFill>
        </w:rPr>
      </w:pPr>
      <w:r>
        <w:rPr>
          <w:rFonts w:hint="default" w:ascii="宋体" w:hAnsi="宋体" w:eastAsia="宋体" w:cs="宋体"/>
          <w:color w:val="000000" w:themeColor="text1"/>
          <w:spacing w:val="0"/>
          <w:sz w:val="28"/>
          <w:szCs w:val="28"/>
          <w:shd w:val="clear" w:color="auto" w:fill="FFFFFF"/>
          <w:lang w:bidi="ar-SA"/>
          <w14:textFill>
            <w14:solidFill>
              <w14:schemeClr w14:val="tx1"/>
            </w14:solidFill>
          </w14:textFill>
        </w:rPr>
        <w:t>毛绒玩具文创产业生产工艺简单、能耗污染小、入职门槛低、就业容量大、市场前景好，符合紫阳经济社会发展方向，符合产业就业扶贫方向，也符合国家东部产业转移发展方向</w:t>
      </w:r>
      <w:r>
        <w:rPr>
          <w:rFonts w:hint="default" w:ascii="宋体" w:hAnsi="宋体" w:eastAsia="宋体" w:cs="宋体"/>
          <w:color w:val="000000" w:themeColor="text1"/>
          <w:spacing w:val="0"/>
          <w:sz w:val="28"/>
          <w:szCs w:val="28"/>
          <w:shd w:val="clear" w:color="auto" w:fill="FFFFFF"/>
          <w:lang w:eastAsia="zh-CN" w:bidi="ar-SA"/>
          <w14:textFill>
            <w14:solidFill>
              <w14:schemeClr w14:val="tx1"/>
            </w14:solidFill>
          </w14:textFill>
        </w:rPr>
        <w:t>，所以应</w:t>
      </w:r>
      <w:r>
        <w:rPr>
          <w:rFonts w:hint="default" w:ascii="宋体" w:hAnsi="宋体" w:eastAsia="宋体" w:cs="宋体"/>
          <w:color w:val="000000" w:themeColor="text1"/>
          <w:sz w:val="28"/>
          <w:szCs w:val="28"/>
          <w:shd w:val="clear" w:color="auto" w:fill="FFFFFF"/>
          <w:lang w:bidi="ar-SA"/>
          <w14:textFill>
            <w14:solidFill>
              <w14:schemeClr w14:val="tx1"/>
            </w14:solidFill>
          </w14:textFill>
        </w:rPr>
        <w:t>抓住东部产业转移和苏陕协作契机，科学规划布局，创新政策支持，完善体制机制，激发发展活力，促进毛绒玩具文创产业总量增加、领域拓宽、功能增强、水平提高，努力构建竞争力强、特色鲜明、效应明显、布局合理的产业体系，</w:t>
      </w:r>
      <w:r>
        <w:rPr>
          <w:rFonts w:hint="eastAsia" w:ascii="宋体" w:hAnsi="宋体" w:eastAsia="宋体" w:cs="宋体"/>
          <w:color w:val="000000" w:themeColor="text1"/>
          <w:sz w:val="28"/>
          <w:szCs w:val="28"/>
          <w:shd w:val="clear" w:color="auto" w:fill="FFFFFF"/>
          <w:lang w:bidi="ar-SA"/>
          <w14:textFill>
            <w14:solidFill>
              <w14:schemeClr w14:val="tx1"/>
            </w14:solidFill>
          </w14:textFill>
        </w:rPr>
        <w:t>对毛绒玩具进行升级改造，提升产品附加值，提高产品竞争力</w:t>
      </w:r>
      <w:r>
        <w:rPr>
          <w:rFonts w:hint="default" w:ascii="宋体" w:hAnsi="宋体" w:eastAsia="宋体" w:cs="宋体"/>
          <w:color w:val="000000" w:themeColor="text1"/>
          <w:sz w:val="28"/>
          <w:szCs w:val="28"/>
          <w:shd w:val="clear" w:color="auto" w:fill="FFFFFF"/>
          <w:lang w:eastAsia="zh-CN" w:bidi="ar-SA"/>
          <w14:textFill>
            <w14:solidFill>
              <w14:schemeClr w14:val="tx1"/>
            </w14:solidFill>
          </w14:textFill>
        </w:rPr>
        <w:t>，带动就业</w:t>
      </w:r>
      <w:r>
        <w:rPr>
          <w:rFonts w:hint="default" w:ascii="宋体" w:hAnsi="宋体" w:eastAsia="宋体" w:cs="宋体"/>
          <w:b w:val="0"/>
          <w:bCs w:val="0"/>
          <w:color w:val="000000" w:themeColor="text1"/>
          <w:sz w:val="28"/>
          <w:szCs w:val="28"/>
          <w:shd w:val="clear" w:color="auto" w:fill="FFFFFF"/>
          <w:lang w:eastAsia="zh-CN" w:bidi="ar-SA"/>
          <w14:textFill>
            <w14:solidFill>
              <w14:schemeClr w14:val="tx1"/>
            </w14:solidFill>
          </w14:textFill>
        </w:rPr>
        <w:t>，同时</w:t>
      </w:r>
      <w:r>
        <w:rPr>
          <w:rFonts w:hint="default" w:ascii="宋体" w:hAnsi="宋体" w:eastAsia="宋体" w:cs="宋体"/>
          <w:bCs w:val="0"/>
          <w:color w:val="000000" w:themeColor="text1"/>
          <w:sz w:val="28"/>
          <w:szCs w:val="28"/>
          <w:shd w:val="clear" w:color="auto" w:fill="FFFFFF"/>
          <w14:textFill>
            <w14:solidFill>
              <w14:schemeClr w14:val="tx1"/>
            </w14:solidFill>
          </w14:textFill>
        </w:rPr>
        <w:t>明确企业总部在园区，加工在社区，实行企业跟着订单走，机器跟着劳力去。</w:t>
      </w:r>
    </w:p>
    <w:p>
      <w:pPr>
        <w:pageBreakBefore w:val="0"/>
        <w:widowControl w:val="0"/>
        <w:kinsoku/>
        <w:wordWrap/>
        <w:overflowPunct/>
        <w:topLinePunct w:val="0"/>
        <w:autoSpaceDE/>
        <w:autoSpaceDN/>
        <w:bidi w:val="0"/>
        <w:adjustRightInd/>
        <w:snapToGrid/>
        <w:spacing w:before="200" w:after="80" w:line="360" w:lineRule="auto"/>
        <w:ind w:firstLine="0" w:firstLineChars="0"/>
        <w:jc w:val="both"/>
        <w:textAlignment w:val="auto"/>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lang w:val="en-US" w:eastAsia="zh-CN"/>
          <w14:textFill>
            <w14:solidFill>
              <w14:schemeClr w14:val="tx1"/>
            </w14:solidFill>
          </w14:textFill>
        </w:rPr>
        <w:t>8.5.1</w:t>
      </w:r>
      <w:r>
        <w:rPr>
          <w:rFonts w:hint="eastAsia" w:ascii="宋体" w:hAnsi="宋体" w:eastAsia="宋体" w:cs="宋体"/>
          <w:b/>
          <w:bCs/>
          <w:color w:val="000000" w:themeColor="text1"/>
          <w:sz w:val="28"/>
          <w:szCs w:val="28"/>
          <w:shd w:val="clear" w:color="auto" w:fill="FFFFFF"/>
          <w:lang w:eastAsia="zh-CN"/>
          <w14:textFill>
            <w14:solidFill>
              <w14:schemeClr w14:val="tx1"/>
            </w14:solidFill>
          </w14:textFill>
        </w:rPr>
        <w:t>完善</w:t>
      </w:r>
      <w:r>
        <w:rPr>
          <w:rFonts w:hint="eastAsia" w:ascii="宋体" w:hAnsi="宋体" w:eastAsia="宋体" w:cs="宋体"/>
          <w:b/>
          <w:bCs/>
          <w:color w:val="000000" w:themeColor="text1"/>
          <w:sz w:val="28"/>
          <w:szCs w:val="28"/>
          <w:shd w:val="clear" w:color="auto" w:fill="FFFFFF"/>
          <w14:textFill>
            <w14:solidFill>
              <w14:schemeClr w14:val="tx1"/>
            </w14:solidFill>
          </w14:textFill>
        </w:rPr>
        <w:t>基础设施配套</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加快标准化厂房建设。</w:t>
      </w:r>
      <w:r>
        <w:rPr>
          <w:rFonts w:hint="eastAsia" w:ascii="宋体" w:hAnsi="宋体" w:eastAsia="宋体" w:cs="宋体"/>
          <w:color w:val="000000" w:themeColor="text1"/>
          <w:sz w:val="28"/>
          <w:szCs w:val="28"/>
          <w:shd w:val="clear" w:color="auto" w:fill="FFFFFF"/>
          <w14:textFill>
            <w14:solidFill>
              <w14:schemeClr w14:val="tx1"/>
            </w14:solidFill>
          </w14:textFill>
        </w:rPr>
        <w:t>根据市政府关于标准化厂房建设任务部署与安排，按照通用性、配套性、集约性的要求，对移民搬迁社区规模在300户以上的，在社区内或周边一平方公里之内建设标准化厂房；每个标准化厂房的面积不低于2000平方米。</w:t>
      </w:r>
    </w:p>
    <w:p>
      <w:pPr>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推进新社区工厂建设。</w:t>
      </w:r>
      <w:r>
        <w:rPr>
          <w:rFonts w:hint="eastAsia" w:ascii="宋体" w:hAnsi="宋体" w:eastAsia="宋体" w:cs="宋体"/>
          <w:color w:val="000000" w:themeColor="text1"/>
          <w:sz w:val="28"/>
          <w:szCs w:val="28"/>
          <w:shd w:val="clear" w:color="auto" w:fill="FFFFFF"/>
          <w14:textFill>
            <w14:solidFill>
              <w14:schemeClr w14:val="tx1"/>
            </w14:solidFill>
          </w14:textFill>
        </w:rPr>
        <w:t>参照《安康市地方标准—安康市新社区工厂（DB 6109/T276—2018）》，按照“总体布局、一次规划、分年实施”的原则，做好新社区工厂的厂房布局选址、设计规划、报建审批、招标建设。对移民搬迁社区规模100户以上的，每个社区至少建成1个新社区工厂，实现新社区工厂全覆盖</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因地制宜，改建、扩建加工车间。</w:t>
      </w:r>
      <w:r>
        <w:rPr>
          <w:rFonts w:hint="eastAsia" w:ascii="宋体" w:hAnsi="宋体" w:eastAsia="宋体" w:cs="宋体"/>
          <w:color w:val="000000" w:themeColor="text1"/>
          <w:sz w:val="28"/>
          <w:szCs w:val="28"/>
          <w:shd w:val="clear" w:color="auto" w:fill="FFFFFF"/>
          <w14:textFill>
            <w14:solidFill>
              <w14:schemeClr w14:val="tx1"/>
            </w14:solidFill>
          </w14:textFill>
        </w:rPr>
        <w:t>充分利用移民搬迁社区配建的商业用房、集镇街道和社区空置门店、老厂房、旧学校、旧办公楼等闲置土地、房屋，引导、鼓励创办生产加工型工厂（分厂）或加工车间，按照企业生产要求配套公共设施。</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完善消防设备，配套公共设施。</w:t>
      </w:r>
      <w:r>
        <w:rPr>
          <w:rFonts w:hint="eastAsia" w:ascii="宋体" w:hAnsi="宋体" w:eastAsia="宋体" w:cs="宋体"/>
          <w:color w:val="000000" w:themeColor="text1"/>
          <w:sz w:val="28"/>
          <w:szCs w:val="28"/>
          <w:shd w:val="clear" w:color="auto" w:fill="FFFFFF"/>
          <w14:textFill>
            <w14:solidFill>
              <w14:schemeClr w14:val="tx1"/>
            </w14:solidFill>
          </w14:textFill>
        </w:rPr>
        <w:t>所有标准化厂房、建社区工厂、加工车间，必须配套建设消防设施和微型消防站，要建设要进行简易装修，水、电、道路、通讯等基础设施要配套到位，保证正常生产。每个社区工厂（加工车间）必须配套建设儿童托管中心、老人日间照料中心、青年志愿者服务等，切实解决新社区工厂员工的老人照料、小孩接送等问题，解决工人后顾之忧。</w:t>
      </w:r>
    </w:p>
    <w:p>
      <w:pPr>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大力发展多式联运，打造物流集散枢纽。</w:t>
      </w:r>
      <w:r>
        <w:rPr>
          <w:rFonts w:hint="eastAsia" w:ascii="宋体" w:hAnsi="宋体" w:eastAsia="宋体" w:cs="宋体"/>
          <w:color w:val="000000" w:themeColor="text1"/>
          <w:sz w:val="28"/>
          <w:szCs w:val="28"/>
          <w:shd w:val="clear" w:color="auto" w:fill="FFFFFF"/>
          <w14:textFill>
            <w14:solidFill>
              <w14:schemeClr w14:val="tx1"/>
            </w14:solidFill>
          </w14:textFill>
        </w:rPr>
        <w:t>推动公路等运输方式进企业、进园区、进市场。大力发展“公铁水联运”模式，支持本地物流企业、物流园区对接毛绒玩具企业开展专线运输、物流仓储、原料采购等服务。支持建立行业物流数据中心，深入分析物流运行情况，引导物流企业降低物流成本。</w:t>
      </w:r>
    </w:p>
    <w:p>
      <w:pPr>
        <w:rPr>
          <w:rFonts w:hint="eastAsia" w:ascii="宋体" w:hAnsi="宋体" w:eastAsia="宋体" w:cs="宋体"/>
          <w:b/>
          <w:bCs w:val="0"/>
          <w:sz w:val="28"/>
          <w:szCs w:val="22"/>
        </w:rPr>
      </w:pPr>
      <w:bookmarkStart w:id="306" w:name="_Toc7270807"/>
      <w:bookmarkStart w:id="307" w:name="_Toc9674871"/>
      <w:bookmarkStart w:id="308" w:name="_Toc7209705"/>
      <w:bookmarkStart w:id="309" w:name="_Toc18287630"/>
      <w:r>
        <w:rPr>
          <w:rFonts w:hint="eastAsia" w:ascii="宋体" w:hAnsi="宋体" w:eastAsia="宋体" w:cs="宋体"/>
          <w:b/>
          <w:bCs w:val="0"/>
          <w:sz w:val="28"/>
          <w:szCs w:val="22"/>
          <w:lang w:val="en-US" w:eastAsia="zh-CN"/>
        </w:rPr>
        <w:t>8.5.2创新</w:t>
      </w:r>
      <w:r>
        <w:rPr>
          <w:rFonts w:hint="eastAsia" w:ascii="宋体" w:hAnsi="宋体" w:eastAsia="宋体" w:cs="宋体"/>
          <w:b/>
          <w:bCs w:val="0"/>
          <w:sz w:val="28"/>
          <w:szCs w:val="22"/>
        </w:rPr>
        <w:t>发展模式</w:t>
      </w:r>
      <w:bookmarkEnd w:id="306"/>
      <w:bookmarkEnd w:id="307"/>
      <w:bookmarkEnd w:id="308"/>
      <w:bookmarkEnd w:id="309"/>
    </w:p>
    <w:p>
      <w:pPr>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抢抓东南沿海地区劳动密集型产业向中西部转移和生态友好型产业发展的机遇，按照政府引导、市场引领、就业优先、厂社结合、协同推进工作思路。针对毛绒玩具文创产业的特点，确定了“园区总部+新社区工厂+家庭工坊”的发展模式</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园区总部。</w:t>
      </w:r>
      <w:r>
        <w:rPr>
          <w:rFonts w:hint="eastAsia" w:ascii="宋体" w:hAnsi="宋体" w:eastAsia="宋体" w:cs="宋体"/>
          <w:color w:val="000000" w:themeColor="text1"/>
          <w:sz w:val="28"/>
          <w:szCs w:val="28"/>
          <w:shd w:val="clear" w:color="auto" w:fill="FFFFFF"/>
          <w14:textFill>
            <w14:solidFill>
              <w14:schemeClr w14:val="tx1"/>
            </w14:solidFill>
          </w14:textFill>
        </w:rPr>
        <w:t>按照“以产兴城、以城促产、产城融合”的要求，依托特有的优势资源吸引毛绒玩具文创企业总部集群布局，形成总部集聚效应。引进和培育毛绒玩具文创产业龙头企业，龙头企业带动产业集群和新社区工厂发展。引导毛绒玩具文创产业不断转型升级，推动毛绒玩具文创产业与文化旅游产业融合发展</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新社区工厂。</w:t>
      </w:r>
      <w:r>
        <w:rPr>
          <w:rFonts w:hint="eastAsia" w:ascii="宋体" w:hAnsi="宋体" w:eastAsia="宋体" w:cs="宋体"/>
          <w:color w:val="000000" w:themeColor="text1"/>
          <w:sz w:val="28"/>
          <w:szCs w:val="28"/>
          <w:shd w:val="clear" w:color="auto" w:fill="FFFFFF"/>
          <w14:textFill>
            <w14:solidFill>
              <w14:schemeClr w14:val="tx1"/>
            </w14:solidFill>
          </w14:textFill>
        </w:rPr>
        <w:t>以产业孵化、繁荣经济、解决就业、稳定社会为目标，充分利用社区周边空闲场地、闲置厂房建设独立标准化社区工厂厂房，加快以毛绒玩具产业为重点的新社区工厂建设。实现新社区工厂全覆盖。推进新社区公共服务配套设施建设，打通发展“动脉”</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通过集约化、规范化，打造“筑巢引凤”优质平台。</w:t>
      </w:r>
    </w:p>
    <w:p>
      <w:pPr>
        <w:widowControl w:val="0"/>
        <w:adjustRightInd/>
        <w:snapToGrid/>
        <w:spacing w:line="560" w:lineRule="exact"/>
        <w:ind w:firstLine="641"/>
        <w:jc w:val="both"/>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家庭工坊。</w:t>
      </w:r>
      <w:r>
        <w:rPr>
          <w:rFonts w:hint="eastAsia" w:ascii="宋体" w:hAnsi="宋体" w:eastAsia="宋体" w:cs="宋体"/>
          <w:color w:val="000000" w:themeColor="text1"/>
          <w:sz w:val="28"/>
          <w:szCs w:val="28"/>
          <w:shd w:val="clear" w:color="auto" w:fill="FFFFFF"/>
          <w14:textFill>
            <w14:solidFill>
              <w14:schemeClr w14:val="tx1"/>
            </w14:solidFill>
          </w14:textFill>
        </w:rPr>
        <w:t>结合毛绒玩具加工特点，经过培育典型和实施传帮带相结合，解决村民及留守妇女实现就近就业，引导企业因地制宜，灵活采用家庭工坊的毛绒玩具生产加工方式，开创以毛绒玩具文创产业带动村民就业致富的新模式，实现社会效益与经济效益的双赢。</w:t>
      </w:r>
    </w:p>
    <w:p>
      <w:pPr>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shd w:val="clear" w:color="auto" w:fill="FFFFFF"/>
          <w:lang w:val="en-US" w:eastAsia="zh-CN"/>
          <w14:textFill>
            <w14:solidFill>
              <w14:schemeClr w14:val="tx1"/>
            </w14:solidFill>
          </w14:textFill>
        </w:rPr>
        <w:t>8.5.3</w:t>
      </w:r>
      <w:r>
        <w:rPr>
          <w:rFonts w:hint="eastAsia" w:ascii="宋体" w:hAnsi="宋体" w:eastAsia="宋体" w:cs="宋体"/>
          <w:b/>
          <w:bCs/>
          <w:color w:val="000000" w:themeColor="text1"/>
          <w:sz w:val="28"/>
          <w:szCs w:val="28"/>
          <w:shd w:val="clear" w:color="auto" w:fill="FFFFFF"/>
          <w14:textFill>
            <w14:solidFill>
              <w14:schemeClr w14:val="tx1"/>
            </w14:solidFill>
          </w14:textFill>
        </w:rPr>
        <w:t>推进毛绒玩具产业工人培养计划</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开展毛绒玩具文创产业工人培训，着力培训产业亟需的车缝工、绣花工等，推动农民向产业工人转变。启动毛绒玩具技能大赛，助推优秀技能工人脱颖而出。发挥周边教育资源富集的优势，与大专院校合作建设毛绒文创玩具产业培训基地，开展定向、定岗和订单式培养，以及创新创业培训，引导一批有志之士积极投身毛绒玩具文创产业。</w:t>
      </w:r>
    </w:p>
    <w:p>
      <w:pPr>
        <w:spacing w:line="360" w:lineRule="auto"/>
        <w:ind w:firstLine="0"/>
        <w:rPr>
          <w:rFonts w:hint="eastAsia" w:ascii="宋体" w:hAnsi="宋体" w:eastAsia="宋体" w:cs="宋体"/>
          <w:b/>
          <w:bCs/>
          <w:color w:val="000000" w:themeColor="text1"/>
          <w:sz w:val="28"/>
          <w:szCs w:val="28"/>
          <w:shd w:val="clear" w:color="auto" w:fill="FFFFFF"/>
          <w14:textFill>
            <w14:solidFill>
              <w14:schemeClr w14:val="tx1"/>
            </w14:solidFill>
          </w14:textFill>
        </w:rPr>
      </w:pPr>
      <w:bookmarkStart w:id="310" w:name="_Toc18287640"/>
      <w:bookmarkStart w:id="311" w:name="_Toc12454028"/>
      <w:bookmarkStart w:id="312" w:name="_Toc7081006"/>
      <w:r>
        <w:rPr>
          <w:rFonts w:hint="eastAsia" w:ascii="宋体" w:hAnsi="宋体" w:eastAsia="宋体" w:cs="宋体"/>
          <w:b/>
          <w:bCs/>
          <w:color w:val="000000" w:themeColor="text1"/>
          <w:sz w:val="28"/>
          <w:szCs w:val="28"/>
          <w:shd w:val="clear" w:color="auto" w:fill="FFFFFF"/>
          <w:lang w:val="en-US" w:eastAsia="zh-CN"/>
          <w14:textFill>
            <w14:solidFill>
              <w14:schemeClr w14:val="tx1"/>
            </w14:solidFill>
          </w14:textFill>
        </w:rPr>
        <w:t>8.5.4</w:t>
      </w:r>
      <w:r>
        <w:rPr>
          <w:rFonts w:hint="eastAsia" w:ascii="宋体" w:hAnsi="宋体" w:eastAsia="宋体" w:cs="宋体"/>
          <w:b/>
          <w:bCs/>
          <w:color w:val="000000" w:themeColor="text1"/>
          <w:sz w:val="28"/>
          <w:szCs w:val="28"/>
          <w:shd w:val="clear" w:color="auto" w:fill="FFFFFF"/>
          <w14:textFill>
            <w14:solidFill>
              <w14:schemeClr w14:val="tx1"/>
            </w14:solidFill>
          </w14:textFill>
        </w:rPr>
        <w:t>文化创意提升行动</w:t>
      </w:r>
      <w:bookmarkEnd w:id="310"/>
    </w:p>
    <w:p>
      <w:pPr>
        <w:pStyle w:val="2"/>
        <w:adjustRightInd w:val="0"/>
        <w:snapToGrid w:val="0"/>
        <w:spacing w:before="200" w:after="80" w:line="360" w:lineRule="auto"/>
        <w:ind w:firstLine="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8"/>
          <w:szCs w:val="28"/>
          <w:shd w:val="clear" w:color="auto" w:fill="FFFFFF"/>
          <w:lang w:val="en-US" w:eastAsia="zh-CN"/>
          <w14:textFill>
            <w14:solidFill>
              <w14:schemeClr w14:val="tx1"/>
            </w14:solidFill>
          </w14:textFill>
        </w:rPr>
        <w:t xml:space="preserve">   吸</w:t>
      </w:r>
      <w:r>
        <w:rPr>
          <w:rFonts w:hint="eastAsia" w:ascii="宋体" w:hAnsi="宋体" w:eastAsia="宋体" w:cs="宋体"/>
          <w:b/>
          <w:bCs/>
          <w:color w:val="000000" w:themeColor="text1"/>
          <w:sz w:val="28"/>
          <w:szCs w:val="28"/>
          <w:shd w:val="clear" w:color="auto" w:fill="FFFFFF"/>
          <w14:textFill>
            <w14:solidFill>
              <w14:schemeClr w14:val="tx1"/>
            </w14:solidFill>
          </w14:textFill>
        </w:rPr>
        <w:t>引优秀设计主体。</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利用紫阳天然的环境优势，</w:t>
      </w:r>
      <w:r>
        <w:rPr>
          <w:rFonts w:hint="eastAsia" w:ascii="宋体" w:hAnsi="宋体" w:eastAsia="宋体" w:cs="宋体"/>
          <w:color w:val="000000" w:themeColor="text1"/>
          <w:sz w:val="28"/>
          <w:szCs w:val="28"/>
          <w:shd w:val="clear" w:color="auto" w:fill="FFFFFF"/>
          <w14:textFill>
            <w14:solidFill>
              <w14:schemeClr w14:val="tx1"/>
            </w14:solidFill>
          </w14:textFill>
        </w:rPr>
        <w:t>吸引</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一批</w:t>
      </w:r>
      <w:r>
        <w:rPr>
          <w:rFonts w:hint="eastAsia" w:ascii="宋体" w:hAnsi="宋体" w:eastAsia="宋体" w:cs="宋体"/>
          <w:color w:val="000000" w:themeColor="text1"/>
          <w:sz w:val="28"/>
          <w:szCs w:val="28"/>
          <w:shd w:val="clear" w:color="auto" w:fill="FFFFFF"/>
          <w14:textFill>
            <w14:solidFill>
              <w14:schemeClr w14:val="tx1"/>
            </w14:solidFill>
          </w14:textFill>
        </w:rPr>
        <w:t>玩具造型设计、产品包装设计、品牌形象设计、营销策划设计、衍生品设计</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的团队来紫阳进行创作提供舒适以及悠闲的创作环境。</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p>
    <w:bookmarkEnd w:id="311"/>
    <w:bookmarkEnd w:id="312"/>
    <w:p>
      <w:pPr>
        <w:adjustRightInd/>
        <w:snapToGrid/>
        <w:spacing w:line="560" w:lineRule="exact"/>
        <w:ind w:firstLine="640"/>
        <w:jc w:val="both"/>
        <w:rPr>
          <w:rFonts w:hint="eastAsia" w:ascii="宋体" w:hAnsi="宋体" w:eastAsia="宋体" w:cs="宋体"/>
          <w:color w:val="000000" w:themeColor="text1"/>
          <w:sz w:val="28"/>
          <w:szCs w:val="28"/>
          <w:shd w:val="clear" w:color="auto" w:fill="FFFFFF"/>
          <w14:textFill>
            <w14:solidFill>
              <w14:schemeClr w14:val="tx1"/>
            </w14:solidFill>
          </w14:textFill>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outlineLvl w:val="0"/>
        <w:rPr>
          <w:rFonts w:hint="eastAsia"/>
          <w:lang w:val="en-US" w:eastAsia="zh-CN"/>
        </w:rPr>
      </w:pPr>
      <w:bookmarkStart w:id="313" w:name="_Toc21963"/>
      <w:bookmarkStart w:id="314" w:name="_Toc15237"/>
      <w:bookmarkStart w:id="315" w:name="_Toc13553"/>
      <w:bookmarkStart w:id="316" w:name="_Toc22483"/>
      <w:bookmarkStart w:id="317" w:name="_Toc9545"/>
      <w:bookmarkStart w:id="318" w:name="_Toc14296"/>
      <w:bookmarkStart w:id="319" w:name="_Toc24937"/>
      <w:bookmarkStart w:id="320" w:name="_Toc27263"/>
      <w:r>
        <w:rPr>
          <w:rFonts w:hint="eastAsia"/>
          <w:lang w:val="en-US" w:eastAsia="zh-CN"/>
        </w:rPr>
        <w:t>第九章</w:t>
      </w:r>
      <w:r>
        <w:rPr>
          <w:color w:val="000000"/>
          <w:spacing w:val="0"/>
          <w:w w:val="100"/>
          <w:position w:val="0"/>
        </w:rPr>
        <w:t>推动服务业数字化升级</w:t>
      </w:r>
      <w:bookmarkEnd w:id="313"/>
      <w:bookmarkEnd w:id="314"/>
      <w:bookmarkEnd w:id="315"/>
      <w:bookmarkEnd w:id="316"/>
      <w:bookmarkEnd w:id="317"/>
      <w:bookmarkEnd w:id="318"/>
      <w:bookmarkEnd w:id="319"/>
      <w:bookmarkEnd w:id="320"/>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紫阳虽经济发展落后，但紫阳生态环境优美，利于大力发展康养和旅游产业。外来游客到紫阳当地旅游，康养，将资源优势转化为经济优势，带动当地经济发展。其次提高紫阳的商贸民生产业，加强教育，卫健，物流和社区的基础设施建设，提高居民的生活水平，为数字经济打下坚实的基础。</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按国家国民经济行业分类与代码（GB/4754-2011），服务业产业体系分为15个门类（如</w:t>
      </w:r>
      <w:r>
        <w:rPr>
          <w:rFonts w:hint="eastAsia" w:asciiTheme="minorEastAsia" w:hAnsiTheme="minorEastAsia" w:eastAsiaTheme="minorEastAsia" w:cstheme="minorEastAsia"/>
          <w:b w:val="0"/>
          <w:bCs w:val="0"/>
          <w:color w:val="auto"/>
          <w:kern w:val="0"/>
          <w:sz w:val="28"/>
          <w:szCs w:val="28"/>
          <w:lang w:val="en-US" w:eastAsia="zh-CN" w:bidi="ar-SA"/>
        </w:rPr>
        <w:t>F</w:t>
      </w:r>
      <w:r>
        <w:rPr>
          <w:rFonts w:hint="eastAsia" w:asciiTheme="minorEastAsia" w:hAnsiTheme="minorEastAsia" w:eastAsiaTheme="minorEastAsia" w:cstheme="minorEastAsia"/>
          <w:b w:val="0"/>
          <w:bCs w:val="0"/>
          <w:color w:val="auto"/>
          <w:kern w:val="0"/>
          <w:sz w:val="28"/>
          <w:szCs w:val="28"/>
        </w:rPr>
        <w:t>批发和零售业</w:t>
      </w:r>
      <w:r>
        <w:rPr>
          <w:rFonts w:hint="eastAsia" w:asciiTheme="minorEastAsia" w:hAnsiTheme="minorEastAsia" w:eastAsiaTheme="minorEastAsia" w:cstheme="minorEastAsia"/>
          <w:color w:val="auto"/>
          <w:kern w:val="0"/>
          <w:sz w:val="28"/>
          <w:szCs w:val="28"/>
          <w:lang w:val="en-US" w:eastAsia="zh-CN" w:bidi="ar-SA"/>
        </w:rPr>
        <w:t>、G</w:t>
      </w:r>
      <w:r>
        <w:rPr>
          <w:rFonts w:hint="eastAsia" w:ascii="宋体" w:hAnsi="宋体" w:eastAsia="宋体" w:cs="宋体"/>
          <w:b w:val="0"/>
          <w:bCs w:val="0"/>
          <w:kern w:val="0"/>
          <w:sz w:val="28"/>
          <w:szCs w:val="28"/>
        </w:rPr>
        <w:t>交通运输、仓储和邮政业</w:t>
      </w:r>
      <w:r>
        <w:rPr>
          <w:rFonts w:hint="eastAsia" w:ascii="宋体" w:hAnsi="宋体" w:eastAsia="宋体" w:cs="宋体"/>
          <w:b w:val="0"/>
          <w:bCs w:val="0"/>
          <w:kern w:val="0"/>
          <w:sz w:val="28"/>
          <w:szCs w:val="28"/>
          <w:lang w:eastAsia="zh-CN"/>
        </w:rPr>
        <w:t>等</w:t>
      </w:r>
      <w:r>
        <w:rPr>
          <w:rFonts w:hint="eastAsia" w:asciiTheme="minorEastAsia" w:hAnsiTheme="minorEastAsia" w:eastAsiaTheme="minorEastAsia" w:cstheme="minorEastAsia"/>
          <w:color w:val="auto"/>
          <w:kern w:val="0"/>
          <w:sz w:val="28"/>
          <w:szCs w:val="28"/>
          <w:lang w:val="en-US" w:eastAsia="zh-CN" w:bidi="ar-SA"/>
        </w:rPr>
        <w:t>），48个大类（如51批发</w:t>
      </w:r>
      <w:r>
        <w:rPr>
          <w:rFonts w:hint="eastAsia" w:asciiTheme="minorEastAsia" w:hAnsiTheme="minorEastAsia" w:eastAsiaTheme="minorEastAsia" w:cstheme="minorEastAsia"/>
          <w:b w:val="0"/>
          <w:bCs w:val="0"/>
          <w:color w:val="auto"/>
          <w:kern w:val="0"/>
          <w:sz w:val="28"/>
          <w:szCs w:val="28"/>
        </w:rPr>
        <w:t>业</w:t>
      </w:r>
      <w:r>
        <w:rPr>
          <w:rFonts w:hint="eastAsia" w:asciiTheme="minorEastAsia" w:hAnsiTheme="minorEastAsia" w:eastAsiaTheme="minorEastAsia" w:cstheme="minorEastAsia"/>
          <w:color w:val="auto"/>
          <w:kern w:val="0"/>
          <w:sz w:val="28"/>
          <w:szCs w:val="28"/>
          <w:lang w:val="en-US" w:eastAsia="zh-CN" w:bidi="ar-SA"/>
        </w:rPr>
        <w:t>、52零售业等）；224个中类（如513</w:t>
      </w:r>
      <w:r>
        <w:rPr>
          <w:rFonts w:hint="eastAsia" w:asciiTheme="minorEastAsia" w:hAnsiTheme="minorEastAsia" w:eastAsiaTheme="minorEastAsia" w:cstheme="minorEastAsia"/>
          <w:kern w:val="0"/>
          <w:sz w:val="28"/>
          <w:szCs w:val="28"/>
        </w:rPr>
        <w:t>纺织、服装及家庭用品批发</w:t>
      </w:r>
      <w:r>
        <w:rPr>
          <w:rFonts w:hint="eastAsia" w:asciiTheme="minorEastAsia" w:hAnsiTheme="minorEastAsia" w:eastAsiaTheme="minorEastAsia" w:cstheme="minorEastAsia"/>
          <w:color w:val="auto"/>
          <w:kern w:val="0"/>
          <w:sz w:val="28"/>
          <w:szCs w:val="28"/>
          <w:lang w:val="en-US" w:eastAsia="zh-CN" w:bidi="ar-SA"/>
        </w:rPr>
        <w:t>、521</w:t>
      </w:r>
      <w:r>
        <w:rPr>
          <w:rFonts w:hint="eastAsia" w:asciiTheme="minorEastAsia" w:hAnsiTheme="minorEastAsia" w:eastAsiaTheme="minorEastAsia" w:cstheme="minorEastAsia"/>
          <w:kern w:val="0"/>
          <w:sz w:val="28"/>
          <w:szCs w:val="28"/>
        </w:rPr>
        <w:t>综合零售</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541</w:t>
      </w:r>
      <w:r>
        <w:rPr>
          <w:rFonts w:hint="eastAsia" w:asciiTheme="minorEastAsia" w:hAnsiTheme="minorEastAsia" w:eastAsiaTheme="minorEastAsia" w:cstheme="minorEastAsia"/>
          <w:kern w:val="0"/>
          <w:sz w:val="28"/>
          <w:szCs w:val="28"/>
        </w:rPr>
        <w:t>城市公共交通运输</w:t>
      </w:r>
      <w:r>
        <w:rPr>
          <w:rFonts w:hint="eastAsia" w:asciiTheme="minorEastAsia" w:hAnsiTheme="minorEastAsia" w:eastAsiaTheme="minorEastAsia" w:cstheme="minorEastAsia"/>
          <w:kern w:val="0"/>
          <w:sz w:val="28"/>
          <w:szCs w:val="28"/>
          <w:lang w:val="en-US" w:eastAsia="zh-CN"/>
        </w:rPr>
        <w:t>等</w:t>
      </w:r>
      <w:r>
        <w:rPr>
          <w:rFonts w:hint="eastAsia" w:asciiTheme="minorEastAsia" w:hAnsiTheme="minorEastAsia" w:eastAsiaTheme="minorEastAsia" w:cstheme="minorEastAsia"/>
          <w:color w:val="auto"/>
          <w:kern w:val="0"/>
          <w:sz w:val="28"/>
          <w:szCs w:val="28"/>
          <w:lang w:val="en-US" w:eastAsia="zh-CN" w:bidi="ar-SA"/>
        </w:rPr>
        <w:t>），376个小类（如5111谷物，豆及薯类批发、5112种子批发等）为分类最多的产业。</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紫阳可以发展的第三产业详细分类体系请参见附录《紫阳县国民经济产业分类及代码》。</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一般而言服务业是本地化服务的，可以解决不同文化层次的人员就业，而且就业时间、就业场所、就业方式、就业报酬均可以灵活多样，这是未来应该大力发展与支持的，对提高紫阳的GDP产值、增加税收、提高人均可支配收入进而拉动消费，服务业功不可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目前来看，数字技术在服务业的应用是最广泛，这也是数字经济近年来在GDP占比不断提高的真实体现，而且由于门槛较低使用量庞大，人民群众已普遍接受，如淘宝、拼多多、京东商城、支付宝、微信与微信支付、美团、滴滴出行、百度搜索与导航、抖音、快手、12306网上订票系统、新冠疫情的出行追溯系统等极大了便利了政府的管理与人民生活，人民已深切体会到数字经济的好处。服务业是一个庞杂的混合</w:t>
      </w: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HYPERLINK "https://baike.sogou.com/lemma/ShowInnerLink.htm?lemmaId=283194&amp;ss_c=ssc.citiao.link" \t "https://baike.sogou.com/_blank"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产业群</w:t>
      </w:r>
      <w:r>
        <w:rPr>
          <w:rFonts w:hint="eastAsia" w:asciiTheme="minorEastAsia" w:hAnsiTheme="minorEastAsia" w:eastAsiaTheme="minorEastAsia" w:cstheme="minorEastAsia"/>
          <w:kern w:val="0"/>
          <w:sz w:val="28"/>
          <w:szCs w:val="28"/>
          <w:lang w:val="en-US" w:eastAsia="zh-CN" w:bidi="ar-SA"/>
        </w:rPr>
        <w:fldChar w:fldCharType="end"/>
      </w:r>
      <w:r>
        <w:rPr>
          <w:rFonts w:hint="eastAsia" w:asciiTheme="minorEastAsia" w:hAnsiTheme="minorEastAsia" w:eastAsiaTheme="minorEastAsia" w:cstheme="minorEastAsia"/>
          <w:kern w:val="0"/>
          <w:sz w:val="28"/>
          <w:szCs w:val="28"/>
          <w:lang w:val="en-US" w:eastAsia="zh-CN" w:bidi="ar-SA"/>
        </w:rPr>
        <w:t>，根据行业的性质、特点、在国民经济中的地位作用及其经营管理、盈利水平等因素，采取区别对待、分类指导的原则。其中，应特别注意盈利性和非盈利部门、</w:t>
      </w: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HYPERLINK "https://baike.sogou.com/lemma/ShowInnerLink.htm?lemmaId=174080139&amp;ss_c=ssc.citiao.link" \t "https://baike.sogou.com/_blank"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基础性产业</w:t>
      </w:r>
      <w:r>
        <w:rPr>
          <w:rFonts w:hint="eastAsia" w:asciiTheme="minorEastAsia" w:hAnsiTheme="minorEastAsia" w:eastAsiaTheme="minorEastAsia" w:cstheme="minorEastAsia"/>
          <w:kern w:val="0"/>
          <w:sz w:val="28"/>
          <w:szCs w:val="28"/>
          <w:lang w:val="en-US" w:eastAsia="zh-CN" w:bidi="ar-SA"/>
        </w:rPr>
        <w:fldChar w:fldCharType="end"/>
      </w:r>
      <w:r>
        <w:rPr>
          <w:rFonts w:hint="eastAsia" w:asciiTheme="minorEastAsia" w:hAnsiTheme="minorEastAsia" w:eastAsiaTheme="minorEastAsia" w:cstheme="minorEastAsia"/>
          <w:kern w:val="0"/>
          <w:sz w:val="28"/>
          <w:szCs w:val="28"/>
          <w:lang w:val="en-US" w:eastAsia="zh-CN" w:bidi="ar-SA"/>
        </w:rPr>
        <w:t>和竞争性产业部门、全额拨款和</w:t>
      </w:r>
      <w:r>
        <w:rPr>
          <w:rFonts w:hint="eastAsia" w:asciiTheme="minorEastAsia" w:hAnsiTheme="minorEastAsia" w:eastAsiaTheme="minorEastAsia" w:cstheme="minorEastAsia"/>
          <w:kern w:val="0"/>
          <w:sz w:val="28"/>
          <w:szCs w:val="28"/>
          <w:lang w:val="en-US" w:eastAsia="zh-CN" w:bidi="ar-SA"/>
        </w:rPr>
        <w:fldChar w:fldCharType="begin"/>
      </w:r>
      <w:r>
        <w:rPr>
          <w:rFonts w:hint="eastAsia" w:asciiTheme="minorEastAsia" w:hAnsiTheme="minorEastAsia" w:eastAsiaTheme="minorEastAsia" w:cstheme="minorEastAsia"/>
          <w:kern w:val="0"/>
          <w:sz w:val="28"/>
          <w:szCs w:val="28"/>
          <w:lang w:val="en-US" w:eastAsia="zh-CN" w:bidi="ar-SA"/>
        </w:rPr>
        <w:instrText xml:space="preserve"> HYPERLINK "https://baike.sogou.com/lemma/ShowInnerLink.htm?lemmaId=7927734&amp;ss_c=ssc.citiao.link" \t "https://baike.sogou.com/_blank" </w:instrText>
      </w:r>
      <w:r>
        <w:rPr>
          <w:rFonts w:hint="eastAsia" w:asciiTheme="minorEastAsia" w:hAnsiTheme="minorEastAsia" w:eastAsiaTheme="minorEastAsia" w:cstheme="minorEastAsia"/>
          <w:kern w:val="0"/>
          <w:sz w:val="28"/>
          <w:szCs w:val="28"/>
          <w:lang w:val="en-US" w:eastAsia="zh-CN" w:bidi="ar-SA"/>
        </w:rPr>
        <w:fldChar w:fldCharType="separate"/>
      </w:r>
      <w:r>
        <w:rPr>
          <w:rFonts w:hint="eastAsia" w:asciiTheme="minorEastAsia" w:hAnsiTheme="minorEastAsia" w:eastAsiaTheme="minorEastAsia" w:cstheme="minorEastAsia"/>
          <w:kern w:val="0"/>
          <w:sz w:val="28"/>
          <w:szCs w:val="28"/>
          <w:lang w:val="en-US" w:eastAsia="zh-CN" w:bidi="ar-SA"/>
        </w:rPr>
        <w:t>差额拨款</w:t>
      </w:r>
      <w:r>
        <w:rPr>
          <w:rFonts w:hint="eastAsia" w:asciiTheme="minorEastAsia" w:hAnsiTheme="minorEastAsia" w:eastAsiaTheme="minorEastAsia" w:cstheme="minorEastAsia"/>
          <w:kern w:val="0"/>
          <w:sz w:val="28"/>
          <w:szCs w:val="28"/>
          <w:lang w:val="en-US" w:eastAsia="zh-CN" w:bidi="ar-SA"/>
        </w:rPr>
        <w:fldChar w:fldCharType="end"/>
      </w:r>
      <w:r>
        <w:rPr>
          <w:rFonts w:hint="eastAsia" w:asciiTheme="minorEastAsia" w:hAnsiTheme="minorEastAsia" w:eastAsiaTheme="minorEastAsia" w:cstheme="minorEastAsia"/>
          <w:kern w:val="0"/>
          <w:sz w:val="28"/>
          <w:szCs w:val="28"/>
          <w:lang w:val="en-US" w:eastAsia="zh-CN" w:bidi="ar-SA"/>
        </w:rPr>
        <w:t>单位等方面的差异，采取不同的政策导向。科学地确定第三产业的行业发展重点和优先顺序，并从区位条件、自然人文景观、商品经济发展程度、经营人才素质等方面综合第三产业中的行业区域比较优势，寻找和培养那些具有现实优势和潜在优势的行业作为发展重点。</w:t>
      </w:r>
    </w:p>
    <w:p>
      <w:pPr>
        <w:pStyle w:val="5"/>
        <w:ind w:firstLine="0"/>
        <w:outlineLvl w:val="1"/>
        <w:rPr>
          <w:rFonts w:hint="eastAsia" w:ascii="黑体" w:hAnsi="黑体" w:eastAsia="黑体" w:cs="黑体"/>
          <w:color w:val="000000"/>
          <w:sz w:val="30"/>
          <w:szCs w:val="30"/>
          <w:lang w:eastAsia="zh-CN"/>
        </w:rPr>
      </w:pPr>
      <w:bookmarkStart w:id="321" w:name="_Toc10337"/>
      <w:bookmarkStart w:id="322" w:name="_Toc30708"/>
      <w:bookmarkStart w:id="323" w:name="_Toc7375"/>
      <w:bookmarkStart w:id="324" w:name="_Toc8404"/>
      <w:bookmarkStart w:id="325" w:name="_Toc10366"/>
      <w:bookmarkStart w:id="326" w:name="_Toc11540"/>
      <w:r>
        <w:rPr>
          <w:rFonts w:hint="eastAsia" w:ascii="黑体" w:hAnsi="黑体" w:eastAsia="黑体" w:cs="黑体"/>
          <w:color w:val="000000"/>
          <w:sz w:val="30"/>
          <w:szCs w:val="30"/>
          <w:lang w:val="en-US" w:eastAsia="zh-CN"/>
        </w:rPr>
        <w:t>9.1</w:t>
      </w:r>
      <w:r>
        <w:rPr>
          <w:rFonts w:hint="eastAsia" w:ascii="黑体" w:hAnsi="黑体" w:eastAsia="黑体" w:cs="黑体"/>
          <w:color w:val="000000"/>
          <w:sz w:val="30"/>
          <w:szCs w:val="30"/>
        </w:rPr>
        <w:t xml:space="preserve"> </w:t>
      </w:r>
      <w:r>
        <w:rPr>
          <w:rFonts w:hint="eastAsia" w:ascii="黑体" w:hAnsi="黑体" w:eastAsia="黑体" w:cs="黑体"/>
          <w:color w:val="000000"/>
          <w:sz w:val="30"/>
          <w:szCs w:val="30"/>
          <w:lang w:eastAsia="zh-CN"/>
        </w:rPr>
        <w:t>提升</w:t>
      </w:r>
      <w:r>
        <w:rPr>
          <w:rFonts w:hint="eastAsia" w:ascii="黑体" w:hAnsi="黑体" w:eastAsia="黑体" w:cs="黑体"/>
          <w:color w:val="000000"/>
          <w:sz w:val="30"/>
          <w:szCs w:val="30"/>
        </w:rPr>
        <w:t>传统</w:t>
      </w:r>
      <w:r>
        <w:rPr>
          <w:rFonts w:hint="eastAsia" w:ascii="黑体" w:hAnsi="黑体" w:eastAsia="黑体" w:cs="黑体"/>
          <w:color w:val="000000"/>
          <w:sz w:val="30"/>
          <w:szCs w:val="30"/>
          <w:lang w:eastAsia="zh-CN"/>
        </w:rPr>
        <w:t>服务业的数字化水平</w:t>
      </w:r>
      <w:bookmarkEnd w:id="321"/>
      <w:bookmarkEnd w:id="322"/>
      <w:bookmarkEnd w:id="323"/>
      <w:bookmarkEnd w:id="324"/>
      <w:bookmarkEnd w:id="325"/>
      <w:bookmarkEnd w:id="326"/>
    </w:p>
    <w:p>
      <w:pPr>
        <w:pStyle w:val="7"/>
        <w:keepNext w:val="0"/>
        <w:keepLines w:val="0"/>
        <w:widowControl/>
        <w:suppressLineNumbers w:val="0"/>
        <w:spacing w:before="286" w:beforeAutospacing="0" w:after="0" w:afterAutospacing="0" w:line="360" w:lineRule="auto"/>
        <w:ind w:left="0" w:right="0"/>
        <w:rPr>
          <w:rFonts w:hint="eastAsia" w:ascii="宋体" w:hAnsi="宋体" w:eastAsia="宋体" w:cs="宋体"/>
          <w:sz w:val="28"/>
          <w:szCs w:val="28"/>
          <w:lang w:val="en-US" w:eastAsia="zh-CN" w:bidi="ar-SA"/>
        </w:rPr>
      </w:pPr>
      <w:r>
        <w:rPr>
          <w:rFonts w:hint="eastAsia" w:ascii="宋体" w:hAnsi="宋体" w:eastAsia="宋体" w:cs="宋体"/>
          <w:color w:val="000000"/>
          <w:sz w:val="28"/>
          <w:szCs w:val="28"/>
          <w:lang w:bidi="ar-SA"/>
        </w:rPr>
        <w:t>通过培育和完善市场体系建设，餐饮、住宿、批发零售等传统服务业发展较快，正在向经营多元化、服务标准化、档次品牌化方向发展。</w:t>
      </w:r>
      <w:r>
        <w:rPr>
          <w:rFonts w:hint="eastAsia" w:ascii="宋体" w:hAnsi="宋体" w:eastAsia="宋体" w:cs="宋体"/>
          <w:color w:val="000000"/>
          <w:sz w:val="28"/>
          <w:szCs w:val="28"/>
          <w:lang w:eastAsia="zh-CN" w:bidi="ar-SA"/>
        </w:rPr>
        <w:t>对紫阳县传统服务业</w:t>
      </w:r>
      <w:r>
        <w:rPr>
          <w:rFonts w:hint="eastAsia" w:ascii="宋体" w:hAnsi="宋体" w:eastAsia="宋体" w:cs="宋体"/>
          <w:color w:val="000000"/>
          <w:sz w:val="28"/>
          <w:szCs w:val="28"/>
          <w:lang w:bidi="ar-SA"/>
        </w:rPr>
        <w:t>，</w:t>
      </w:r>
      <w:r>
        <w:rPr>
          <w:rFonts w:hint="eastAsia" w:ascii="宋体" w:hAnsi="宋体" w:eastAsia="宋体" w:cs="宋体"/>
          <w:color w:val="000000"/>
          <w:sz w:val="28"/>
          <w:szCs w:val="28"/>
          <w:lang w:eastAsia="zh-CN" w:bidi="ar-SA"/>
        </w:rPr>
        <w:t>通过建立信息化查询系统，对</w:t>
      </w:r>
      <w:r>
        <w:rPr>
          <w:rFonts w:hint="eastAsia" w:ascii="宋体" w:hAnsi="宋体" w:eastAsia="宋体" w:cs="宋体"/>
          <w:i w:val="0"/>
          <w:color w:val="000000"/>
          <w:kern w:val="0"/>
          <w:sz w:val="28"/>
          <w:szCs w:val="28"/>
          <w:u w:val="none"/>
          <w:lang w:val="en-US" w:eastAsia="zh-CN" w:bidi="ar-SA"/>
        </w:rPr>
        <w:t>富有特色的农家乐、野奢、民宿以及文化娱乐场所进行信息化管理，可以利用北斗导航系统进行位置查询，通过信息数据可以获取农家乐、野奢、民宿、批发零售商店以及企业、</w:t>
      </w:r>
      <w:r>
        <w:rPr>
          <w:rFonts w:hint="eastAsia" w:ascii="宋体" w:hAnsi="宋体" w:eastAsia="宋体" w:cs="宋体"/>
          <w:sz w:val="28"/>
          <w:szCs w:val="28"/>
          <w:lang w:bidi="ar-SA"/>
        </w:rPr>
        <w:t>KTV、酒吧，网吧，棋牌室，台球厅</w:t>
      </w:r>
      <w:r>
        <w:rPr>
          <w:rFonts w:hint="eastAsia" w:ascii="宋体" w:hAnsi="宋体" w:eastAsia="宋体" w:cs="宋体"/>
          <w:i w:val="0"/>
          <w:color w:val="000000"/>
          <w:kern w:val="0"/>
          <w:sz w:val="28"/>
          <w:szCs w:val="28"/>
          <w:u w:val="none"/>
          <w:lang w:val="en-US" w:eastAsia="zh-CN" w:bidi="ar-SA"/>
        </w:rPr>
        <w:t>的基础信息介绍以及闲置状态，以便随时预定,其次对紫阳的批发零售业</w:t>
      </w:r>
      <w:r>
        <w:rPr>
          <w:rFonts w:hint="eastAsia" w:ascii="宋体" w:hAnsi="宋体" w:eastAsia="宋体" w:cs="宋体"/>
          <w:color w:val="121212"/>
          <w:sz w:val="28"/>
          <w:szCs w:val="28"/>
          <w:lang w:bidi="ar-SA"/>
        </w:rPr>
        <w:t>，</w:t>
      </w:r>
      <w:r>
        <w:rPr>
          <w:rFonts w:hint="eastAsia" w:ascii="宋体" w:hAnsi="宋体" w:eastAsia="宋体" w:cs="宋体"/>
          <w:color w:val="121212"/>
          <w:sz w:val="28"/>
          <w:szCs w:val="28"/>
          <w:lang w:eastAsia="zh-CN" w:bidi="ar-SA"/>
        </w:rPr>
        <w:t>除了建立能够查询和管控的信息化平台，在批发和销售过程中，可以通过电商的方式进行对商品的批发，同时对于富有特色的批发零售业，也可以在网上进行销售，扩大紫阳零售业的市场范围。</w:t>
      </w:r>
    </w:p>
    <w:p>
      <w:pPr>
        <w:pStyle w:val="5"/>
        <w:ind w:firstLine="0"/>
        <w:outlineLvl w:val="1"/>
        <w:rPr>
          <w:rFonts w:hint="eastAsia" w:ascii="黑体" w:hAnsi="黑体" w:eastAsia="黑体" w:cs="黑体"/>
          <w:sz w:val="30"/>
          <w:szCs w:val="30"/>
        </w:rPr>
      </w:pPr>
      <w:bookmarkStart w:id="327" w:name="_Toc25370"/>
      <w:bookmarkStart w:id="328" w:name="_Toc13576"/>
      <w:bookmarkStart w:id="329" w:name="_Toc30372"/>
      <w:bookmarkStart w:id="330" w:name="_Toc17752"/>
      <w:bookmarkStart w:id="331" w:name="_Toc10161"/>
      <w:bookmarkStart w:id="332" w:name="_Toc13813"/>
      <w:r>
        <w:rPr>
          <w:rFonts w:hint="eastAsia" w:ascii="黑体" w:hAnsi="黑体" w:eastAsia="黑体" w:cs="黑体"/>
          <w:sz w:val="30"/>
          <w:szCs w:val="30"/>
          <w:lang w:val="en-US" w:eastAsia="zh-CN"/>
        </w:rPr>
        <w:t>9.2</w:t>
      </w:r>
      <w:r>
        <w:rPr>
          <w:rFonts w:hint="eastAsia" w:ascii="黑体" w:hAnsi="黑体" w:eastAsia="黑体" w:cs="黑体"/>
          <w:sz w:val="30"/>
          <w:szCs w:val="30"/>
        </w:rPr>
        <w:t xml:space="preserve"> </w:t>
      </w:r>
      <w:r>
        <w:rPr>
          <w:rFonts w:hint="eastAsia" w:ascii="黑体" w:hAnsi="黑体" w:eastAsia="黑体" w:cs="黑体"/>
          <w:sz w:val="30"/>
          <w:szCs w:val="30"/>
          <w:lang w:eastAsia="zh-CN"/>
        </w:rPr>
        <w:t>加强</w:t>
      </w:r>
      <w:r>
        <w:rPr>
          <w:rFonts w:hint="eastAsia" w:ascii="黑体" w:hAnsi="黑体" w:eastAsia="黑体" w:cs="黑体"/>
          <w:sz w:val="30"/>
          <w:szCs w:val="30"/>
        </w:rPr>
        <w:t>现代服务业</w:t>
      </w:r>
      <w:r>
        <w:rPr>
          <w:rFonts w:hint="eastAsia" w:ascii="黑体" w:hAnsi="黑体" w:eastAsia="黑体" w:cs="黑体"/>
          <w:sz w:val="30"/>
          <w:szCs w:val="30"/>
          <w:lang w:eastAsia="zh-CN"/>
        </w:rPr>
        <w:t>的监管水平</w:t>
      </w:r>
      <w:bookmarkEnd w:id="327"/>
      <w:bookmarkEnd w:id="328"/>
      <w:bookmarkEnd w:id="329"/>
      <w:bookmarkEnd w:id="330"/>
      <w:bookmarkEnd w:id="331"/>
      <w:bookmarkEnd w:id="332"/>
    </w:p>
    <w:p>
      <w:pPr>
        <w:pStyle w:val="7"/>
        <w:widowControl/>
        <w:spacing w:after="0" w:line="360" w:lineRule="auto"/>
        <w:ind w:firstLine="66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紫阳县近年来</w:t>
      </w:r>
      <w:r>
        <w:rPr>
          <w:rFonts w:hint="eastAsia" w:ascii="宋体" w:hAnsi="宋体" w:eastAsia="宋体" w:cs="宋体"/>
          <w:sz w:val="28"/>
          <w:szCs w:val="28"/>
        </w:rPr>
        <w:t>信息服务、广告设计、财会服务、现代物流、物业管理、中介服务等现代服务业服务外延不断扩大。</w:t>
      </w:r>
      <w:r>
        <w:rPr>
          <w:rFonts w:hint="eastAsia" w:ascii="宋体" w:hAnsi="宋体" w:eastAsia="宋体" w:cs="宋体"/>
          <w:sz w:val="28"/>
          <w:szCs w:val="28"/>
          <w:lang w:eastAsia="zh-CN"/>
        </w:rPr>
        <w:t>从</w:t>
      </w:r>
      <w:r>
        <w:rPr>
          <w:rFonts w:hint="eastAsia" w:ascii="宋体" w:hAnsi="宋体" w:eastAsia="宋体" w:cs="宋体"/>
          <w:sz w:val="28"/>
          <w:szCs w:val="28"/>
          <w:lang w:val="en-US" w:eastAsia="zh-CN"/>
        </w:rPr>
        <w:t>2019年统计数据来看，</w:t>
      </w:r>
      <w:r>
        <w:rPr>
          <w:rFonts w:hint="eastAsia" w:ascii="宋体" w:hAnsi="宋体" w:eastAsia="宋体" w:cs="宋体"/>
          <w:sz w:val="28"/>
          <w:szCs w:val="28"/>
        </w:rPr>
        <w:t>商务服务业平稳发展。商务服务业规上企业3家，营业收入512.4万元，同比增长37.57%。物业管理业发展空间大。物业管理业规上企业较上年同期营业收入增长10.05%。新兴服务业较快增长。新兴服务业规上企业营业收入886.1万元，同比增长为35.51%</w:t>
      </w:r>
      <w:r>
        <w:rPr>
          <w:rFonts w:hint="eastAsia" w:ascii="宋体" w:hAnsi="宋体" w:eastAsia="宋体" w:cs="宋体"/>
          <w:sz w:val="28"/>
          <w:szCs w:val="28"/>
          <w:lang w:eastAsia="zh-CN"/>
        </w:rPr>
        <w:t>，</w:t>
      </w:r>
      <w:r>
        <w:rPr>
          <w:rFonts w:hint="eastAsia" w:ascii="宋体" w:hAnsi="宋体" w:eastAsia="宋体" w:cs="宋体"/>
          <w:sz w:val="28"/>
          <w:szCs w:val="28"/>
        </w:rPr>
        <w:t>广播、电视、电影和影视录音制作业下降明显。广播、电视、电影和影视录音制作业规上企业营业收入同比下降11.18%</w:t>
      </w:r>
      <w:r>
        <w:rPr>
          <w:rFonts w:hint="eastAsia" w:ascii="宋体" w:hAnsi="宋体" w:eastAsia="宋体" w:cs="宋体"/>
          <w:sz w:val="28"/>
          <w:szCs w:val="28"/>
          <w:lang w:eastAsia="zh-CN"/>
        </w:rPr>
        <w:t>，由于现代</w:t>
      </w:r>
      <w:r>
        <w:rPr>
          <w:rFonts w:hint="eastAsia" w:ascii="宋体" w:hAnsi="宋体" w:eastAsia="宋体" w:cs="宋体"/>
          <w:sz w:val="28"/>
          <w:szCs w:val="28"/>
        </w:rPr>
        <w:t>服务业内部集聚度不高，布局分散，经营主体各自为阵、各自为战，没有形成规模聚集，企业发展后劲、抵御各种市场风险能力有待增强，缺乏大企业、大集团的引领</w:t>
      </w:r>
      <w:r>
        <w:rPr>
          <w:rFonts w:hint="eastAsia" w:ascii="宋体" w:hAnsi="宋体" w:eastAsia="宋体" w:cs="宋体"/>
          <w:sz w:val="28"/>
          <w:szCs w:val="28"/>
          <w:lang w:eastAsia="zh-CN"/>
        </w:rPr>
        <w:t>的因素导致现代服务业发展缓慢，通过建立信息化的管理平台，加强</w:t>
      </w:r>
      <w:r>
        <w:rPr>
          <w:rFonts w:hint="eastAsia" w:ascii="宋体" w:hAnsi="宋体" w:eastAsia="宋体" w:cs="宋体"/>
          <w:sz w:val="28"/>
          <w:szCs w:val="28"/>
          <w:lang w:val="en-US" w:eastAsia="zh-CN"/>
        </w:rPr>
        <w:t>政府对服务业发展信息的全面掌握，加大对规模企业培育力度，明确监管部门，形成一整套监管流程和体系。同时利用紫阳现有的好山好水，吸引一批</w:t>
      </w:r>
      <w:r>
        <w:rPr>
          <w:rFonts w:hint="eastAsia" w:ascii="宋体" w:hAnsi="宋体" w:eastAsia="宋体" w:cs="宋体"/>
          <w:sz w:val="28"/>
          <w:szCs w:val="28"/>
        </w:rPr>
        <w:t>广播、电视、电影和影视录音制作业</w:t>
      </w:r>
      <w:r>
        <w:rPr>
          <w:rFonts w:hint="eastAsia" w:ascii="宋体" w:hAnsi="宋体" w:eastAsia="宋体" w:cs="宋体"/>
          <w:sz w:val="28"/>
          <w:szCs w:val="28"/>
          <w:lang w:eastAsia="zh-CN"/>
        </w:rPr>
        <w:t>者，提高当地的经济收入。</w:t>
      </w:r>
    </w:p>
    <w:p>
      <w:pPr>
        <w:pStyle w:val="9"/>
        <w:widowControl w:val="0"/>
        <w:spacing w:after="0" w:line="36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发展智慧娱乐服务平台。</w:t>
      </w:r>
      <w:r>
        <w:rPr>
          <w:rFonts w:hint="eastAsia" w:ascii="宋体" w:hAnsi="宋体" w:eastAsia="宋体" w:cs="宋体"/>
          <w:sz w:val="28"/>
          <w:szCs w:val="28"/>
        </w:rPr>
        <w:t>推动餐饮、娱乐、家政、票务等生活服务业应用电子商务、社交网络、智能硬件等新技术新业态，促进酒店业、餐饮业、影院及文化旅游机构发展线上线下联动的体验式消费、群体共享式消费、个性需求定制服务等新业态发展。</w:t>
      </w:r>
    </w:p>
    <w:p>
      <w:pPr>
        <w:pStyle w:val="9"/>
        <w:widowControl w:val="0"/>
        <w:spacing w:after="0" w:line="36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打造各类共享服务平台。</w:t>
      </w:r>
      <w:r>
        <w:rPr>
          <w:rFonts w:hint="eastAsia" w:ascii="宋体" w:hAnsi="宋体" w:eastAsia="宋体" w:cs="宋体"/>
          <w:sz w:val="28"/>
          <w:szCs w:val="28"/>
        </w:rPr>
        <w:t>推动共享模式在智能制造、金融租赁等领域应用，开展共享空间进园区计划，实现厂房共享，机器共享等。深入助推闲置资源转化为新的公共设施，创造新价值，实现新发展。</w:t>
      </w:r>
    </w:p>
    <w:p>
      <w:pPr>
        <w:pStyle w:val="5"/>
        <w:bidi w:val="0"/>
        <w:outlineLvl w:val="1"/>
        <w:rPr>
          <w:rFonts w:hint="eastAsia" w:ascii="黑体" w:hAnsi="黑体" w:eastAsia="黑体" w:cs="黑体"/>
          <w:szCs w:val="30"/>
          <w:lang w:val="en-US" w:eastAsia="zh-CN"/>
        </w:rPr>
      </w:pPr>
      <w:bookmarkStart w:id="333" w:name="_Toc28995"/>
      <w:bookmarkStart w:id="334" w:name="_Toc19736"/>
      <w:bookmarkStart w:id="335" w:name="_Toc7245"/>
      <w:bookmarkStart w:id="336" w:name="_Toc15219"/>
      <w:bookmarkStart w:id="337" w:name="_Toc5510"/>
      <w:bookmarkStart w:id="338" w:name="_Toc11180"/>
      <w:bookmarkStart w:id="339" w:name="_Toc14504"/>
      <w:bookmarkStart w:id="340" w:name="_Toc24708"/>
      <w:r>
        <w:rPr>
          <w:rFonts w:hint="eastAsia" w:ascii="黑体" w:hAnsi="黑体" w:eastAsia="黑体" w:cs="黑体"/>
          <w:szCs w:val="30"/>
          <w:lang w:val="en-US" w:eastAsia="zh-CN"/>
        </w:rPr>
        <w:t>9.3开发生态康养产业</w:t>
      </w:r>
      <w:bookmarkEnd w:id="333"/>
      <w:bookmarkEnd w:id="334"/>
      <w:bookmarkEnd w:id="335"/>
      <w:bookmarkEnd w:id="336"/>
      <w:bookmarkEnd w:id="337"/>
      <w:bookmarkEnd w:id="338"/>
      <w:bookmarkEnd w:id="339"/>
      <w:bookmarkEnd w:id="340"/>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十四五”期间，紫阳县应依托生态宜居的地理及气候条件，开发具有紫阳特色的生态康养产业，布局一批生态康养基地，加快生态康养产业的信息化进程。加快推进信息技术、数字技术及产品在生态康养领域的推广应用，丰富智能健康养生养老服务产品供给，支持企业开发健康管理类智能设备，满足游客和居民多样化、个性化生态健康养生养老服务需求。在现有各类生态健康、养老信息等信息平台基础上，接入区域人口健康信息平台，建设互联互通的健康养生养老信息共享系统。推进智慧健康养生养老商业模式创新，鼓励社会资本进入生态康养行业发展。</w:t>
      </w:r>
    </w:p>
    <w:tbl>
      <w:tblPr>
        <w:tblStyle w:val="20"/>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0"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专栏10 智慧生态康养产业工程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推动健康大数据应用。</w:t>
            </w:r>
            <w:r>
              <w:rPr>
                <w:rFonts w:hint="eastAsia" w:asciiTheme="minorEastAsia" w:hAnsiTheme="minorEastAsia" w:eastAsiaTheme="minorEastAsia" w:cstheme="minorEastAsia"/>
                <w:b w:val="0"/>
                <w:bCs w:val="0"/>
                <w:color w:val="auto"/>
                <w:sz w:val="28"/>
                <w:szCs w:val="28"/>
                <w:lang w:val="en-US" w:eastAsia="zh-CN"/>
              </w:rPr>
              <w:t>支持大数据技术应用，推动健康大数据产业发展。鼓励各类医疗卫生机构推进健康医疗大数据采集、存储，加强应用支撑和运用技术保障，打通数据资源共享通道。以大数据“治未病”为理念，加快建设和完善基础数据库，利用大数据预测和指引中老年人“治未病”。促进养生养老医疗业务与大数据技术深度融合，加快构建养生养老大数据产业链，不断推进健康医疗与旅游、养生、养老等服务业协同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发展智慧健康旅游。</w:t>
            </w:r>
            <w:r>
              <w:rPr>
                <w:rFonts w:hint="eastAsia" w:asciiTheme="minorEastAsia" w:hAnsiTheme="minorEastAsia" w:eastAsiaTheme="minorEastAsia" w:cstheme="minorEastAsia"/>
                <w:b w:val="0"/>
                <w:bCs w:val="0"/>
                <w:color w:val="auto"/>
                <w:sz w:val="28"/>
                <w:szCs w:val="28"/>
                <w:lang w:val="en-US" w:eastAsia="zh-CN"/>
              </w:rPr>
              <w:t>充分利用现代信息技术，开展紫阳养生文化研究、中医保健研究、中医治慢病研究、健康服务产品开发、健康旅游服务规范和标准研究等；丰富服务业态，建设基于虚拟现实(VR)和增强现实(AR)技术的中医药传承体验馆、崇华中医远程智慧医疗与健康管理O2O服务平台全程可追溯技术与标准研发与应用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color w:val="auto"/>
                <w:kern w:val="0"/>
                <w:sz w:val="28"/>
                <w:szCs w:val="28"/>
                <w:vertAlign w:val="baseline"/>
                <w:lang w:val="en-US" w:eastAsia="zh-CN" w:bidi="ar-SA"/>
              </w:rPr>
            </w:pPr>
            <w:r>
              <w:rPr>
                <w:rFonts w:hint="eastAsia" w:asciiTheme="minorEastAsia" w:hAnsiTheme="minorEastAsia" w:eastAsiaTheme="minorEastAsia" w:cstheme="minorEastAsia"/>
                <w:b/>
                <w:bCs/>
                <w:color w:val="auto"/>
                <w:sz w:val="28"/>
                <w:szCs w:val="28"/>
                <w:lang w:val="en-US" w:eastAsia="zh-CN"/>
              </w:rPr>
              <w:t>整合垂直业务信息系统。</w:t>
            </w:r>
            <w:r>
              <w:rPr>
                <w:rFonts w:hint="eastAsia" w:asciiTheme="minorEastAsia" w:hAnsiTheme="minorEastAsia" w:eastAsiaTheme="minorEastAsia" w:cstheme="minorEastAsia"/>
                <w:b w:val="0"/>
                <w:bCs w:val="0"/>
                <w:color w:val="auto"/>
                <w:sz w:val="28"/>
                <w:szCs w:val="28"/>
                <w:lang w:val="en-US" w:eastAsia="zh-CN"/>
              </w:rPr>
              <w:t>卫生健康旅游垂直业务信息系统“孤岛”现象严重，互联互通水平和质量不高，垂直业务信息系统缺少有效的整合，导致公共卫生数据的重复录入，加重基层医疗机构负担，数据未能实现共享，应用效果有待进一步提高。应充分利用数字紫阳建设机遇，打破利益固化、信息分割枷锁，整合集成，实现数据共建共享。</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p>
    <w:p>
      <w:pPr>
        <w:pStyle w:val="5"/>
        <w:ind w:firstLine="0"/>
        <w:outlineLvl w:val="1"/>
        <w:rPr>
          <w:rFonts w:hint="eastAsia" w:ascii="黑体" w:hAnsi="黑体" w:eastAsia="黑体" w:cs="黑体"/>
          <w:sz w:val="30"/>
          <w:szCs w:val="30"/>
        </w:rPr>
      </w:pPr>
      <w:bookmarkStart w:id="341" w:name="_Toc15949"/>
      <w:bookmarkStart w:id="342" w:name="_Toc28326"/>
      <w:bookmarkStart w:id="343" w:name="_Toc9568"/>
      <w:bookmarkStart w:id="344" w:name="_Toc23259"/>
      <w:bookmarkStart w:id="345" w:name="_Toc13905"/>
      <w:bookmarkStart w:id="346" w:name="_Toc21096"/>
      <w:bookmarkStart w:id="347" w:name="_Toc1753"/>
      <w:bookmarkStart w:id="348" w:name="_Toc251"/>
      <w:r>
        <w:rPr>
          <w:rFonts w:hint="eastAsia" w:ascii="黑体" w:hAnsi="黑体" w:eastAsia="黑体" w:cs="黑体"/>
          <w:sz w:val="30"/>
          <w:szCs w:val="30"/>
          <w:lang w:val="en-US" w:eastAsia="zh-CN"/>
        </w:rPr>
        <w:t>9.4促进文化旅游产业</w:t>
      </w:r>
      <w:bookmarkEnd w:id="341"/>
      <w:bookmarkEnd w:id="342"/>
      <w:bookmarkEnd w:id="343"/>
      <w:bookmarkEnd w:id="344"/>
      <w:bookmarkEnd w:id="345"/>
      <w:bookmarkEnd w:id="346"/>
      <w:bookmarkEnd w:id="347"/>
      <w:bookmarkEnd w:id="348"/>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紫阳县地处南北过渡地带，文化融合性强、包容性大，形成了以紫阳贡茶、中国名茶之乡为代表的茶文化；以中国道教南派发祥地仙人洞（真人宫）、擂鼓台、盘龙观为代表的道教文化，以</w:t>
      </w:r>
      <w:r>
        <w:rPr>
          <w:rFonts w:hint="eastAsia" w:asciiTheme="minorEastAsia" w:hAnsiTheme="minorEastAsia" w:eastAsiaTheme="minorEastAsia" w:cstheme="minorEastAsia"/>
          <w:color w:val="auto"/>
          <w:sz w:val="28"/>
          <w:szCs w:val="28"/>
          <w:lang w:val="en-US" w:eastAsia="zh-CN"/>
        </w:rPr>
        <w:fldChar w:fldCharType="begin"/>
      </w:r>
      <w:r>
        <w:rPr>
          <w:rFonts w:hint="eastAsia" w:asciiTheme="minorEastAsia" w:hAnsiTheme="minorEastAsia" w:eastAsiaTheme="minorEastAsia" w:cstheme="minorEastAsia"/>
          <w:color w:val="auto"/>
          <w:sz w:val="28"/>
          <w:szCs w:val="28"/>
          <w:lang w:val="en-US" w:eastAsia="zh-CN"/>
        </w:rPr>
        <w:instrText xml:space="preserve"> HYPERLINK "https://baike.baidu.com/item/%E7%B4%AB%E9%98%B3%E6%B0%91%E6%AD%8C" \t "https://baike.baidu.com/item/%E7%B4%AB%E9%98%B3%E5%8E%BF/_blank" </w:instrText>
      </w:r>
      <w:r>
        <w:rPr>
          <w:rFonts w:hint="eastAsia" w:asciiTheme="minorEastAsia" w:hAnsiTheme="minorEastAsia" w:eastAsiaTheme="minorEastAsia" w:cstheme="minorEastAsia"/>
          <w:color w:val="auto"/>
          <w:sz w:val="28"/>
          <w:szCs w:val="28"/>
          <w:lang w:val="en-US" w:eastAsia="zh-CN"/>
        </w:rPr>
        <w:fldChar w:fldCharType="separate"/>
      </w:r>
      <w:r>
        <w:rPr>
          <w:rFonts w:hint="eastAsia" w:asciiTheme="minorEastAsia" w:hAnsiTheme="minorEastAsia" w:eastAsiaTheme="minorEastAsia" w:cstheme="minorEastAsia"/>
          <w:color w:val="auto"/>
          <w:sz w:val="28"/>
          <w:szCs w:val="28"/>
          <w:lang w:val="en-US" w:eastAsia="zh-CN"/>
        </w:rPr>
        <w:t>紫阳民歌</w:t>
      </w:r>
      <w:r>
        <w:rPr>
          <w:rFonts w:hint="eastAsia" w:asciiTheme="minorEastAsia" w:hAnsiTheme="minorEastAsia" w:eastAsiaTheme="minorEastAsia" w:cstheme="minorEastAsia"/>
          <w:color w:val="auto"/>
          <w:sz w:val="28"/>
          <w:szCs w:val="28"/>
          <w:lang w:val="en-US" w:eastAsia="zh-CN"/>
        </w:rPr>
        <w:fldChar w:fldCharType="end"/>
      </w:r>
      <w:r>
        <w:rPr>
          <w:rFonts w:hint="eastAsia" w:asciiTheme="minorEastAsia" w:hAnsiTheme="minorEastAsia" w:eastAsiaTheme="minorEastAsia" w:cstheme="minorEastAsia"/>
          <w:color w:val="auto"/>
          <w:sz w:val="28"/>
          <w:szCs w:val="28"/>
          <w:lang w:val="en-US" w:eastAsia="zh-CN"/>
        </w:rPr>
        <w:t>（国家非物质文化遗产保护项目）为代表的民间音乐文化，以富硒绿色产品为代表的富硒文化；以紫阳蒸盆子（省级</w:t>
      </w:r>
      <w:r>
        <w:rPr>
          <w:rFonts w:hint="eastAsia" w:asciiTheme="minorEastAsia" w:hAnsiTheme="minorEastAsia" w:eastAsiaTheme="minorEastAsia" w:cstheme="minorEastAsia"/>
          <w:color w:val="auto"/>
          <w:sz w:val="28"/>
          <w:szCs w:val="28"/>
          <w:lang w:val="en-US" w:eastAsia="zh-CN"/>
        </w:rPr>
        <w:fldChar w:fldCharType="begin"/>
      </w:r>
      <w:r>
        <w:rPr>
          <w:rFonts w:hint="eastAsia" w:asciiTheme="minorEastAsia" w:hAnsiTheme="minorEastAsia" w:eastAsiaTheme="minorEastAsia" w:cstheme="minorEastAsia"/>
          <w:color w:val="auto"/>
          <w:sz w:val="28"/>
          <w:szCs w:val="28"/>
          <w:lang w:val="en-US" w:eastAsia="zh-CN"/>
        </w:rPr>
        <w:instrText xml:space="preserve"> HYPERLINK "https://baike.baidu.com/item/%E9%9D%9E%E7%89%A9%E8%B4%A8%E6%96%87%E5%8C%96%E9%81%97%E4%BA%A7" \t "https://baike.baidu.com/item/%E7%B4%AB%E9%98%B3%E5%8E%BF/_blank" </w:instrText>
      </w:r>
      <w:r>
        <w:rPr>
          <w:rFonts w:hint="eastAsia" w:asciiTheme="minorEastAsia" w:hAnsiTheme="minorEastAsia" w:eastAsiaTheme="minorEastAsia" w:cstheme="minorEastAsia"/>
          <w:color w:val="auto"/>
          <w:sz w:val="28"/>
          <w:szCs w:val="28"/>
          <w:lang w:val="en-US" w:eastAsia="zh-CN"/>
        </w:rPr>
        <w:fldChar w:fldCharType="separate"/>
      </w:r>
      <w:r>
        <w:rPr>
          <w:rFonts w:hint="eastAsia" w:asciiTheme="minorEastAsia" w:hAnsiTheme="minorEastAsia" w:eastAsiaTheme="minorEastAsia" w:cstheme="minorEastAsia"/>
          <w:color w:val="auto"/>
          <w:sz w:val="28"/>
          <w:szCs w:val="28"/>
          <w:lang w:val="en-US" w:eastAsia="zh-CN"/>
        </w:rPr>
        <w:t>非物质文化遗产</w:t>
      </w:r>
      <w:r>
        <w:rPr>
          <w:rFonts w:hint="eastAsia" w:asciiTheme="minorEastAsia" w:hAnsiTheme="minorEastAsia" w:eastAsiaTheme="minorEastAsia" w:cstheme="minorEastAsia"/>
          <w:color w:val="auto"/>
          <w:sz w:val="28"/>
          <w:szCs w:val="28"/>
          <w:lang w:val="en-US" w:eastAsia="zh-CN"/>
        </w:rPr>
        <w:fldChar w:fldCharType="end"/>
      </w:r>
      <w:r>
        <w:rPr>
          <w:rFonts w:hint="eastAsia" w:asciiTheme="minorEastAsia" w:hAnsiTheme="minorEastAsia" w:eastAsiaTheme="minorEastAsia" w:cstheme="minorEastAsia"/>
          <w:color w:val="auto"/>
          <w:sz w:val="28"/>
          <w:szCs w:val="28"/>
          <w:lang w:val="en-US" w:eastAsia="zh-CN"/>
        </w:rPr>
        <w:t>保护项目）、三转弯宴席、民间小吃为代表的饮食文化；以芭蕉口安康老地委机关旧址、东城门中原军区布告为代表的革命文化；以民间社火、跳端公、紫阳道场等为代表的民俗文化；以芭蕉口显钟沟口志留系古生物化石为代表的弓笔石文化；以瓦板岩建材及其雕刻工艺为代表的板石文化；以紫阳风物传说为代表的故事文化；以剪纸、竹编草编、根雕、土陶为代表的民间工艺文化；以瓦房店会馆群为代表的会馆文化；以汉王城、白马石、东明庵为代表的遗址文化等独具特色、脉络清晰的紫阳文化旅游体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按照智慧旅游建设思路，深度挖掘紫阳县历史文化条件，融合紫阳县生态及人文条件，通过整合紫阳茶歌特色、紫阳社火等非物质资源，完善设施、丰富内涵、提升品质，发展数字化的文化旅游新业态。提升紫阳县旅游精品路线智慧化水平，率先建设一批智慧景区、智慧酒店、智慧旅行社、智慧旅游小镇，智慧田园综合体、积极推进乡村振兴。加快推进5G网络在紫阳县智慧旅游的商业化应用，积极探索“数字+线上体验”，挖掘新的消费增长点，推动文旅企业重塑商业模式。推进全县旅游数据资源共享，构建智慧旅游公共服务体系，支撑体系。建立门票、索道、酒店等相关旅游产品的网上预售，发展基于全域旅游的智慧旅游精准服务。以数据技术为支撑，推进文化旅游融合发展，实现以文化内容为基础的IP创新，为旅游产业发展提供新动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7" w:type="dxa"/>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专栏11 智慧旅游发展工程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推进“爱紫阳”客户端。</w:t>
            </w:r>
            <w:r>
              <w:rPr>
                <w:rFonts w:hint="eastAsia" w:asciiTheme="minorEastAsia" w:hAnsiTheme="minorEastAsia" w:eastAsiaTheme="minorEastAsia" w:cstheme="minorEastAsia"/>
                <w:b w:val="0"/>
                <w:bCs w:val="0"/>
                <w:color w:val="auto"/>
                <w:sz w:val="28"/>
                <w:szCs w:val="28"/>
              </w:rPr>
              <w:t>继续深入推进“</w:t>
            </w:r>
            <w:r>
              <w:rPr>
                <w:rFonts w:hint="eastAsia" w:asciiTheme="minorEastAsia" w:hAnsiTheme="minorEastAsia" w:eastAsiaTheme="minorEastAsia" w:cstheme="minorEastAsia"/>
                <w:b w:val="0"/>
                <w:bCs w:val="0"/>
                <w:color w:val="auto"/>
                <w:sz w:val="28"/>
                <w:szCs w:val="28"/>
                <w:lang w:val="en-US" w:eastAsia="zh-CN"/>
              </w:rPr>
              <w:t>爱紫阳</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客户端智慧旅游模块</w:t>
            </w:r>
            <w:r>
              <w:rPr>
                <w:rFonts w:hint="eastAsia" w:asciiTheme="minorEastAsia" w:hAnsiTheme="minorEastAsia" w:eastAsiaTheme="minorEastAsia" w:cstheme="minorEastAsia"/>
                <w:b w:val="0"/>
                <w:bCs w:val="0"/>
                <w:color w:val="auto"/>
                <w:sz w:val="28"/>
                <w:szCs w:val="28"/>
              </w:rPr>
              <w:t>建设和运营，将其打造成为</w:t>
            </w:r>
            <w:r>
              <w:rPr>
                <w:rFonts w:hint="eastAsia" w:asciiTheme="minorEastAsia" w:hAnsiTheme="minorEastAsia" w:eastAsiaTheme="minorEastAsia" w:cstheme="minorEastAsia"/>
                <w:b w:val="0"/>
                <w:bCs w:val="0"/>
                <w:color w:val="auto"/>
                <w:sz w:val="28"/>
                <w:szCs w:val="28"/>
                <w:lang w:eastAsia="zh-CN"/>
              </w:rPr>
              <w:t>紫阳</w:t>
            </w:r>
            <w:r>
              <w:rPr>
                <w:rFonts w:hint="eastAsia" w:asciiTheme="minorEastAsia" w:hAnsiTheme="minorEastAsia" w:eastAsiaTheme="minorEastAsia" w:cstheme="minorEastAsia"/>
                <w:b w:val="0"/>
                <w:bCs w:val="0"/>
                <w:color w:val="auto"/>
                <w:sz w:val="28"/>
                <w:szCs w:val="28"/>
              </w:rPr>
              <w:t>智慧旅游平台，完善旅游大数据中心、旅游综合服务平台、旅游综合监管平台功能，依托“互联网+旅游服务”，全面覆盖游客在</w:t>
            </w:r>
            <w:r>
              <w:rPr>
                <w:rFonts w:hint="eastAsia" w:asciiTheme="minorEastAsia" w:hAnsiTheme="minorEastAsia" w:eastAsiaTheme="minorEastAsia" w:cstheme="minorEastAsia"/>
                <w:b w:val="0"/>
                <w:bCs w:val="0"/>
                <w:color w:val="auto"/>
                <w:sz w:val="28"/>
                <w:szCs w:val="28"/>
                <w:lang w:eastAsia="zh-CN"/>
              </w:rPr>
              <w:t>紫阳</w:t>
            </w:r>
            <w:r>
              <w:rPr>
                <w:rFonts w:hint="eastAsia" w:asciiTheme="minorEastAsia" w:hAnsiTheme="minorEastAsia" w:eastAsiaTheme="minorEastAsia" w:cstheme="minorEastAsia"/>
                <w:b w:val="0"/>
                <w:bCs w:val="0"/>
                <w:color w:val="auto"/>
                <w:sz w:val="28"/>
                <w:szCs w:val="28"/>
              </w:rPr>
              <w:t>的游前、游中、游后的各项需求，满足和提升游客“吃住行游娱购”的需求和体验，并通过诚信体系、投诉平台的建设，让来</w:t>
            </w:r>
            <w:r>
              <w:rPr>
                <w:rFonts w:hint="eastAsia" w:asciiTheme="minorEastAsia" w:hAnsiTheme="minorEastAsia" w:eastAsiaTheme="minorEastAsia" w:cstheme="minorEastAsia"/>
                <w:b w:val="0"/>
                <w:bCs w:val="0"/>
                <w:color w:val="auto"/>
                <w:sz w:val="28"/>
                <w:szCs w:val="28"/>
                <w:lang w:eastAsia="zh-CN"/>
              </w:rPr>
              <w:t>紫阳</w:t>
            </w:r>
            <w:r>
              <w:rPr>
                <w:rFonts w:hint="eastAsia" w:asciiTheme="minorEastAsia" w:hAnsiTheme="minorEastAsia" w:eastAsiaTheme="minorEastAsia" w:cstheme="minorEastAsia"/>
                <w:b w:val="0"/>
                <w:bCs w:val="0"/>
                <w:color w:val="auto"/>
                <w:sz w:val="28"/>
                <w:szCs w:val="28"/>
              </w:rPr>
              <w:t>旅游的游客只要一部手机、一次按键，就能实现省心、放心、开心地畅游</w:t>
            </w:r>
            <w:r>
              <w:rPr>
                <w:rFonts w:hint="eastAsia" w:asciiTheme="minorEastAsia" w:hAnsiTheme="minorEastAsia" w:eastAsiaTheme="minorEastAsia" w:cstheme="minorEastAsia"/>
                <w:b w:val="0"/>
                <w:bCs w:val="0"/>
                <w:color w:val="auto"/>
                <w:sz w:val="28"/>
                <w:szCs w:val="28"/>
                <w:lang w:eastAsia="zh-CN"/>
              </w:rPr>
              <w:t>紫阳</w:t>
            </w:r>
            <w:r>
              <w:rPr>
                <w:rFonts w:hint="eastAsia" w:asciiTheme="minorEastAsia" w:hAnsiTheme="minorEastAsia" w:eastAsiaTheme="minorEastAsia" w:cstheme="minorEastAsia"/>
                <w:b w:val="0"/>
                <w:bCs w:val="0"/>
                <w:color w:val="auto"/>
                <w:sz w:val="28"/>
                <w:szCs w:val="28"/>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rPr>
              <w:t>智慧旅游北斗应用示范。</w:t>
            </w:r>
            <w:r>
              <w:rPr>
                <w:rFonts w:hint="eastAsia" w:asciiTheme="minorEastAsia" w:hAnsiTheme="minorEastAsia" w:eastAsiaTheme="minorEastAsia" w:cstheme="minorEastAsia"/>
                <w:b w:val="0"/>
                <w:bCs w:val="0"/>
                <w:color w:val="auto"/>
                <w:sz w:val="28"/>
                <w:szCs w:val="28"/>
              </w:rPr>
              <w:t>一是推动北斗系统位置服务（LBS）应用，对旅游车进行实时监测和定位，为游客自驾或户外徒步提供定位导航服务；二是推动北斗系统在景区电子导览与解说、电子地图方面的应用；三是推动北斗系统在紧急救援中的应用，包括导航定位、通讯通话、足迹跟踪、危险预警、事故报警及事故救援服务等。</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rPr>
              <w:t>仿真技术应用。</w:t>
            </w:r>
            <w:r>
              <w:rPr>
                <w:rFonts w:hint="eastAsia" w:asciiTheme="minorEastAsia" w:hAnsiTheme="minorEastAsia" w:eastAsiaTheme="minorEastAsia" w:cstheme="minorEastAsia"/>
                <w:b w:val="0"/>
                <w:bCs w:val="0"/>
                <w:color w:val="auto"/>
                <w:sz w:val="28"/>
                <w:szCs w:val="28"/>
              </w:rPr>
              <w:t>一是推动VR（虚拟现实）、AR（增强现实）等仿真技术在导游导览上的应用，增强游客的沉浸式感官体验；二是推动VR、AR技术在主题公园、</w:t>
            </w:r>
            <w:r>
              <w:rPr>
                <w:rFonts w:hint="eastAsia" w:asciiTheme="minorEastAsia" w:hAnsiTheme="minorEastAsia" w:eastAsiaTheme="minorEastAsia" w:cstheme="minorEastAsia"/>
                <w:b w:val="0"/>
                <w:bCs w:val="0"/>
                <w:color w:val="auto"/>
                <w:sz w:val="28"/>
                <w:szCs w:val="28"/>
                <w:lang w:eastAsia="zh-CN"/>
              </w:rPr>
              <w:t>著名景点</w:t>
            </w:r>
            <w:r>
              <w:rPr>
                <w:rFonts w:hint="eastAsia" w:asciiTheme="minorEastAsia" w:hAnsiTheme="minorEastAsia" w:eastAsiaTheme="minorEastAsia" w:cstheme="minorEastAsia"/>
                <w:b w:val="0"/>
                <w:bCs w:val="0"/>
                <w:color w:val="auto"/>
                <w:sz w:val="28"/>
                <w:szCs w:val="28"/>
              </w:rPr>
              <w:t>等场所应用，</w:t>
            </w:r>
            <w:r>
              <w:rPr>
                <w:rFonts w:hint="eastAsia" w:asciiTheme="minorEastAsia" w:hAnsiTheme="minorEastAsia" w:eastAsiaTheme="minorEastAsia" w:cstheme="minorEastAsia"/>
                <w:b w:val="0"/>
                <w:bCs w:val="0"/>
                <w:sz w:val="28"/>
                <w:szCs w:val="28"/>
                <w:lang w:val="en-US" w:eastAsia="zh-CN"/>
              </w:rPr>
              <w:t>利用VR/AR技术实现紫阳数字山水游，以“飞行模式”俯瞰整个紫阳的地形与地貌；也可以“自驾游”方式，选取不同的交通入口实现网上紫阳“自驾游”。</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color w:val="auto"/>
                <w:kern w:val="0"/>
                <w:sz w:val="28"/>
                <w:szCs w:val="28"/>
                <w:vertAlign w:val="baseline"/>
                <w:lang w:val="en-US" w:eastAsia="zh-CN" w:bidi="ar-SA"/>
              </w:rPr>
            </w:pPr>
            <w:r>
              <w:rPr>
                <w:rFonts w:hint="eastAsia" w:asciiTheme="minorEastAsia" w:hAnsiTheme="minorEastAsia" w:eastAsiaTheme="minorEastAsia" w:cstheme="minorEastAsia"/>
                <w:b/>
                <w:bCs/>
                <w:color w:val="auto"/>
                <w:sz w:val="28"/>
                <w:szCs w:val="28"/>
              </w:rPr>
              <w:t>旅游大数据应用。</w:t>
            </w:r>
            <w:r>
              <w:rPr>
                <w:rFonts w:hint="eastAsia" w:asciiTheme="minorEastAsia" w:hAnsiTheme="minorEastAsia" w:eastAsiaTheme="minorEastAsia" w:cstheme="minorEastAsia"/>
                <w:b w:val="0"/>
                <w:bCs w:val="0"/>
                <w:color w:val="auto"/>
                <w:sz w:val="28"/>
                <w:szCs w:val="28"/>
              </w:rPr>
              <w:t>在“</w:t>
            </w:r>
            <w:r>
              <w:rPr>
                <w:rFonts w:hint="eastAsia" w:asciiTheme="minorEastAsia" w:hAnsiTheme="minorEastAsia" w:eastAsiaTheme="minorEastAsia" w:cstheme="minorEastAsia"/>
                <w:b w:val="0"/>
                <w:bCs w:val="0"/>
                <w:color w:val="auto"/>
                <w:sz w:val="28"/>
                <w:szCs w:val="28"/>
                <w:lang w:val="en-US" w:eastAsia="zh-CN"/>
              </w:rPr>
              <w:t>爱紫阳</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客户端的</w:t>
            </w:r>
            <w:r>
              <w:rPr>
                <w:rFonts w:hint="eastAsia" w:asciiTheme="minorEastAsia" w:hAnsiTheme="minorEastAsia" w:eastAsiaTheme="minorEastAsia" w:cstheme="minorEastAsia"/>
                <w:b w:val="0"/>
                <w:bCs w:val="0"/>
                <w:color w:val="auto"/>
                <w:sz w:val="28"/>
                <w:szCs w:val="28"/>
              </w:rPr>
              <w:t>基础上，一是应用大数据对游客数量、结构特征、兴趣爱好、消费习惯等信息进行收集分析，为旅游市场细分、精准营销、旅游战略制定提供依据；二是应用大数据对旅游消费信用等信息进行收集分析，加强对旅游市场主体的服务和监管；三是应用大数据对游客信息进行关联分析，进一步优化旅游公共服务资源配置；四是应用大数据对旅游景区信息关联分析，为景区流量控制及安全预警提供数据支持。</w:t>
            </w:r>
          </w:p>
        </w:tc>
      </w:tr>
    </w:tbl>
    <w:p>
      <w:pPr>
        <w:pStyle w:val="5"/>
        <w:ind w:left="0"/>
        <w:outlineLvl w:val="1"/>
        <w:rPr>
          <w:rFonts w:hint="eastAsia" w:ascii="黑体" w:hAnsi="黑体" w:eastAsia="黑体" w:cs="黑体"/>
          <w:sz w:val="30"/>
          <w:szCs w:val="30"/>
        </w:rPr>
      </w:pPr>
      <w:bookmarkStart w:id="349" w:name="_Toc2738"/>
      <w:bookmarkStart w:id="350" w:name="_Toc4031"/>
      <w:bookmarkStart w:id="351" w:name="_Toc16368"/>
      <w:bookmarkStart w:id="352" w:name="_Toc19425"/>
      <w:bookmarkStart w:id="353" w:name="_Toc17084"/>
      <w:bookmarkStart w:id="354" w:name="_Toc24715"/>
      <w:bookmarkStart w:id="355" w:name="_Toc4432"/>
      <w:bookmarkStart w:id="356" w:name="_Toc8327"/>
      <w:bookmarkStart w:id="357" w:name="_Toc18462"/>
      <w:bookmarkStart w:id="358" w:name="_Toc7655"/>
      <w:r>
        <w:rPr>
          <w:rFonts w:hint="eastAsia" w:ascii="黑体" w:hAnsi="黑体" w:eastAsia="黑体" w:cs="黑体"/>
          <w:w w:val="100"/>
          <w:sz w:val="30"/>
          <w:szCs w:val="30"/>
          <w:lang w:val="en-US" w:eastAsia="zh-CN"/>
        </w:rPr>
        <w:t>9.5积极</w:t>
      </w:r>
      <w:r>
        <w:rPr>
          <w:rFonts w:hint="eastAsia" w:ascii="黑体" w:hAnsi="黑体" w:eastAsia="黑体" w:cs="黑体"/>
          <w:sz w:val="30"/>
          <w:szCs w:val="30"/>
        </w:rPr>
        <w:t>培育电子商务发展</w:t>
      </w:r>
      <w:bookmarkEnd w:id="349"/>
      <w:bookmarkEnd w:id="350"/>
      <w:bookmarkEnd w:id="351"/>
    </w:p>
    <w:p>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200" w:line="360" w:lineRule="auto"/>
        <w:ind w:left="0" w:right="0" w:firstLine="562" w:firstLineChars="200"/>
        <w:jc w:val="left"/>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bCs/>
          <w:kern w:val="0"/>
          <w:sz w:val="28"/>
          <w:szCs w:val="28"/>
          <w:lang w:val="en-US" w:eastAsia="zh-CN"/>
        </w:rPr>
        <w:t>培育电子商务全面性发展。</w:t>
      </w:r>
      <w:r>
        <w:rPr>
          <w:rFonts w:hint="eastAsia" w:ascii="宋体" w:hAnsi="宋体" w:eastAsia="宋体" w:cs="宋体"/>
          <w:b w:val="0"/>
          <w:bCs w:val="0"/>
          <w:kern w:val="0"/>
          <w:sz w:val="28"/>
          <w:szCs w:val="28"/>
          <w:lang w:val="en-US" w:eastAsia="zh-CN"/>
        </w:rPr>
        <w:t xml:space="preserve">推进电商集聚引领发展。在主城区打造1个具有影响力的电商集聚区，建设侧重于企业服务、农特产品上行、跨境电商贸易，升级打造持续健康运营的县域电商服务中心，加强龙头电商主体引领发展作用，挖掘一批有基础、有潜力、有创新能力的高成长型电商企业，培育具有行业优势的本土垂直电商平台。支持传统专业市场开拓线上渠道，推动家居、建材、二手车等线下专业市场打造网络化专业市场。 </w:t>
      </w:r>
    </w:p>
    <w:p>
      <w:pPr>
        <w:pStyle w:val="9"/>
        <w:keepNext w:val="0"/>
        <w:keepLines w:val="0"/>
        <w:widowControl w:val="0"/>
        <w:numPr>
          <w:ilvl w:val="0"/>
          <w:numId w:val="0"/>
        </w:numPr>
        <w:adjustRightInd/>
        <w:snapToGrid/>
        <w:spacing w:before="1" w:after="0" w:line="362" w:lineRule="auto"/>
        <w:ind w:left="118" w:right="263" w:firstLine="562" w:firstLineChars="200"/>
        <w:rPr>
          <w:rFonts w:hint="default" w:ascii="黑体" w:hAnsi="黑体" w:eastAsia="黑体" w:cs="黑体"/>
          <w:sz w:val="30"/>
          <w:szCs w:val="30"/>
          <w:lang w:val="en-US" w:eastAsia="zh-CN"/>
        </w:rPr>
      </w:pPr>
      <w:r>
        <w:rPr>
          <w:rFonts w:hint="eastAsia" w:ascii="宋体" w:hAnsi="宋体" w:eastAsia="宋体" w:cs="宋体"/>
          <w:b/>
          <w:bCs/>
          <w:kern w:val="0"/>
          <w:sz w:val="28"/>
          <w:szCs w:val="28"/>
          <w:lang w:val="en-US" w:eastAsia="zh-CN"/>
        </w:rPr>
        <w:t>加速电子商务应用发展。</w:t>
      </w:r>
      <w:r>
        <w:rPr>
          <w:rFonts w:hint="eastAsia" w:ascii="宋体" w:hAnsi="宋体" w:eastAsia="宋体" w:cs="宋体"/>
          <w:b w:val="0"/>
          <w:bCs w:val="0"/>
          <w:kern w:val="0"/>
          <w:sz w:val="28"/>
          <w:szCs w:val="28"/>
          <w:lang w:val="en-US" w:eastAsia="zh-CN"/>
        </w:rPr>
        <w:t xml:space="preserve">积极发展农村电商，推动电子商务向农业供应链各环节融合发展，优化农业生产种养、流通销售、仓储物流等环节，促进品牌农产品走出去。深入开展电商扶贫，创新扶贫产品销售体系，探索“电商+农业+旅游+康养+农特产品”融合模式，依托电商进农村综合示范，激发农村电商服务站自身活力。积极拓展电商产品服务领域，推动电子商务向在线教育、远程医疗、智慧停车、网络文化、智慧社区、家政服务、智慧康养等领域拓展，鼓励电子商务在政府采购、招投标、药品采购等公共领域推广和应用。 </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60" w:beforeLines="0" w:beforeAutospacing="0" w:after="260" w:afterAutospacing="0" w:line="416" w:lineRule="auto"/>
        <w:ind w:firstLine="0"/>
        <w:jc w:val="both"/>
        <w:textAlignment w:val="auto"/>
        <w:outlineLvl w:val="1"/>
        <w:rPr>
          <w:rFonts w:hint="eastAsia" w:ascii="黑体" w:hAnsi="黑体" w:eastAsia="黑体" w:cs="黑体"/>
          <w:b/>
          <w:bCs w:val="0"/>
          <w:sz w:val="30"/>
          <w:szCs w:val="30"/>
          <w:lang w:val="en-US" w:eastAsia="zh-CN" w:bidi="ar-SA"/>
        </w:rPr>
      </w:pPr>
      <w:bookmarkStart w:id="359" w:name="_Toc20463"/>
      <w:bookmarkStart w:id="360" w:name="_Toc6630"/>
      <w:bookmarkStart w:id="361" w:name="_Toc501"/>
      <w:r>
        <w:rPr>
          <w:rFonts w:hint="eastAsia" w:ascii="黑体" w:hAnsi="黑体" w:eastAsia="黑体" w:cs="黑体"/>
          <w:b/>
          <w:bCs w:val="0"/>
          <w:sz w:val="30"/>
          <w:szCs w:val="30"/>
          <w:lang w:val="en-US" w:eastAsia="zh-CN" w:bidi="ar-SA"/>
        </w:rPr>
        <w:t>9.6推进物流产业现代化发展</w:t>
      </w:r>
      <w:bookmarkEnd w:id="359"/>
      <w:bookmarkEnd w:id="360"/>
      <w:bookmarkEnd w:id="361"/>
    </w:p>
    <w:p>
      <w:pPr>
        <w:pStyle w:val="9"/>
        <w:keepNext w:val="0"/>
        <w:keepLines w:val="0"/>
        <w:pageBreakBefore w:val="0"/>
        <w:widowControl/>
        <w:suppressLineNumbers w:val="0"/>
        <w:kinsoku/>
        <w:wordWrap/>
        <w:overflowPunct/>
        <w:topLinePunct w:val="0"/>
        <w:autoSpaceDE/>
        <w:autoSpaceDN/>
        <w:bidi w:val="0"/>
        <w:adjustRightInd/>
        <w:snapToGrid/>
        <w:spacing w:before="80" w:beforeAutospacing="0" w:after="200" w:afterAutospacing="0" w:line="360" w:lineRule="auto"/>
        <w:ind w:left="0" w:right="0" w:firstLine="562" w:firstLineChars="200"/>
        <w:textAlignment w:val="auto"/>
        <w:rPr>
          <w:rFonts w:hint="eastAsia" w:ascii="宋体" w:hAnsi="宋体" w:cs="宋体"/>
          <w:kern w:val="0"/>
          <w:sz w:val="28"/>
          <w:szCs w:val="28"/>
        </w:rPr>
      </w:pPr>
      <w:r>
        <w:rPr>
          <w:rFonts w:hint="eastAsia" w:ascii="宋体" w:hAnsi="宋体" w:eastAsia="宋体" w:cs="宋体"/>
          <w:b/>
          <w:bCs/>
          <w:sz w:val="28"/>
          <w:szCs w:val="28"/>
          <w:lang w:val="en-US" w:eastAsia="zh-CN"/>
        </w:rPr>
        <w:t xml:space="preserve">智慧物流园区建设工程。 </w:t>
      </w:r>
      <w:r>
        <w:rPr>
          <w:rFonts w:hint="eastAsia" w:ascii="宋体" w:hAnsi="宋体" w:eastAsia="宋体" w:cs="宋体"/>
          <w:kern w:val="0"/>
          <w:sz w:val="28"/>
          <w:szCs w:val="28"/>
          <w:lang w:bidi="ar-SA"/>
        </w:rPr>
        <w:t>加快物流园区建设，谋划建设</w:t>
      </w:r>
      <w:r>
        <w:rPr>
          <w:rFonts w:hint="eastAsia" w:ascii="宋体" w:hAnsi="宋体" w:eastAsia="宋体" w:cs="宋体"/>
          <w:kern w:val="0"/>
          <w:sz w:val="28"/>
          <w:szCs w:val="28"/>
          <w:lang w:eastAsia="zh-CN" w:bidi="ar-SA"/>
        </w:rPr>
        <w:t>一批</w:t>
      </w:r>
      <w:r>
        <w:rPr>
          <w:rFonts w:hint="eastAsia" w:ascii="宋体" w:hAnsi="宋体" w:eastAsia="宋体" w:cs="宋体"/>
          <w:kern w:val="0"/>
          <w:sz w:val="28"/>
          <w:szCs w:val="28"/>
          <w:lang w:bidi="ar-SA"/>
        </w:rPr>
        <w:t>多式联转运设施、智慧仓储等项目，完善城乡配送物流基础设施，构建“市一县一乡一村”四级配送节点网络，高标准建设智能感知体系，统筹推进5G、人工智能、物联网等新型基础设施建设，实现对园区全方位动态监测，加快推进物流信息公共服务平台建设，实现对地区供应链物流信息的统筹整合</w:t>
      </w:r>
      <w:r>
        <w:rPr>
          <w:rFonts w:hint="eastAsia" w:ascii="宋体" w:hAnsi="宋体" w:eastAsia="宋体" w:cs="宋体"/>
          <w:kern w:val="0"/>
          <w:sz w:val="28"/>
          <w:szCs w:val="28"/>
          <w:lang w:eastAsia="zh-CN" w:bidi="ar-SA"/>
        </w:rPr>
        <w:t>，</w:t>
      </w:r>
      <w:r>
        <w:rPr>
          <w:rFonts w:hint="eastAsia" w:ascii="宋体" w:hAnsi="宋体" w:eastAsia="宋体" w:cs="宋体"/>
          <w:kern w:val="0"/>
          <w:sz w:val="28"/>
          <w:szCs w:val="28"/>
          <w:lang w:bidi="ar-SA"/>
        </w:rPr>
        <w:t>推动业务协同创新发展</w:t>
      </w:r>
      <w:r>
        <w:rPr>
          <w:rFonts w:hint="eastAsia" w:ascii="宋体" w:hAnsi="宋体" w:eastAsia="宋体" w:cs="宋体"/>
          <w:kern w:val="0"/>
          <w:sz w:val="28"/>
          <w:szCs w:val="28"/>
          <w:lang w:eastAsia="zh-CN" w:bidi="ar-SA"/>
        </w:rPr>
        <w:t>，</w:t>
      </w:r>
      <w:r>
        <w:rPr>
          <w:rFonts w:hint="eastAsia" w:ascii="宋体" w:hAnsi="宋体" w:eastAsia="宋体" w:cs="宋体"/>
          <w:kern w:val="0"/>
          <w:sz w:val="28"/>
          <w:szCs w:val="28"/>
          <w:lang w:bidi="ar-SA"/>
        </w:rPr>
        <w:t>建立面向企业的供需对接平台，加强物流企业间业务协同合作，鼓励企业通过“统仓统配”“集拼运输”“甩挂运输”等物流模式运转效率。推动现代物流与电子商务、农产品、商贸流通、产业集群协同发展，大力发展电商物流、冷链物流、农产品物流、工业品物流等专业型物流，提升物流服务增加值。</w:t>
      </w:r>
    </w:p>
    <w:bookmarkEnd w:id="352"/>
    <w:bookmarkEnd w:id="353"/>
    <w:bookmarkEnd w:id="354"/>
    <w:bookmarkEnd w:id="355"/>
    <w:bookmarkEnd w:id="356"/>
    <w:bookmarkEnd w:id="357"/>
    <w:bookmarkEnd w:id="358"/>
    <w:p>
      <w:pPr>
        <w:rPr>
          <w:rFonts w:hint="eastAsia"/>
          <w:lang w:val="en-US" w:eastAsia="zh-CN"/>
        </w:rPr>
      </w:pPr>
    </w:p>
    <w:p>
      <w:pPr>
        <w:bidi w:val="0"/>
        <w:jc w:val="center"/>
        <w:rPr>
          <w:rFonts w:hint="eastAsia"/>
          <w:lang w:val="en-US" w:eastAsia="zh-CN"/>
        </w:rPr>
      </w:pPr>
      <w:bookmarkStart w:id="362" w:name="_Toc12565"/>
      <w:bookmarkStart w:id="363" w:name="_Toc25811"/>
      <w:r>
        <w:rPr>
          <w:rFonts w:hint="eastAsia"/>
          <w:lang w:val="en-US" w:eastAsia="zh-CN"/>
        </w:rPr>
        <w:br w:type="page"/>
      </w:r>
    </w:p>
    <w:bookmarkEnd w:id="362"/>
    <w:bookmarkEnd w:id="363"/>
    <w:p>
      <w:pPr>
        <w:pStyle w:val="4"/>
        <w:bidi w:val="0"/>
        <w:jc w:val="center"/>
        <w:outlineLvl w:val="0"/>
        <w:rPr>
          <w:rFonts w:hint="eastAsia"/>
          <w:lang w:val="en-US" w:eastAsia="zh-CN"/>
        </w:rPr>
      </w:pPr>
      <w:bookmarkStart w:id="364" w:name="_Toc7716"/>
      <w:bookmarkStart w:id="365" w:name="_Toc14863"/>
      <w:bookmarkStart w:id="366" w:name="_Toc17691"/>
      <w:bookmarkStart w:id="367" w:name="_Toc26583"/>
      <w:bookmarkStart w:id="368" w:name="_Toc21847"/>
      <w:bookmarkStart w:id="369" w:name="_Toc25181"/>
      <w:bookmarkStart w:id="370" w:name="_Toc889"/>
      <w:bookmarkStart w:id="371" w:name="_Toc27102"/>
      <w:r>
        <w:rPr>
          <w:rFonts w:hint="eastAsia"/>
          <w:lang w:val="en-US" w:eastAsia="zh-CN"/>
        </w:rPr>
        <w:t>第十章 建设数字乡村，为乡村振兴赋能</w:t>
      </w:r>
      <w:bookmarkEnd w:id="364"/>
      <w:bookmarkEnd w:id="365"/>
      <w:bookmarkEnd w:id="366"/>
      <w:bookmarkEnd w:id="367"/>
      <w:bookmarkEnd w:id="368"/>
      <w:bookmarkEnd w:id="369"/>
      <w:bookmarkEnd w:id="370"/>
      <w:bookmarkEnd w:id="371"/>
    </w:p>
    <w:p>
      <w:pPr>
        <w:pStyle w:val="9"/>
        <w:keepNext w:val="0"/>
        <w:keepLines w:val="0"/>
        <w:pageBreakBefore w:val="0"/>
        <w:widowControl w:val="0"/>
        <w:kinsoku/>
        <w:wordWrap/>
        <w:overflowPunct/>
        <w:topLinePunct w:val="0"/>
        <w:autoSpaceDE/>
        <w:autoSpaceDN/>
        <w:bidi w:val="0"/>
        <w:adjustRightInd/>
        <w:snapToGrid/>
        <w:spacing w:before="200" w:after="0" w:line="360" w:lineRule="auto"/>
        <w:ind w:left="0" w:right="420" w:firstLine="552" w:firstLineChars="200"/>
        <w:jc w:val="both"/>
        <w:textAlignment w:val="auto"/>
        <w:rPr>
          <w:rFonts w:hint="eastAsia" w:ascii="宋体" w:hAnsi="宋体" w:cs="宋体"/>
          <w:spacing w:val="-2"/>
          <w:sz w:val="28"/>
          <w:szCs w:val="28"/>
          <w:lang w:val="en-US" w:eastAsia="zh-CN"/>
        </w:rPr>
      </w:pPr>
      <w:r>
        <w:rPr>
          <w:rFonts w:hint="eastAsia" w:ascii="宋体" w:hAnsi="宋体" w:cs="宋体"/>
          <w:spacing w:val="-2"/>
          <w:sz w:val="28"/>
          <w:szCs w:val="28"/>
          <w:lang w:val="en-US" w:eastAsia="zh-CN"/>
        </w:rPr>
        <w:t>落实乡村振兴战略，实施数字乡村战略，以数据链带动和提升农业产业链、供应链和价值链，支撑农业转型升级和高质量发展。以现代信息网络为重要载体、数字技术创新为核心驱动力，不断提高传统产业数字化、智能化水平，引导新型产业发展与农村治理新模式相结合，加快乡村数字化转型。</w:t>
      </w:r>
    </w:p>
    <w:p>
      <w:pPr>
        <w:pStyle w:val="5"/>
        <w:keepNext/>
        <w:keepLines/>
        <w:pageBreakBefore w:val="0"/>
        <w:widowControl/>
        <w:numPr>
          <w:ilvl w:val="0"/>
          <w:numId w:val="0"/>
        </w:numPr>
        <w:kinsoku/>
        <w:wordWrap/>
        <w:overflowPunct/>
        <w:topLinePunct w:val="0"/>
        <w:autoSpaceDE/>
        <w:autoSpaceDN/>
        <w:bidi w:val="0"/>
        <w:adjustRightInd w:val="0"/>
        <w:snapToGrid w:val="0"/>
        <w:spacing w:before="260" w:after="260" w:line="413" w:lineRule="auto"/>
        <w:ind w:firstLine="0" w:firstLineChars="0"/>
        <w:jc w:val="both"/>
        <w:textAlignment w:val="auto"/>
        <w:outlineLvl w:val="1"/>
        <w:rPr>
          <w:rFonts w:hint="eastAsia" w:ascii="黑体" w:hAnsi="黑体" w:eastAsia="黑体" w:cs="黑体"/>
          <w:szCs w:val="30"/>
          <w:lang w:val="en-US" w:eastAsia="zh-CN"/>
        </w:rPr>
      </w:pPr>
      <w:bookmarkStart w:id="372" w:name="_Toc23849"/>
      <w:bookmarkStart w:id="373" w:name="_Toc29499"/>
      <w:bookmarkStart w:id="374" w:name="_Toc28648"/>
      <w:bookmarkStart w:id="375" w:name="_Toc10594"/>
      <w:bookmarkStart w:id="376" w:name="_Toc2311"/>
      <w:bookmarkStart w:id="377" w:name="_Toc6921"/>
      <w:bookmarkStart w:id="378" w:name="_Toc8305"/>
      <w:bookmarkStart w:id="379" w:name="_Toc16419"/>
      <w:bookmarkStart w:id="380" w:name="_Toc10525"/>
      <w:bookmarkStart w:id="381" w:name="_Toc22220"/>
      <w:bookmarkStart w:id="382" w:name="_Toc4419"/>
      <w:bookmarkStart w:id="383" w:name="_Toc26534"/>
      <w:bookmarkStart w:id="384" w:name="_Toc7639"/>
      <w:bookmarkStart w:id="385" w:name="_Toc3545"/>
      <w:bookmarkStart w:id="386" w:name="_Toc25263"/>
      <w:bookmarkStart w:id="387" w:name="_Toc2623"/>
      <w:r>
        <w:rPr>
          <w:rFonts w:hint="eastAsia" w:ascii="黑体" w:hAnsi="黑体" w:eastAsia="黑体" w:cs="黑体"/>
          <w:sz w:val="30"/>
          <w:szCs w:val="30"/>
          <w:lang w:val="en-US" w:eastAsia="zh-CN"/>
        </w:rPr>
        <w:t>10.1</w:t>
      </w:r>
      <w:r>
        <w:rPr>
          <w:rFonts w:hint="eastAsia" w:ascii="黑体" w:hAnsi="黑体" w:eastAsia="黑体" w:cs="黑体"/>
          <w:sz w:val="30"/>
          <w:szCs w:val="30"/>
          <w:lang w:eastAsia="zh-CN"/>
        </w:rPr>
        <w:t>加快</w:t>
      </w:r>
      <w:r>
        <w:rPr>
          <w:rFonts w:hint="eastAsia" w:ascii="黑体" w:hAnsi="黑体" w:eastAsia="黑体" w:cs="黑体"/>
          <w:sz w:val="30"/>
          <w:szCs w:val="30"/>
          <w:lang w:val="en-US" w:eastAsia="zh-CN"/>
        </w:rPr>
        <w:t>推进</w:t>
      </w:r>
      <w:r>
        <w:rPr>
          <w:rFonts w:hint="eastAsia" w:ascii="黑体" w:hAnsi="黑体" w:eastAsia="黑体" w:cs="黑体"/>
          <w:sz w:val="30"/>
          <w:szCs w:val="30"/>
          <w:lang w:eastAsia="zh-CN"/>
        </w:rPr>
        <w:t>农业数字化</w:t>
      </w:r>
      <w:bookmarkEnd w:id="372"/>
      <w:r>
        <w:rPr>
          <w:rFonts w:hint="eastAsia" w:ascii="黑体" w:hAnsi="黑体" w:eastAsia="黑体" w:cs="黑体"/>
          <w:sz w:val="30"/>
          <w:szCs w:val="30"/>
          <w:lang w:val="en-US" w:eastAsia="zh-CN"/>
        </w:rPr>
        <w:t>转型</w:t>
      </w:r>
      <w:bookmarkEnd w:id="373"/>
      <w:bookmarkEnd w:id="374"/>
      <w:bookmarkEnd w:id="375"/>
    </w:p>
    <w:p>
      <w:pPr>
        <w:pStyle w:val="9"/>
        <w:spacing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加强新一代信息技术应用推广。</w:t>
      </w:r>
      <w:r>
        <w:rPr>
          <w:rFonts w:hint="eastAsia" w:ascii="宋体" w:hAnsi="宋体" w:eastAsia="宋体" w:cs="宋体"/>
          <w:sz w:val="28"/>
          <w:szCs w:val="28"/>
          <w:lang w:eastAsia="zh-CN"/>
        </w:rPr>
        <w:t>针对茶叶、</w:t>
      </w:r>
      <w:r>
        <w:rPr>
          <w:rFonts w:hint="eastAsia" w:ascii="宋体" w:hAnsi="宋体" w:eastAsia="宋体" w:cs="宋体"/>
          <w:sz w:val="28"/>
          <w:szCs w:val="28"/>
          <w:lang w:val="en-US" w:eastAsia="zh-CN"/>
        </w:rPr>
        <w:t>魔芋</w:t>
      </w:r>
      <w:r>
        <w:rPr>
          <w:rFonts w:hint="eastAsia" w:ascii="宋体" w:hAnsi="宋体" w:eastAsia="宋体" w:cs="宋体"/>
          <w:sz w:val="28"/>
          <w:szCs w:val="28"/>
          <w:lang w:eastAsia="zh-CN"/>
        </w:rPr>
        <w:t>、</w:t>
      </w:r>
      <w:r>
        <w:rPr>
          <w:rFonts w:hint="eastAsia" w:ascii="宋体" w:hAnsi="宋体" w:cs="宋体"/>
          <w:sz w:val="28"/>
          <w:szCs w:val="28"/>
          <w:lang w:eastAsia="zh-CN"/>
        </w:rPr>
        <w:t>中草药</w:t>
      </w:r>
      <w:r>
        <w:rPr>
          <w:rFonts w:hint="eastAsia" w:ascii="宋体" w:hAnsi="宋体" w:eastAsia="宋体" w:cs="宋体"/>
          <w:sz w:val="28"/>
          <w:szCs w:val="28"/>
          <w:lang w:eastAsia="zh-CN"/>
        </w:rPr>
        <w:t>等有地方特色的农业资源，开展智慧农场试点建设；试点推动激光和摄像头技术识别应用，多元化提高农业生产环节智能化，提高生产效率。加快云计算、大数据、物联网、人工智能在农业生产经营管理中的推广运用，促进新一代信息技术与种植业、畜牧业、渔业等全面深度融合，打造科技农业、智慧农业、品牌农业。支持有条件的企业开展数字化种养殖及加工，实现规模化、标准化、现代化农业生产加工，推动建设知名的特色农产品精深加工基地。</w:t>
      </w:r>
    </w:p>
    <w:p>
      <w:pPr>
        <w:pStyle w:val="9"/>
        <w:spacing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完善数字农业综合服务体系。</w:t>
      </w:r>
      <w:r>
        <w:rPr>
          <w:rFonts w:hint="eastAsia" w:ascii="宋体" w:hAnsi="宋体" w:eastAsia="宋体" w:cs="宋体"/>
          <w:sz w:val="28"/>
          <w:szCs w:val="28"/>
          <w:lang w:eastAsia="zh-CN"/>
        </w:rPr>
        <w:t>依托现代农业示范区建设，聚集农业产业化龙头企业、智慧农场试点、农业示范合作社等农业经营主体，集成生产环境实时监测、生产设备远程控制、农产品质量追溯、农业生产预警、疫病专家诊断、农民教育培训等功能，将农产品生产、加工等过程的信息进行记录并存储，为生产者和消费者提供安全生产、追溯服务，优化农产品质量安全的追溯体系，实现农业生产数据化、在线化、可视化，为全县农业生产的预测分析、灾害预警、科学生产提供良好基础，打造信息化、网络化、立体化、智能化的质量安全监管网络。</w:t>
      </w:r>
    </w:p>
    <w:bookmarkEnd w:id="376"/>
    <w:bookmarkEnd w:id="377"/>
    <w:bookmarkEnd w:id="378"/>
    <w:bookmarkEnd w:id="379"/>
    <w:bookmarkEnd w:id="380"/>
    <w:bookmarkEnd w:id="381"/>
    <w:bookmarkEnd w:id="382"/>
    <w:bookmarkEnd w:id="383"/>
    <w:bookmarkEnd w:id="384"/>
    <w:bookmarkEnd w:id="385"/>
    <w:bookmarkEnd w:id="386"/>
    <w:bookmarkEnd w:id="387"/>
    <w:p>
      <w:pPr>
        <w:pStyle w:val="5"/>
        <w:bidi w:val="0"/>
        <w:outlineLvl w:val="1"/>
        <w:rPr>
          <w:rFonts w:hint="eastAsia" w:ascii="黑体" w:hAnsi="黑体" w:eastAsia="黑体" w:cs="黑体"/>
          <w:bCs w:val="0"/>
          <w:sz w:val="30"/>
          <w:szCs w:val="30"/>
          <w:lang w:val="en-US" w:eastAsia="zh-CN"/>
        </w:rPr>
      </w:pPr>
      <w:bookmarkStart w:id="388" w:name="_Toc31732"/>
      <w:bookmarkStart w:id="389" w:name="_Toc14813"/>
      <w:bookmarkStart w:id="390" w:name="_Toc17366"/>
      <w:r>
        <w:rPr>
          <w:rFonts w:hint="eastAsia" w:ascii="黑体" w:hAnsi="黑体" w:eastAsia="黑体" w:cs="黑体"/>
          <w:sz w:val="30"/>
          <w:szCs w:val="30"/>
          <w:lang w:val="en-US" w:eastAsia="zh-CN"/>
        </w:rPr>
        <w:t>10</w:t>
      </w:r>
      <w:r>
        <w:rPr>
          <w:rFonts w:hint="eastAsia" w:ascii="黑体" w:hAnsi="黑体" w:eastAsia="黑体" w:cs="黑体"/>
          <w:sz w:val="30"/>
          <w:szCs w:val="30"/>
        </w:rPr>
        <w:t>.</w:t>
      </w:r>
      <w:r>
        <w:rPr>
          <w:rFonts w:hint="eastAsia" w:ascii="黑体" w:hAnsi="黑体" w:eastAsia="黑体" w:cs="黑体"/>
          <w:sz w:val="30"/>
          <w:szCs w:val="30"/>
          <w:lang w:val="en-US" w:eastAsia="zh-CN"/>
        </w:rPr>
        <w:t>2</w:t>
      </w:r>
      <w:r>
        <w:rPr>
          <w:rFonts w:hint="eastAsia" w:ascii="黑体" w:hAnsi="黑体" w:eastAsia="黑体" w:cs="黑体"/>
          <w:sz w:val="30"/>
          <w:szCs w:val="30"/>
        </w:rPr>
        <w:t>加强农业数据汇集与分析</w:t>
      </w:r>
      <w:bookmarkEnd w:id="388"/>
      <w:bookmarkEnd w:id="389"/>
      <w:bookmarkEnd w:id="390"/>
    </w:p>
    <w:p>
      <w:pPr>
        <w:pStyle w:val="9"/>
        <w:keepNext w:val="0"/>
        <w:keepLines w:val="0"/>
        <w:widowControl w:val="0"/>
        <w:suppressLineNumbers w:val="0"/>
        <w:spacing w:before="0" w:beforeAutospacing="0" w:after="0" w:afterAutospacing="0" w:line="360" w:lineRule="auto"/>
        <w:ind w:left="0" w:right="0" w:firstLine="562" w:firstLineChars="200"/>
        <w:rPr>
          <w:rFonts w:hint="eastAsia" w:ascii="宋体" w:hAnsi="宋体" w:eastAsia="宋体" w:cs="宋体"/>
          <w:sz w:val="28"/>
          <w:szCs w:val="28"/>
          <w:lang w:bidi="ar-SA"/>
        </w:rPr>
      </w:pPr>
      <w:r>
        <w:rPr>
          <w:rFonts w:hint="eastAsia" w:ascii="宋体" w:hAnsi="宋体" w:eastAsia="宋体" w:cs="宋体"/>
          <w:b/>
          <w:bCs/>
          <w:sz w:val="28"/>
          <w:szCs w:val="28"/>
          <w:lang w:eastAsia="zh-CN"/>
        </w:rPr>
        <w:t>强化农业农村信息资源管理。</w:t>
      </w:r>
      <w:r>
        <w:rPr>
          <w:rFonts w:hint="eastAsia" w:ascii="宋体" w:hAnsi="宋体" w:eastAsia="宋体" w:cs="宋体"/>
          <w:sz w:val="28"/>
          <w:szCs w:val="28"/>
          <w:lang w:bidi="ar-SA"/>
        </w:rPr>
        <w:t xml:space="preserve">通过物联网、云计算等技术在农业生产等多环节的应用，整合现有各类农业信息资源，加强农业农村基础数据采集管理，开展全生产过程、加工包装过程、运输过程、销售过程等全链条数字化分析，全面推进数字技术与农业生产、经营、管理、服务融合发展。汇聚各政务部门信息资源，逐渐形成“三农”大数据，培育农业发展新动能新业态，促进农业提质增效。 </w:t>
      </w:r>
    </w:p>
    <w:p>
      <w:pPr>
        <w:pStyle w:val="9"/>
        <w:keepNext w:val="0"/>
        <w:keepLines w:val="0"/>
        <w:widowControl w:val="0"/>
        <w:suppressLineNumbers w:val="0"/>
        <w:spacing w:before="0" w:beforeAutospacing="0" w:after="0" w:afterAutospacing="0" w:line="360" w:lineRule="auto"/>
        <w:ind w:left="0" w:right="0" w:firstLine="562" w:firstLineChars="200"/>
        <w:rPr>
          <w:rFonts w:hint="eastAsia" w:ascii="宋体" w:hAnsi="宋体" w:eastAsia="宋体" w:cs="宋体"/>
          <w:sz w:val="28"/>
          <w:szCs w:val="28"/>
          <w:lang w:bidi="ar-SA"/>
        </w:rPr>
      </w:pPr>
      <w:r>
        <w:rPr>
          <w:rFonts w:hint="eastAsia" w:ascii="宋体" w:hAnsi="宋体" w:eastAsia="宋体" w:cs="宋体"/>
          <w:b/>
          <w:bCs/>
          <w:sz w:val="28"/>
          <w:szCs w:val="28"/>
          <w:lang w:eastAsia="zh-CN"/>
        </w:rPr>
        <w:t>开展“三农</w:t>
      </w:r>
      <w:r>
        <w:rPr>
          <w:rFonts w:hint="eastAsia" w:ascii="宋体" w:hAnsi="宋体" w:eastAsia="宋体" w:cs="宋体"/>
          <w:sz w:val="28"/>
          <w:szCs w:val="28"/>
          <w:lang w:bidi="ar-SA"/>
        </w:rPr>
        <w:t>”</w:t>
      </w:r>
      <w:r>
        <w:rPr>
          <w:rFonts w:hint="eastAsia" w:ascii="宋体" w:hAnsi="宋体" w:eastAsia="宋体" w:cs="宋体"/>
          <w:b/>
          <w:bCs/>
          <w:sz w:val="28"/>
          <w:szCs w:val="28"/>
          <w:lang w:eastAsia="zh-CN"/>
        </w:rPr>
        <w:t>大数据分析应用。</w:t>
      </w:r>
      <w:r>
        <w:rPr>
          <w:rFonts w:hint="eastAsia" w:ascii="宋体" w:hAnsi="宋体" w:eastAsia="宋体" w:cs="宋体"/>
          <w:sz w:val="28"/>
          <w:szCs w:val="28"/>
          <w:lang w:bidi="ar-SA"/>
        </w:rPr>
        <w:t>应用大数据分析技术对“三农”数据进行价值挖掘，形成数据管理、分析、调控、可视化等机制。依托机器学习和大数据动态分析技术，挖掘数据趋势，最终实现土壤质量监测、气候预警、病虫害预警，以及农业舆情监控、产前农资信息监测、产后市场信息监测、营销方案制定等，并向农民、家庭农场、农业加工企业进行反馈，以助力改进农业生产工艺，进行农产品高质量、差异化生产，实现精准供需对接和销售，减少滞销、带动脱贫。</w:t>
      </w:r>
    </w:p>
    <w:p>
      <w:pPr>
        <w:pStyle w:val="5"/>
        <w:keepNext w:val="0"/>
        <w:keepLines w:val="0"/>
        <w:widowControl/>
        <w:suppressLineNumbers w:val="0"/>
        <w:spacing w:before="260" w:beforeLines="0" w:beforeAutospacing="0" w:after="260" w:afterLines="0" w:afterAutospacing="0" w:line="416" w:lineRule="auto"/>
        <w:ind w:left="0" w:right="0" w:firstLine="0"/>
        <w:outlineLvl w:val="1"/>
        <w:rPr>
          <w:rFonts w:hint="eastAsia" w:ascii="黑体" w:hAnsi="黑体" w:eastAsia="黑体" w:cs="黑体"/>
          <w:sz w:val="30"/>
          <w:szCs w:val="30"/>
        </w:rPr>
      </w:pPr>
      <w:bookmarkStart w:id="391" w:name="_Toc26219"/>
      <w:bookmarkStart w:id="392" w:name="_Toc30314"/>
      <w:bookmarkStart w:id="393" w:name="_Toc22709"/>
      <w:r>
        <w:rPr>
          <w:rStyle w:val="21"/>
          <w:rFonts w:hint="eastAsia" w:ascii="黑体" w:hAnsi="黑体" w:eastAsia="黑体" w:cs="黑体"/>
          <w:sz w:val="30"/>
          <w:szCs w:val="30"/>
          <w:lang w:val="en-US" w:eastAsia="zh-CN" w:bidi="ar-SA"/>
        </w:rPr>
        <w:t>10.3</w:t>
      </w:r>
      <w:r>
        <w:rPr>
          <w:rStyle w:val="21"/>
          <w:rFonts w:hint="eastAsia" w:ascii="黑体" w:hAnsi="黑体" w:eastAsia="黑体" w:cs="黑体"/>
          <w:sz w:val="30"/>
          <w:szCs w:val="30"/>
          <w:lang w:bidi="ar-SA"/>
        </w:rPr>
        <w:t>创新农产品流通服务体系</w:t>
      </w:r>
      <w:bookmarkEnd w:id="391"/>
      <w:bookmarkEnd w:id="392"/>
      <w:bookmarkEnd w:id="393"/>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提升农产品企业品牌营销能力。</w:t>
      </w:r>
      <w:r>
        <w:rPr>
          <w:rFonts w:hint="eastAsia" w:ascii="宋体" w:hAnsi="宋体" w:eastAsia="宋体" w:cs="宋体"/>
          <w:sz w:val="28"/>
          <w:szCs w:val="28"/>
        </w:rPr>
        <w:t>支持富硒茶、狮头柑、</w:t>
      </w:r>
      <w:r>
        <w:rPr>
          <w:rFonts w:hint="eastAsia" w:ascii="宋体" w:hAnsi="宋体" w:eastAsia="宋体" w:cs="宋体"/>
          <w:sz w:val="28"/>
          <w:szCs w:val="28"/>
          <w:lang w:val="en-US" w:eastAsia="zh-CN"/>
        </w:rPr>
        <w:t>富硒魔芋</w:t>
      </w:r>
      <w:r>
        <w:rPr>
          <w:rFonts w:hint="eastAsia" w:ascii="宋体" w:hAnsi="宋体" w:eastAsia="宋体" w:cs="宋体"/>
          <w:sz w:val="28"/>
          <w:szCs w:val="28"/>
        </w:rPr>
        <w:t>等特色农产品做大做强，鼓励企业依托农业农村数字化云平台，积极开展大数据营销，探索线上线下一体化新零售模式。推动特色农产品企业“抱团发展”，完善农产品品牌建设，擦亮“</w:t>
      </w:r>
      <w:r>
        <w:rPr>
          <w:rFonts w:hint="eastAsia" w:ascii="宋体" w:hAnsi="宋体" w:eastAsia="宋体" w:cs="宋体"/>
          <w:sz w:val="28"/>
          <w:szCs w:val="28"/>
          <w:lang w:val="en-US" w:eastAsia="zh-CN"/>
        </w:rPr>
        <w:t>紫阳富硒茶</w:t>
      </w:r>
      <w:r>
        <w:rPr>
          <w:rFonts w:hint="eastAsia" w:ascii="宋体" w:hAnsi="宋体" w:eastAsia="宋体" w:cs="宋体"/>
          <w:sz w:val="28"/>
          <w:szCs w:val="28"/>
        </w:rPr>
        <w:t>”等区域公共品牌，以区域品牌建设带动高质量发展。建立农业品牌发展联盟，以统一品牌销售的方式，提升</w:t>
      </w:r>
      <w:r>
        <w:rPr>
          <w:rFonts w:hint="eastAsia" w:ascii="宋体" w:hAnsi="宋体" w:eastAsia="宋体" w:cs="宋体"/>
          <w:sz w:val="28"/>
          <w:szCs w:val="28"/>
          <w:lang w:eastAsia="zh-CN"/>
        </w:rPr>
        <w:t>农产</w:t>
      </w:r>
      <w:r>
        <w:rPr>
          <w:rFonts w:hint="eastAsia" w:ascii="宋体" w:hAnsi="宋体" w:eastAsia="宋体" w:cs="宋体"/>
          <w:sz w:val="28"/>
          <w:szCs w:val="28"/>
        </w:rPr>
        <w:t>品的品牌溢价。聘请专业品牌营销运营团队，依托互联网新渠道新模式进行农产品品牌化宣传，实现农产品的数字赋能。</w:t>
      </w:r>
    </w:p>
    <w:p>
      <w:pPr>
        <w:pStyle w:val="5"/>
        <w:bidi w:val="0"/>
        <w:outlineLvl w:val="1"/>
        <w:rPr>
          <w:rFonts w:hint="eastAsia" w:ascii="黑体" w:hAnsi="黑体" w:eastAsia="黑体" w:cs="黑体"/>
          <w:sz w:val="30"/>
          <w:szCs w:val="30"/>
          <w:lang w:val="en-US" w:eastAsia="zh-CN"/>
        </w:rPr>
      </w:pPr>
      <w:bookmarkStart w:id="394" w:name="_Toc7399"/>
      <w:bookmarkStart w:id="395" w:name="_Toc7762"/>
      <w:bookmarkStart w:id="396" w:name="_Toc11417"/>
      <w:bookmarkStart w:id="397" w:name="_Toc26064"/>
      <w:bookmarkStart w:id="398" w:name="_Toc8441"/>
      <w:bookmarkStart w:id="399" w:name="_Toc26125"/>
      <w:bookmarkStart w:id="400" w:name="_Toc17657"/>
      <w:bookmarkStart w:id="401" w:name="_Toc12517"/>
      <w:r>
        <w:rPr>
          <w:rFonts w:hint="eastAsia" w:ascii="黑体" w:hAnsi="黑体" w:eastAsia="黑体" w:cs="黑体"/>
          <w:sz w:val="30"/>
          <w:szCs w:val="30"/>
          <w:lang w:val="en-US" w:eastAsia="zh-CN"/>
        </w:rPr>
        <w:t>10.5强化农村科技创新供给</w:t>
      </w:r>
      <w:bookmarkEnd w:id="394"/>
      <w:bookmarkEnd w:id="395"/>
      <w:bookmarkEnd w:id="396"/>
      <w:bookmarkEnd w:id="397"/>
      <w:bookmarkEnd w:id="398"/>
      <w:bookmarkEnd w:id="399"/>
      <w:bookmarkEnd w:id="400"/>
      <w:bookmarkEnd w:id="401"/>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促进农业产品生产数字化。</w:t>
      </w:r>
      <w:r>
        <w:rPr>
          <w:rFonts w:hint="eastAsia" w:asciiTheme="minorEastAsia" w:hAnsiTheme="minorEastAsia" w:eastAsiaTheme="minorEastAsia" w:cstheme="minorEastAsia"/>
          <w:kern w:val="0"/>
          <w:sz w:val="28"/>
          <w:szCs w:val="28"/>
          <w:lang w:val="en-US" w:eastAsia="zh-CN" w:bidi="ar-SA"/>
        </w:rPr>
        <w:t>加快推进云计算、大数据、物联网、空间信息、人工智能等新一代信息技术在农业生产过程中的深度应用融合，集中打造一批数字农业建设试点项目，重点升级县域富硒茶、富硒农业的数字化生产水平。加快物联网、大数据、空间信息、智能装备等新一代信息技术在高效生态农业生产中的全面融合与应用，建设一批数字化现代农业示范园区，重点在茶叶生产基地、富硒农产品生产基地、畜禽水产养殖基地等农产品核心示范区推广应用。加强农业高新技术产业和企业培育发挥其辐射带动作用，建设一批农业高新技术产业示范区和农业科技园区，孵化培育一批农业高新技术企业，形成一批带动性强、特色鲜明的农业高新技术产业集群，把农业科技园区建设成为创新创业的重要基地、集聚创新资源的重要载体。</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促进农业装备智能化。</w:t>
      </w:r>
      <w:r>
        <w:rPr>
          <w:rFonts w:hint="eastAsia" w:asciiTheme="minorEastAsia" w:hAnsiTheme="minorEastAsia" w:eastAsiaTheme="minorEastAsia" w:cstheme="minorEastAsia"/>
          <w:kern w:val="0"/>
          <w:sz w:val="28"/>
          <w:szCs w:val="28"/>
          <w:lang w:val="en-US" w:eastAsia="zh-CN" w:bidi="ar-SA"/>
        </w:rPr>
        <w:t>推广农业智能装备，提升农业装备智能化水平。推动信息化与农业装备、农机作业服务和农机管理融合应用。推动建设一批新农民新技术创业创新中心，加速产学研用合作。主要聚集应用农业大数据分析等先进技术，打造“互联网+农业科技”的综合信息服务平台，依托互联网推动科技成果转化与推广；推进校地合作示范基地建设，强化政产学研用协同创新成果转化机制；积极引导社会科技力量大力参与农业技术咨询、技术中介和技术服务机构，通过技术咨询服务引导先进技术的成果转化；建立农业科技成果转化网络服务体系，支持建设农业技术在线交易市场；完善农业科技信息服务平台，鼓励技术专家在线为农民解决农业生产难题。</w:t>
      </w:r>
    </w:p>
    <w:p>
      <w:pPr>
        <w:pStyle w:val="5"/>
        <w:bidi w:val="0"/>
        <w:outlineLvl w:val="1"/>
        <w:rPr>
          <w:rFonts w:hint="eastAsia" w:ascii="黑体" w:hAnsi="黑体" w:eastAsia="黑体" w:cs="黑体"/>
          <w:sz w:val="30"/>
          <w:szCs w:val="30"/>
          <w:lang w:val="en-US" w:eastAsia="zh-CN"/>
        </w:rPr>
      </w:pPr>
      <w:bookmarkStart w:id="402" w:name="_Toc16803"/>
      <w:bookmarkStart w:id="403" w:name="_Toc8727"/>
      <w:bookmarkStart w:id="404" w:name="_Toc1068"/>
      <w:bookmarkStart w:id="405" w:name="_Toc18404"/>
      <w:bookmarkStart w:id="406" w:name="_Toc16789"/>
      <w:bookmarkStart w:id="407" w:name="_Toc1126"/>
      <w:bookmarkStart w:id="408" w:name="_Toc11511"/>
      <w:bookmarkStart w:id="409" w:name="_Toc31767"/>
      <w:r>
        <w:rPr>
          <w:rFonts w:hint="eastAsia" w:ascii="黑体" w:hAnsi="黑体" w:eastAsia="黑体" w:cs="黑体"/>
          <w:sz w:val="30"/>
          <w:szCs w:val="30"/>
          <w:lang w:val="en-US" w:eastAsia="zh-CN"/>
        </w:rPr>
        <w:t>10.6积极发展乡村新业态</w:t>
      </w:r>
      <w:bookmarkEnd w:id="402"/>
      <w:bookmarkEnd w:id="403"/>
      <w:bookmarkEnd w:id="404"/>
      <w:bookmarkEnd w:id="405"/>
      <w:bookmarkEnd w:id="406"/>
      <w:bookmarkEnd w:id="407"/>
      <w:bookmarkEnd w:id="408"/>
      <w:bookmarkEnd w:id="409"/>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加强“农业+服务+产业”全面发展。</w:t>
      </w:r>
      <w:r>
        <w:rPr>
          <w:rFonts w:hint="eastAsia" w:asciiTheme="minorEastAsia" w:hAnsiTheme="minorEastAsia" w:eastAsiaTheme="minorEastAsia" w:cstheme="minorEastAsia"/>
          <w:kern w:val="0"/>
          <w:sz w:val="28"/>
          <w:szCs w:val="28"/>
          <w:lang w:val="en-US" w:eastAsia="zh-CN" w:bidi="ar-SA"/>
        </w:rPr>
        <w:t>基于数字技术的特色农产品种植、精深加工、冷链物流、农业观光、乡村旅游等一体化发展，整合、延伸和再造农业农村经济产业链、供应链、价值链。推动互联网与特色农业深度融合，发展创意农业、认养农业、观光农业、都市农业等新业态，促进游憩休闲、健康养生、创意民宿等新产业发展，规范有序发展乡村共享经济。加速推进“互联网+教育”“互联网+医疗”“互联网+文化”等，让农民少跑腿、数据多跑路，不断提升公共服务均等化、普惠化、便捷化水平；推进教育、就业、社保、医药卫生、住房、交通等领域大数据普及应用，提升村民利用数字资源、数字工具的能力,扩大数字使用需求。统筹整合相关部门数据信息，建立数据共享共用机制，打破部门之间的“数据壁垒”，推动数据的便捷和快速性。</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持续“农业+休闲+旅游”融合兴起。</w:t>
      </w:r>
      <w:r>
        <w:rPr>
          <w:rFonts w:hint="eastAsia" w:asciiTheme="minorEastAsia" w:hAnsiTheme="minorEastAsia" w:eastAsiaTheme="minorEastAsia" w:cstheme="minorEastAsia"/>
          <w:kern w:val="0"/>
          <w:sz w:val="28"/>
          <w:szCs w:val="28"/>
          <w:lang w:val="en-US" w:eastAsia="zh-CN" w:bidi="ar-SA"/>
        </w:rPr>
        <w:t>数字经济时代下的休闲旅游业，主要依托农村田园景观、民俗风情和特色产业等资源，不断积极开发农事体验、旅游观光、文化表演等当地特色，并通过抖音短视频、快手短视频等传递到人们的手机中从而提升农村特色文化资源和文化价值。促进乡村文化资源数字化，应用虚拟现实、图像处理、人工智能等现代信息技术，助力乡村文化资源的数字化进程。同时加快推进5G网络在旅游业的商业化应用，积极探索“云上旅游”的线上体验，挖掘新的消费增长点，推进全县旅游数据资源共享，抓好旅游产品科技赋能和升级改造。对现有的旅游专线、景区景点、文化街区等构建线上旅游公共服务体系和支撑体系，从而统筹基础设施建设、政府监督管理系统、市民体验模式等的数字化转型。</w:t>
      </w:r>
    </w:p>
    <w:p>
      <w:pPr>
        <w:rPr>
          <w:rFonts w:hint="eastAsia"/>
          <w:lang w:val="en-US" w:eastAsia="zh-CN"/>
        </w:rPr>
      </w:pPr>
      <w:bookmarkStart w:id="410" w:name="_Toc30634"/>
      <w:bookmarkStart w:id="411" w:name="_Toc24772"/>
      <w:bookmarkStart w:id="412" w:name="_Toc15845"/>
      <w:bookmarkStart w:id="413" w:name="_Toc27562"/>
      <w:bookmarkStart w:id="414" w:name="_Toc5788"/>
      <w:bookmarkStart w:id="415" w:name="_Toc22307"/>
      <w:bookmarkStart w:id="416" w:name="_Toc10741"/>
      <w:r>
        <w:rPr>
          <w:rFonts w:hint="eastAsia"/>
          <w:lang w:val="en-US" w:eastAsia="zh-CN"/>
        </w:rPr>
        <w:br w:type="page"/>
      </w:r>
    </w:p>
    <w:p>
      <w:pPr>
        <w:pStyle w:val="4"/>
        <w:bidi w:val="0"/>
        <w:jc w:val="center"/>
        <w:outlineLvl w:val="0"/>
        <w:rPr>
          <w:rFonts w:hint="eastAsia" w:asciiTheme="minorEastAsia" w:hAnsiTheme="minorEastAsia" w:eastAsiaTheme="minorEastAsia" w:cstheme="minorEastAsia"/>
          <w:szCs w:val="28"/>
          <w:lang w:val="en-US" w:eastAsia="zh-CN"/>
        </w:rPr>
      </w:pPr>
      <w:bookmarkStart w:id="417" w:name="_Toc28682"/>
      <w:r>
        <w:rPr>
          <w:rFonts w:hint="eastAsia"/>
          <w:lang w:val="en-US" w:eastAsia="zh-CN"/>
        </w:rPr>
        <w:t>第十一章 加快推进数字化治理进程</w:t>
      </w:r>
      <w:bookmarkEnd w:id="410"/>
      <w:bookmarkEnd w:id="411"/>
      <w:bookmarkEnd w:id="412"/>
      <w:bookmarkEnd w:id="413"/>
      <w:bookmarkEnd w:id="414"/>
      <w:bookmarkEnd w:id="415"/>
      <w:bookmarkEnd w:id="416"/>
      <w:bookmarkEnd w:id="417"/>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宋体" w:hAnsi="宋体" w:eastAsia="宋体" w:cs="宋体"/>
          <w:kern w:val="0"/>
          <w:sz w:val="28"/>
          <w:szCs w:val="28"/>
          <w:lang w:val="en-US" w:eastAsia="zh-CN" w:bidi="ar-SA"/>
        </w:rPr>
      </w:pPr>
      <w:bookmarkStart w:id="418" w:name="_Toc27439"/>
      <w:bookmarkStart w:id="419" w:name="_Toc23745"/>
      <w:bookmarkStart w:id="420" w:name="_Toc15787"/>
      <w:bookmarkStart w:id="421" w:name="_Toc19247"/>
      <w:bookmarkStart w:id="422" w:name="_Toc8205"/>
      <w:bookmarkStart w:id="423" w:name="_Toc13482"/>
      <w:bookmarkStart w:id="424" w:name="_Toc7343"/>
      <w:r>
        <w:rPr>
          <w:rFonts w:hint="eastAsia" w:ascii="宋体" w:hAnsi="宋体" w:eastAsia="宋体" w:cs="宋体"/>
          <w:kern w:val="0"/>
          <w:sz w:val="28"/>
          <w:szCs w:val="28"/>
          <w:lang w:val="en-US" w:eastAsia="zh-CN" w:bidi="ar-SA"/>
        </w:rPr>
        <w:t>数字化治理要求积极引导多元主体的广泛参与，政府引导数字化资源共享平台的建设，为群众提供数字化的公共服务，强化数字信用与监管能力，以保证各类产业增加效率、平稳、安全运行。</w:t>
      </w:r>
    </w:p>
    <w:p>
      <w:pPr>
        <w:pStyle w:val="5"/>
        <w:keepNext w:val="0"/>
        <w:keepLines w:val="0"/>
        <w:widowControl/>
        <w:suppressLineNumbers w:val="0"/>
        <w:spacing w:before="260" w:beforeAutospacing="0" w:after="260" w:afterAutospacing="0" w:line="360" w:lineRule="auto"/>
        <w:ind w:left="0" w:right="0" w:firstLine="0"/>
        <w:outlineLvl w:val="1"/>
        <w:rPr>
          <w:rFonts w:hint="eastAsia" w:ascii="黑体" w:hAnsi="黑体" w:eastAsia="黑体" w:cs="黑体"/>
          <w:sz w:val="30"/>
          <w:szCs w:val="30"/>
          <w:lang w:bidi="ar-SA"/>
        </w:rPr>
      </w:pPr>
      <w:bookmarkStart w:id="425" w:name="_Toc28400"/>
      <w:bookmarkStart w:id="426" w:name="_Toc327"/>
      <w:bookmarkStart w:id="427" w:name="_Toc22335"/>
      <w:bookmarkStart w:id="428" w:name="_Toc6372"/>
      <w:bookmarkStart w:id="429" w:name="_Toc10415"/>
      <w:bookmarkStart w:id="430" w:name="_Toc10847"/>
      <w:bookmarkStart w:id="431" w:name="_Toc1562"/>
      <w:bookmarkStart w:id="432" w:name="_Toc9257"/>
      <w:bookmarkStart w:id="433" w:name="_Toc29677"/>
      <w:bookmarkStart w:id="434" w:name="_Toc26286_WPSOffice_Level2"/>
      <w:bookmarkStart w:id="435" w:name="_Toc11323"/>
      <w:bookmarkStart w:id="436" w:name="_Toc2326"/>
      <w:bookmarkStart w:id="437" w:name="_Toc8392"/>
      <w:bookmarkStart w:id="438" w:name="_Toc9224"/>
      <w:bookmarkStart w:id="439" w:name="_Toc31098"/>
      <w:bookmarkStart w:id="440" w:name="_Toc15691"/>
      <w:r>
        <w:rPr>
          <w:rFonts w:hint="eastAsia" w:ascii="黑体" w:hAnsi="黑体" w:eastAsia="黑体" w:cs="黑体"/>
          <w:sz w:val="30"/>
          <w:szCs w:val="30"/>
          <w:lang w:val="en-US" w:eastAsia="zh-CN" w:bidi="ar-SA"/>
        </w:rPr>
        <w:t>11.1</w:t>
      </w:r>
      <w:r>
        <w:rPr>
          <w:rFonts w:hint="eastAsia" w:ascii="黑体" w:hAnsi="黑体" w:eastAsia="黑体" w:cs="黑体"/>
          <w:sz w:val="30"/>
          <w:szCs w:val="30"/>
          <w:lang w:bidi="ar-SA"/>
        </w:rPr>
        <w:t>加快数据资源整合开放</w:t>
      </w:r>
      <w:bookmarkEnd w:id="425"/>
      <w:bookmarkEnd w:id="426"/>
      <w:bookmarkEnd w:id="427"/>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360" w:lineRule="auto"/>
        <w:ind w:left="0" w:right="0" w:firstLine="560" w:firstLineChars="200"/>
        <w:textAlignment w:val="auto"/>
        <w:rPr>
          <w:rFonts w:hint="eastAsia" w:ascii="宋体" w:hAnsi="宋体" w:cs="宋体"/>
          <w:kern w:val="0"/>
          <w:sz w:val="28"/>
          <w:szCs w:val="28"/>
          <w:lang w:bidi="ar-SA"/>
        </w:rPr>
      </w:pPr>
      <w:r>
        <w:rPr>
          <w:rFonts w:hint="eastAsia" w:ascii="宋体" w:hAnsi="宋体" w:eastAsia="宋体" w:cs="宋体"/>
          <w:kern w:val="0"/>
          <w:sz w:val="28"/>
          <w:szCs w:val="28"/>
          <w:lang w:bidi="ar-SA"/>
        </w:rPr>
        <w:t xml:space="preserve">研究制定数据资源管理办法，建立跨层级、跨地域、跨系统、跨部门、跨业务的信息资源目录体系和交换体系。明确数据采集、管理、开放、共享、交易等规范，对政府数据存储资源、计算资源和宽带资源实施统一管理，推动公共数据资源的归集整合与共享开放。通过明确各部门数据收集的范围与格式、数据管理的权限与程序、数据共享的边界与方式等，基本形成跨部门的数据资源共享共用格局。 </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360" w:lineRule="auto"/>
        <w:ind w:left="0" w:right="0" w:firstLine="560" w:firstLineChars="200"/>
        <w:textAlignment w:val="auto"/>
        <w:rPr>
          <w:rFonts w:hint="eastAsia" w:ascii="宋体" w:hAnsi="宋体" w:cs="宋体"/>
          <w:szCs w:val="28"/>
        </w:rPr>
      </w:pPr>
      <w:r>
        <w:rPr>
          <w:rFonts w:hint="eastAsia" w:ascii="宋体" w:hAnsi="宋体" w:eastAsia="宋体" w:cs="宋体"/>
          <w:kern w:val="0"/>
          <w:sz w:val="28"/>
          <w:szCs w:val="28"/>
          <w:lang w:bidi="ar-SA"/>
        </w:rPr>
        <w:t>推进城乡公共信息平台建设，构建政府数据统一共享交换平台。不断采集汇聚物联网、互联网数据，大力推动政府部门和公共事业单位数据资源向城乡公共信息服务平台迁移，促进政府、公共数据的有效融合和共享开放，推动城市各领域数据的开放流通和价值挖掘，助力打造共建、共享、共治的社会治理新模式。</w:t>
      </w:r>
      <w:r>
        <w:rPr>
          <w:rFonts w:hint="eastAsia" w:ascii="宋体" w:hAnsi="宋体" w:eastAsia="宋体" w:cs="宋体"/>
          <w:sz w:val="24"/>
          <w:szCs w:val="28"/>
          <w:lang w:bidi="ar-SA"/>
        </w:rPr>
        <w:t xml:space="preserve"> </w:t>
      </w:r>
    </w:p>
    <w:bookmarkEnd w:id="428"/>
    <w:bookmarkEnd w:id="429"/>
    <w:bookmarkEnd w:id="430"/>
    <w:bookmarkEnd w:id="431"/>
    <w:bookmarkEnd w:id="432"/>
    <w:bookmarkEnd w:id="433"/>
    <w:bookmarkEnd w:id="434"/>
    <w:bookmarkEnd w:id="435"/>
    <w:bookmarkEnd w:id="436"/>
    <w:bookmarkEnd w:id="437"/>
    <w:bookmarkEnd w:id="438"/>
    <w:bookmarkEnd w:id="439"/>
    <w:bookmarkEnd w:id="440"/>
    <w:p>
      <w:pPr>
        <w:pStyle w:val="5"/>
        <w:spacing w:before="213"/>
        <w:ind w:left="0" w:right="0" w:firstLine="0"/>
        <w:jc w:val="left"/>
        <w:outlineLvl w:val="1"/>
        <w:rPr>
          <w:rFonts w:hint="eastAsia" w:ascii="黑体" w:hAnsi="黑体" w:eastAsia="黑体" w:cs="黑体"/>
          <w:sz w:val="30"/>
          <w:szCs w:val="30"/>
        </w:rPr>
      </w:pPr>
      <w:bookmarkStart w:id="441" w:name="_Toc6888"/>
      <w:bookmarkStart w:id="442" w:name="_Toc7520"/>
      <w:bookmarkStart w:id="443" w:name="_Toc27560"/>
      <w:bookmarkStart w:id="444" w:name="_Toc15185"/>
      <w:r>
        <w:rPr>
          <w:rFonts w:hint="default" w:ascii="黑体" w:hAnsi="黑体" w:eastAsia="黑体" w:cs="黑体"/>
          <w:w w:val="100"/>
          <w:sz w:val="30"/>
          <w:szCs w:val="30"/>
          <w:lang w:val="en-US" w:eastAsia="zh-CN"/>
        </w:rPr>
        <w:t>11.2</w:t>
      </w:r>
      <w:r>
        <w:rPr>
          <w:rFonts w:hint="eastAsia" w:ascii="黑体" w:hAnsi="黑体" w:eastAsia="黑体" w:cs="黑体"/>
          <w:w w:val="100"/>
          <w:sz w:val="30"/>
          <w:szCs w:val="30"/>
        </w:rPr>
        <w:t>加快建设数字政府</w:t>
      </w:r>
      <w:bookmarkEnd w:id="441"/>
      <w:bookmarkEnd w:id="442"/>
      <w:bookmarkEnd w:id="443"/>
      <w:bookmarkEnd w:id="444"/>
      <w:r>
        <w:rPr>
          <w:rFonts w:hint="eastAsia" w:ascii="黑体" w:hAnsi="黑体" w:eastAsia="黑体" w:cs="黑体"/>
          <w:w w:val="100"/>
          <w:sz w:val="30"/>
          <w:szCs w:val="30"/>
        </w:rPr>
        <w:t xml:space="preserve"> </w:t>
      </w:r>
    </w:p>
    <w:p>
      <w:pPr>
        <w:pStyle w:val="7"/>
        <w:spacing w:before="62" w:line="360" w:lineRule="auto"/>
        <w:ind w:left="0" w:right="341" w:firstLine="0"/>
        <w:jc w:val="both"/>
        <w:rPr>
          <w:rFonts w:hint="eastAsia" w:ascii="宋体" w:hAnsi="宋体" w:eastAsia="宋体" w:cs="宋体"/>
          <w:spacing w:val="-2"/>
          <w:kern w:val="2"/>
          <w:sz w:val="28"/>
          <w:szCs w:val="28"/>
          <w:lang w:val="en-US" w:eastAsia="zh-CN" w:bidi="ar-SA"/>
        </w:rPr>
      </w:pPr>
      <w:r>
        <w:rPr>
          <w:rFonts w:hint="eastAsia" w:ascii="宋体" w:hAnsi="宋体" w:eastAsia="宋体" w:cs="宋体"/>
          <w:spacing w:val="-2"/>
          <w:kern w:val="2"/>
          <w:sz w:val="28"/>
          <w:szCs w:val="28"/>
          <w:lang w:val="en-US" w:eastAsia="zh-CN" w:bidi="ar-SA"/>
        </w:rPr>
        <w:t>推动政务网络建设。 遵循完整性、统一性和先进性原则，使县—镇（乡、街道）政务网保持一致，统筹规划，分级管理，持续推进全县电子政务网络提速和升级改造，降低行政成本、提高行政效率，在网络层面互联基础上，实现应用系统上互通，消除信息孤岛现象。</w:t>
      </w:r>
    </w:p>
    <w:p>
      <w:pPr>
        <w:keepNext w:val="0"/>
        <w:keepLines w:val="0"/>
        <w:pageBreakBefore w:val="0"/>
        <w:widowControl/>
        <w:numPr>
          <w:ilvl w:val="-1"/>
          <w:numId w:val="0"/>
        </w:numPr>
        <w:kinsoku/>
        <w:wordWrap/>
        <w:overflowPunct/>
        <w:topLinePunct w:val="0"/>
        <w:autoSpaceDE/>
        <w:autoSpaceDN/>
        <w:bidi w:val="0"/>
        <w:adjustRightInd w:val="0"/>
        <w:snapToGrid w:val="0"/>
        <w:spacing w:before="80" w:after="80" w:line="360" w:lineRule="auto"/>
        <w:ind w:left="0" w:leftChars="0" w:right="0" w:firstLine="0" w:firstLineChars="0"/>
        <w:jc w:val="left"/>
        <w:textAlignment w:val="auto"/>
        <w:outlineLvl w:val="2"/>
        <w:rPr>
          <w:rFonts w:hint="eastAsia" w:ascii="黑体" w:hAnsi="黑体" w:eastAsia="黑体" w:cs="黑体"/>
          <w:b/>
          <w:bCs/>
          <w:sz w:val="28"/>
          <w:szCs w:val="28"/>
        </w:rPr>
      </w:pPr>
      <w:bookmarkStart w:id="445" w:name="_Toc7759"/>
      <w:bookmarkStart w:id="446" w:name="_Toc26951"/>
      <w:bookmarkStart w:id="447" w:name="_Toc22726"/>
      <w:bookmarkStart w:id="448" w:name="_Toc1355"/>
      <w:bookmarkStart w:id="449" w:name="_Toc24586"/>
      <w:bookmarkStart w:id="450" w:name="_Toc15736"/>
      <w:bookmarkStart w:id="451" w:name="_Toc6311"/>
      <w:bookmarkStart w:id="452" w:name="_Toc14619"/>
      <w:r>
        <w:rPr>
          <w:rFonts w:hint="eastAsia" w:ascii="黑体" w:hAnsi="黑体" w:eastAsia="黑体" w:cs="黑体"/>
          <w:b/>
          <w:bCs/>
          <w:sz w:val="28"/>
          <w:szCs w:val="28"/>
          <w:lang w:val="en-US" w:eastAsia="zh-CN"/>
        </w:rPr>
        <w:t>11.2.1.</w:t>
      </w:r>
      <w:r>
        <w:rPr>
          <w:rFonts w:hint="eastAsia" w:ascii="黑体" w:hAnsi="黑体" w:eastAsia="黑体" w:cs="黑体"/>
          <w:b/>
          <w:bCs/>
          <w:w w:val="100"/>
          <w:sz w:val="28"/>
          <w:szCs w:val="28"/>
        </w:rPr>
        <w:t>加强“政务云”建设</w:t>
      </w:r>
      <w:bookmarkEnd w:id="445"/>
      <w:bookmarkEnd w:id="446"/>
      <w:bookmarkEnd w:id="447"/>
      <w:bookmarkEnd w:id="448"/>
      <w:bookmarkEnd w:id="449"/>
      <w:bookmarkEnd w:id="450"/>
      <w:bookmarkEnd w:id="451"/>
      <w:bookmarkEnd w:id="452"/>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39"/>
        <w:jc w:val="both"/>
        <w:textAlignment w:val="auto"/>
        <w:rPr>
          <w:rFonts w:hint="eastAsia" w:ascii="宋体" w:hAnsi="宋体" w:eastAsia="宋体" w:cs="宋体"/>
          <w:sz w:val="28"/>
          <w:szCs w:val="28"/>
        </w:rPr>
      </w:pPr>
      <w:r>
        <w:rPr>
          <w:rFonts w:hint="eastAsia" w:ascii="宋体" w:hAnsi="宋体" w:eastAsia="宋体" w:cs="宋体"/>
          <w:spacing w:val="-2"/>
          <w:kern w:val="2"/>
          <w:sz w:val="28"/>
          <w:szCs w:val="28"/>
          <w:lang w:val="en-US" w:eastAsia="zh-CN" w:bidi="ar-SA"/>
        </w:rPr>
        <w:t>统一规划建设我县“政务云”计算中心，逐步打造具有良好弹性、扩展性、安全性、高可靠性的“政务云”计算中心，为全县提供信息化的基础支撑能力，引领“数字政府”向集约化建设、集中式管理、一体化服务的新模式发展。</w:t>
      </w:r>
      <w:r>
        <w:rPr>
          <w:rFonts w:hint="eastAsia" w:ascii="宋体" w:hAnsi="宋体" w:eastAsia="宋体" w:cs="宋体"/>
          <w:w w:val="100"/>
          <w:sz w:val="28"/>
          <w:szCs w:val="28"/>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pacing w:val="0"/>
          <w:sz w:val="28"/>
          <w:szCs w:val="28"/>
        </w:rPr>
        <w:t>建设云基础设施。</w:t>
      </w:r>
      <w:r>
        <w:rPr>
          <w:rFonts w:hint="eastAsia" w:ascii="宋体" w:hAnsi="宋体" w:eastAsia="宋体" w:cs="宋体"/>
          <w:spacing w:val="-2"/>
          <w:kern w:val="2"/>
          <w:sz w:val="28"/>
          <w:szCs w:val="28"/>
          <w:lang w:val="en-US" w:eastAsia="zh-CN" w:bidi="ar-SA"/>
        </w:rPr>
        <w:t xml:space="preserve">以云计算架构为基础，通过构建“政务云”硬件资源服务、基础设施管理平台及网络资源运行环境，充分保障各类业务应用系统的运行承载。为进一步提升云服务的可靠性和质量降低成本。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43"/>
        <w:textAlignment w:val="auto"/>
        <w:rPr>
          <w:rFonts w:hint="eastAsia" w:ascii="宋体" w:hAnsi="宋体" w:eastAsia="宋体" w:cs="宋体"/>
          <w:sz w:val="28"/>
          <w:szCs w:val="28"/>
        </w:rPr>
      </w:pPr>
      <w:r>
        <w:rPr>
          <w:rFonts w:hint="eastAsia" w:ascii="宋体" w:hAnsi="宋体" w:eastAsia="宋体" w:cs="宋体"/>
          <w:b/>
          <w:bCs/>
          <w:spacing w:val="0"/>
          <w:sz w:val="28"/>
          <w:szCs w:val="28"/>
        </w:rPr>
        <w:t>加速应用迁移上云。</w:t>
      </w:r>
      <w:r>
        <w:rPr>
          <w:rFonts w:hint="eastAsia" w:ascii="宋体" w:hAnsi="宋体" w:eastAsia="宋体" w:cs="宋体"/>
          <w:spacing w:val="-2"/>
          <w:kern w:val="2"/>
          <w:sz w:val="28"/>
          <w:szCs w:val="28"/>
          <w:lang w:val="en-US" w:eastAsia="zh-CN" w:bidi="ar-SA"/>
        </w:rPr>
        <w:t>加快部门非涉密独立系统向“政务云”迁移速度，逐步打造跨层级、跨系统、跨部门、跨业务的统一安全的“电子政务云”平台，形成物理分散、逻辑统一、资源统一调度、管理相对独立的分布式“政务云”。</w:t>
      </w:r>
      <w:r>
        <w:rPr>
          <w:rFonts w:hint="eastAsia" w:ascii="宋体" w:hAnsi="宋体" w:eastAsia="宋体" w:cs="宋体"/>
          <w:spacing w:val="0"/>
          <w:w w:val="100"/>
          <w:sz w:val="28"/>
          <w:szCs w:val="28"/>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43"/>
        <w:jc w:val="both"/>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pacing w:val="0"/>
          <w:sz w:val="28"/>
          <w:szCs w:val="28"/>
        </w:rPr>
        <w:t>建设运维与运营管理体系。</w:t>
      </w:r>
      <w:r>
        <w:rPr>
          <w:rFonts w:hint="eastAsia" w:ascii="宋体" w:hAnsi="宋体" w:eastAsia="宋体" w:cs="宋体"/>
          <w:spacing w:val="-2"/>
          <w:kern w:val="2"/>
          <w:sz w:val="28"/>
          <w:szCs w:val="28"/>
          <w:lang w:val="en-US" w:eastAsia="zh-CN" w:bidi="ar-SA"/>
        </w:rPr>
        <w:t>通过建设统一的“政务云”运维管理系统、有效的网络安全防护体系、统一的网络信任体系等，高效保证“政务云”计算中心的良性运转，为各类业务提供安全、稳定、可靠的云计算资源能力。</w:t>
      </w:r>
    </w:p>
    <w:p>
      <w:pPr>
        <w:keepNext w:val="0"/>
        <w:keepLines w:val="0"/>
        <w:pageBreakBefore w:val="0"/>
        <w:widowControl/>
        <w:kinsoku/>
        <w:wordWrap/>
        <w:overflowPunct/>
        <w:topLinePunct w:val="0"/>
        <w:autoSpaceDE/>
        <w:autoSpaceDN/>
        <w:bidi w:val="0"/>
        <w:adjustRightInd w:val="0"/>
        <w:snapToGrid w:val="0"/>
        <w:spacing w:before="260" w:line="360" w:lineRule="auto"/>
        <w:textAlignment w:val="auto"/>
        <w:outlineLvl w:val="2"/>
        <w:rPr>
          <w:rFonts w:hint="eastAsia" w:ascii="黑体" w:hAnsi="黑体" w:eastAsia="黑体" w:cs="黑体"/>
          <w:b/>
          <w:bCs/>
          <w:sz w:val="28"/>
          <w:szCs w:val="28"/>
        </w:rPr>
      </w:pPr>
      <w:bookmarkStart w:id="453" w:name="_Toc20337"/>
      <w:bookmarkStart w:id="454" w:name="_Toc20842"/>
      <w:bookmarkStart w:id="455" w:name="_Toc13075"/>
      <w:bookmarkStart w:id="456" w:name="_Toc15078"/>
      <w:bookmarkStart w:id="457" w:name="_Toc1325"/>
      <w:bookmarkStart w:id="458" w:name="_Toc14605"/>
      <w:r>
        <w:rPr>
          <w:rFonts w:hint="eastAsia" w:ascii="黑体" w:hAnsi="黑体" w:eastAsia="黑体" w:cs="黑体"/>
          <w:b/>
          <w:bCs/>
          <w:sz w:val="28"/>
          <w:szCs w:val="28"/>
          <w:lang w:val="en-US" w:eastAsia="zh-CN"/>
        </w:rPr>
        <w:t>11.2.2.建设政务信息共享开放平台</w:t>
      </w:r>
      <w:bookmarkEnd w:id="453"/>
      <w:bookmarkEnd w:id="454"/>
      <w:bookmarkEnd w:id="455"/>
      <w:bookmarkEnd w:id="456"/>
      <w:bookmarkEnd w:id="457"/>
      <w:bookmarkEnd w:id="458"/>
      <w:r>
        <w:rPr>
          <w:rFonts w:hint="eastAsia" w:ascii="黑体" w:hAnsi="黑体" w:eastAsia="黑体" w:cs="黑体"/>
          <w:b/>
          <w:bCs/>
          <w:sz w:val="28"/>
          <w:szCs w:val="28"/>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0" w:line="360" w:lineRule="auto"/>
        <w:ind w:left="0" w:right="0"/>
        <w:textAlignment w:val="auto"/>
        <w:rPr>
          <w:rFonts w:hint="eastAsia" w:ascii="宋体" w:hAnsi="宋体" w:eastAsia="宋体" w:cs="宋体"/>
          <w:sz w:val="28"/>
          <w:szCs w:val="28"/>
        </w:rPr>
      </w:pPr>
      <w:bookmarkStart w:id="459" w:name="_Toc14500"/>
      <w:bookmarkStart w:id="460" w:name="_Toc28835"/>
      <w:r>
        <w:rPr>
          <w:rFonts w:hint="eastAsia" w:ascii="宋体" w:hAnsi="宋体" w:eastAsia="宋体" w:cs="宋体"/>
          <w:spacing w:val="-2"/>
          <w:kern w:val="2"/>
          <w:sz w:val="28"/>
          <w:szCs w:val="28"/>
          <w:lang w:val="en-US" w:eastAsia="zh-CN" w:bidi="ar-SA"/>
        </w:rPr>
        <w:t>依托县政府门户网站，建设全县统一规范、互联互通、安全可控的数据共享开放平台，实现数据资源汇集，以可再利用的数据集的形式开放，营造全社会广泛参与和开发利用公共信息资源的良好氛围。</w:t>
      </w:r>
      <w:r>
        <w:rPr>
          <w:rFonts w:hint="eastAsia" w:ascii="宋体" w:hAnsi="宋体" w:eastAsia="宋体" w:cs="宋体"/>
          <w:sz w:val="28"/>
          <w:szCs w:val="28"/>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hanging="1"/>
        <w:textAlignment w:val="auto"/>
        <w:rPr>
          <w:rFonts w:hint="eastAsia" w:ascii="宋体" w:hAnsi="宋体" w:eastAsia="宋体" w:cs="宋体"/>
          <w:sz w:val="28"/>
          <w:szCs w:val="28"/>
        </w:rPr>
      </w:pPr>
      <w:r>
        <w:rPr>
          <w:rFonts w:hint="eastAsia" w:ascii="宋体" w:hAnsi="宋体" w:eastAsia="宋体" w:cs="宋体"/>
          <w:b/>
          <w:bCs/>
          <w:spacing w:val="0"/>
          <w:sz w:val="28"/>
          <w:szCs w:val="28"/>
        </w:rPr>
        <w:t>加快政府数据资源库建设。</w:t>
      </w:r>
      <w:r>
        <w:rPr>
          <w:rFonts w:hint="eastAsia" w:ascii="宋体" w:hAnsi="宋体" w:eastAsia="宋体" w:cs="宋体"/>
          <w:spacing w:val="0"/>
          <w:sz w:val="28"/>
          <w:szCs w:val="28"/>
        </w:rPr>
        <w:t>建立数据资源目录，制定统一数据标准，加快政府基础信息资源库建设，形成“物理+逻辑”</w:t>
      </w:r>
      <w:r>
        <w:rPr>
          <w:rFonts w:hint="eastAsia" w:ascii="宋体" w:hAnsi="宋体" w:eastAsia="宋体" w:cs="宋体"/>
          <w:sz w:val="28"/>
          <w:szCs w:val="28"/>
        </w:rPr>
        <w:t>的政</w:t>
      </w:r>
      <w:r>
        <w:rPr>
          <w:rFonts w:hint="eastAsia" w:ascii="宋体" w:hAnsi="宋体" w:eastAsia="宋体" w:cs="宋体"/>
          <w:spacing w:val="0"/>
          <w:sz w:val="28"/>
          <w:szCs w:val="28"/>
        </w:rPr>
        <w:t>府大数据资源池，实现全</w:t>
      </w:r>
      <w:r>
        <w:rPr>
          <w:rFonts w:hint="eastAsia" w:ascii="宋体" w:hAnsi="宋体" w:eastAsia="宋体" w:cs="宋体"/>
          <w:spacing w:val="0"/>
          <w:sz w:val="28"/>
          <w:szCs w:val="28"/>
          <w:lang w:eastAsia="zh-CN"/>
        </w:rPr>
        <w:t>县</w:t>
      </w:r>
      <w:r>
        <w:rPr>
          <w:rFonts w:hint="eastAsia" w:ascii="宋体" w:hAnsi="宋体" w:eastAsia="宋体" w:cs="宋体"/>
          <w:spacing w:val="0"/>
          <w:sz w:val="28"/>
          <w:szCs w:val="28"/>
        </w:rPr>
        <w:t>部门的政务数据、公共服务数据集中</w:t>
      </w:r>
      <w:r>
        <w:rPr>
          <w:rFonts w:hint="eastAsia" w:ascii="宋体" w:hAnsi="宋体" w:eastAsia="宋体" w:cs="宋体"/>
          <w:w w:val="100"/>
          <w:sz w:val="28"/>
          <w:szCs w:val="28"/>
        </w:rPr>
        <w:t xml:space="preserve">存储。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43"/>
        <w:textAlignment w:val="auto"/>
        <w:rPr>
          <w:rFonts w:hint="eastAsia" w:ascii="宋体" w:hAnsi="宋体" w:eastAsia="宋体" w:cs="宋体"/>
          <w:sz w:val="28"/>
          <w:szCs w:val="28"/>
        </w:rPr>
      </w:pPr>
      <w:r>
        <w:rPr>
          <w:rFonts w:hint="eastAsia" w:ascii="宋体" w:hAnsi="宋体" w:eastAsia="宋体" w:cs="宋体"/>
          <w:b/>
          <w:bCs/>
          <w:spacing w:val="0"/>
          <w:sz w:val="28"/>
          <w:szCs w:val="28"/>
        </w:rPr>
        <w:t>提升数据治理能力。</w:t>
      </w:r>
      <w:r>
        <w:rPr>
          <w:rFonts w:hint="eastAsia" w:ascii="宋体" w:hAnsi="宋体" w:eastAsia="宋体" w:cs="宋体"/>
          <w:spacing w:val="0"/>
          <w:sz w:val="28"/>
          <w:szCs w:val="28"/>
        </w:rPr>
        <w:t>通过建立数据治理平台、数据治理机制、数据使用反馈机制等，规范管理数据资源采集，落实数据质量维</w:t>
      </w:r>
      <w:r>
        <w:rPr>
          <w:rFonts w:hint="eastAsia" w:ascii="宋体" w:hAnsi="宋体" w:eastAsia="宋体" w:cs="宋体"/>
          <w:spacing w:val="0"/>
          <w:w w:val="100"/>
          <w:sz w:val="28"/>
          <w:szCs w:val="28"/>
        </w:rPr>
        <w:t xml:space="preserve">护责任，形成数据资源流通全程闭环管理。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43"/>
        <w:textAlignment w:val="auto"/>
        <w:rPr>
          <w:rFonts w:hint="eastAsia" w:ascii="宋体" w:hAnsi="宋体" w:eastAsia="宋体" w:cs="宋体"/>
          <w:sz w:val="28"/>
          <w:szCs w:val="28"/>
        </w:rPr>
      </w:pPr>
      <w:r>
        <w:rPr>
          <w:rFonts w:hint="eastAsia" w:ascii="宋体" w:hAnsi="宋体" w:eastAsia="宋体" w:cs="宋体"/>
          <w:b/>
          <w:bCs/>
          <w:spacing w:val="0"/>
          <w:sz w:val="28"/>
          <w:szCs w:val="28"/>
        </w:rPr>
        <w:t>建设数据开放平台。</w:t>
      </w:r>
      <w:r>
        <w:rPr>
          <w:rFonts w:hint="eastAsia" w:ascii="宋体" w:hAnsi="宋体" w:eastAsia="宋体" w:cs="宋体"/>
          <w:spacing w:val="0"/>
          <w:sz w:val="28"/>
          <w:szCs w:val="28"/>
        </w:rPr>
        <w:t>通过提供政府数据共享开放平台的接口</w:t>
      </w:r>
      <w:r>
        <w:rPr>
          <w:rFonts w:hint="eastAsia" w:ascii="宋体" w:hAnsi="宋体" w:eastAsia="宋体" w:cs="宋体"/>
          <w:spacing w:val="0"/>
          <w:sz w:val="28"/>
          <w:szCs w:val="28"/>
          <w:lang w:eastAsia="zh-CN"/>
        </w:rPr>
        <w:t>，</w:t>
      </w:r>
      <w:r>
        <w:rPr>
          <w:rFonts w:hint="eastAsia" w:ascii="宋体" w:hAnsi="宋体" w:eastAsia="宋体" w:cs="宋体"/>
          <w:spacing w:val="0"/>
          <w:w w:val="100"/>
          <w:sz w:val="28"/>
          <w:szCs w:val="28"/>
        </w:rPr>
        <w:t>构建政府开放数据应用程序编程接口（</w:t>
      </w:r>
      <w:r>
        <w:rPr>
          <w:rFonts w:hint="eastAsia" w:ascii="宋体" w:hAnsi="宋体" w:eastAsia="宋体" w:cs="宋体"/>
          <w:w w:val="100"/>
          <w:sz w:val="28"/>
          <w:szCs w:val="28"/>
        </w:rPr>
        <w:t>AP</w:t>
      </w:r>
      <w:r>
        <w:rPr>
          <w:rFonts w:hint="eastAsia" w:ascii="宋体" w:hAnsi="宋体" w:eastAsia="宋体" w:cs="宋体"/>
          <w:spacing w:val="0"/>
          <w:w w:val="100"/>
          <w:sz w:val="28"/>
          <w:szCs w:val="28"/>
        </w:rPr>
        <w:t>I），促进公共数据资源</w:t>
      </w:r>
      <w:r>
        <w:rPr>
          <w:rFonts w:hint="eastAsia" w:ascii="宋体" w:hAnsi="宋体" w:eastAsia="宋体" w:cs="宋体"/>
          <w:w w:val="100"/>
          <w:sz w:val="28"/>
          <w:szCs w:val="28"/>
        </w:rPr>
        <w:t xml:space="preserve">开放与利用，带动大数据产业发展。 </w:t>
      </w:r>
    </w:p>
    <w:bookmarkEnd w:id="459"/>
    <w:bookmarkEnd w:id="460"/>
    <w:p>
      <w:pPr>
        <w:keepNext w:val="0"/>
        <w:keepLines w:val="0"/>
        <w:pageBreakBefore w:val="0"/>
        <w:widowControl/>
        <w:numPr>
          <w:ilvl w:val="0"/>
          <w:numId w:val="0"/>
        </w:numPr>
        <w:kinsoku/>
        <w:wordWrap/>
        <w:overflowPunct/>
        <w:topLinePunct w:val="0"/>
        <w:autoSpaceDE/>
        <w:autoSpaceDN/>
        <w:bidi w:val="0"/>
        <w:adjustRightInd w:val="0"/>
        <w:snapToGrid w:val="0"/>
        <w:spacing w:before="80" w:after="80" w:line="360" w:lineRule="auto"/>
        <w:ind w:left="0" w:right="0" w:firstLine="0" w:firstLineChars="0"/>
        <w:textAlignment w:val="auto"/>
        <w:outlineLvl w:val="2"/>
        <w:rPr>
          <w:rFonts w:hint="eastAsia" w:ascii="Tahoma" w:hAnsi="Tahoma" w:eastAsia="微软雅黑" w:cstheme="minorBidi"/>
          <w:b/>
          <w:bCs/>
          <w:sz w:val="28"/>
          <w:szCs w:val="28"/>
        </w:rPr>
      </w:pPr>
      <w:bookmarkStart w:id="461" w:name="_Toc7097"/>
      <w:bookmarkStart w:id="462" w:name="_Toc17835"/>
      <w:bookmarkStart w:id="463" w:name="_Toc1363"/>
      <w:bookmarkStart w:id="464" w:name="_Toc11057"/>
      <w:bookmarkStart w:id="465" w:name="_Toc27971"/>
      <w:bookmarkStart w:id="466" w:name="_Toc19428"/>
      <w:bookmarkStart w:id="467" w:name="_Toc3151"/>
      <w:bookmarkStart w:id="468" w:name="_Toc30641"/>
      <w:r>
        <w:rPr>
          <w:rFonts w:hint="eastAsia" w:ascii="黑体" w:hAnsi="黑体" w:eastAsia="黑体" w:cs="黑体"/>
          <w:b/>
          <w:bCs/>
          <w:w w:val="100"/>
          <w:sz w:val="28"/>
          <w:szCs w:val="28"/>
          <w:lang w:val="en-US" w:eastAsia="zh-CN"/>
        </w:rPr>
        <w:t>11.2.3.</w:t>
      </w:r>
      <w:r>
        <w:rPr>
          <w:rFonts w:hint="eastAsia" w:ascii="黑体" w:hAnsi="黑体" w:eastAsia="黑体" w:cs="黑体"/>
          <w:b/>
          <w:bCs/>
          <w:w w:val="100"/>
          <w:sz w:val="28"/>
          <w:szCs w:val="28"/>
        </w:rPr>
        <w:t xml:space="preserve"> 推进政务信息化应用</w:t>
      </w:r>
      <w:bookmarkEnd w:id="461"/>
      <w:bookmarkEnd w:id="462"/>
      <w:bookmarkEnd w:id="463"/>
      <w:bookmarkEnd w:id="464"/>
      <w:bookmarkEnd w:id="465"/>
      <w:bookmarkEnd w:id="466"/>
      <w:bookmarkEnd w:id="467"/>
      <w:bookmarkEnd w:id="468"/>
      <w:r>
        <w:rPr>
          <w:rFonts w:hint="eastAsia" w:ascii="Tahoma" w:hAnsi="Tahoma" w:eastAsia="微软雅黑" w:cstheme="minorBidi"/>
          <w:b/>
          <w:bCs/>
          <w:w w:val="100"/>
          <w:sz w:val="28"/>
          <w:szCs w:val="28"/>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639"/>
        <w:jc w:val="both"/>
        <w:textAlignment w:val="auto"/>
        <w:rPr>
          <w:rFonts w:hint="eastAsia" w:ascii="宋体" w:hAnsi="宋体" w:eastAsia="宋体" w:cs="宋体"/>
          <w:sz w:val="28"/>
          <w:szCs w:val="28"/>
        </w:rPr>
      </w:pPr>
      <w:r>
        <w:rPr>
          <w:rFonts w:hint="eastAsia" w:ascii="宋体" w:hAnsi="宋体" w:eastAsia="宋体" w:cs="宋体"/>
          <w:w w:val="100"/>
          <w:sz w:val="28"/>
          <w:szCs w:val="28"/>
        </w:rPr>
        <w:t>按照“</w:t>
      </w:r>
      <w:r>
        <w:rPr>
          <w:rFonts w:hint="eastAsia" w:ascii="宋体" w:hAnsi="宋体" w:eastAsia="宋体" w:cs="宋体"/>
          <w:w w:val="100"/>
          <w:sz w:val="28"/>
          <w:szCs w:val="28"/>
          <w:lang w:eastAsia="zh-CN"/>
        </w:rPr>
        <w:t>三</w:t>
      </w:r>
      <w:r>
        <w:rPr>
          <w:rFonts w:hint="eastAsia" w:ascii="宋体" w:hAnsi="宋体" w:eastAsia="宋体" w:cs="宋体"/>
          <w:w w:val="100"/>
          <w:sz w:val="28"/>
          <w:szCs w:val="28"/>
        </w:rPr>
        <w:t>网一</w:t>
      </w:r>
      <w:r>
        <w:rPr>
          <w:rFonts w:hint="eastAsia" w:ascii="宋体" w:hAnsi="宋体" w:eastAsia="宋体" w:cs="宋体"/>
          <w:w w:val="100"/>
          <w:sz w:val="28"/>
          <w:szCs w:val="28"/>
          <w:lang w:eastAsia="zh-CN"/>
        </w:rPr>
        <w:t>库</w:t>
      </w:r>
      <w:r>
        <w:rPr>
          <w:rFonts w:hint="eastAsia" w:ascii="宋体" w:hAnsi="宋体" w:eastAsia="宋体" w:cs="宋体"/>
          <w:w w:val="100"/>
          <w:sz w:val="28"/>
          <w:szCs w:val="28"/>
        </w:rPr>
        <w:t>”应用的建设思路，通过全</w:t>
      </w:r>
      <w:r>
        <w:rPr>
          <w:rFonts w:hint="eastAsia" w:ascii="宋体" w:hAnsi="宋体" w:eastAsia="宋体" w:cs="宋体"/>
          <w:w w:val="100"/>
          <w:sz w:val="28"/>
          <w:szCs w:val="28"/>
          <w:lang w:eastAsia="zh-CN"/>
        </w:rPr>
        <w:t>县</w:t>
      </w:r>
      <w:r>
        <w:rPr>
          <w:rFonts w:hint="eastAsia" w:ascii="宋体" w:hAnsi="宋体" w:eastAsia="宋体" w:cs="宋体"/>
          <w:w w:val="100"/>
          <w:sz w:val="28"/>
          <w:szCs w:val="28"/>
        </w:rPr>
        <w:t>一</w:t>
      </w:r>
      <w:r>
        <w:rPr>
          <w:rFonts w:hint="eastAsia" w:ascii="宋体" w:hAnsi="宋体" w:eastAsia="宋体" w:cs="宋体"/>
          <w:spacing w:val="0"/>
          <w:sz w:val="28"/>
          <w:szCs w:val="28"/>
        </w:rPr>
        <w:t>体化政务服务平台、政府信息化办公系统等应用，整体提升政府政务服务效</w:t>
      </w:r>
      <w:r>
        <w:rPr>
          <w:rFonts w:hint="eastAsia" w:ascii="宋体" w:hAnsi="宋体" w:eastAsia="宋体" w:cs="宋体"/>
          <w:w w:val="100"/>
          <w:sz w:val="28"/>
          <w:szCs w:val="28"/>
        </w:rPr>
        <w:t xml:space="preserve">能和政府治理现代化水平。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0"/>
        <w:jc w:val="both"/>
        <w:textAlignment w:val="auto"/>
        <w:rPr>
          <w:rFonts w:hint="eastAsia" w:ascii="宋体" w:hAnsi="宋体" w:eastAsia="宋体" w:cs="宋体"/>
          <w:w w:val="100"/>
          <w:sz w:val="28"/>
          <w:szCs w:val="28"/>
          <w:lang w:val="en-US" w:eastAsia="zh-CN"/>
        </w:rPr>
      </w:pPr>
      <w:r>
        <w:rPr>
          <w:rFonts w:hint="eastAsia" w:ascii="宋体" w:hAnsi="宋体" w:eastAsia="宋体" w:cs="宋体"/>
          <w:b/>
          <w:bCs/>
          <w:spacing w:val="0"/>
          <w:sz w:val="28"/>
          <w:szCs w:val="28"/>
        </w:rPr>
        <w:t>统筹建设一体化在线政务服务平台。</w:t>
      </w:r>
      <w:r>
        <w:rPr>
          <w:rFonts w:hint="eastAsia" w:ascii="宋体" w:hAnsi="宋体" w:eastAsia="宋体" w:cs="宋体"/>
          <w:spacing w:val="-2"/>
          <w:kern w:val="2"/>
          <w:sz w:val="28"/>
          <w:szCs w:val="28"/>
          <w:lang w:val="en-US" w:eastAsia="zh-CN" w:bidi="ar-SA"/>
        </w:rPr>
        <w:t>通过整合全县各类办事服务平台，建成全县各级互联、协同联动的政务服务平台，实现网上政务服务市、县、镇（乡、街道）全覆盖，促进政务服务跨地区、跨部门、跨层级数据共享和业务协同。完善党委、政府内部信息化办公系统。整合各部门现有办公自动化系统（OA系统）和数据资源，在建设门户管理系统的基础上，实现公文签批、定向收发以及行政事项审批的全流程网上处理，以及随时随地的移动式办公。</w:t>
      </w:r>
      <w:r>
        <w:rPr>
          <w:rFonts w:hint="eastAsia" w:ascii="宋体" w:hAnsi="宋体" w:eastAsia="宋体" w:cs="宋体"/>
          <w:w w:val="100"/>
          <w:sz w:val="28"/>
          <w:szCs w:val="28"/>
        </w:rPr>
        <w:t xml:space="preserve"> </w:t>
      </w:r>
      <w:r>
        <w:rPr>
          <w:rFonts w:hint="eastAsia" w:ascii="宋体" w:hAnsi="宋体" w:eastAsia="宋体" w:cs="宋体"/>
          <w:w w:val="100"/>
          <w:sz w:val="28"/>
          <w:szCs w:val="28"/>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before="80" w:after="200" w:line="360" w:lineRule="auto"/>
        <w:ind w:left="0" w:right="0" w:firstLine="0"/>
        <w:jc w:val="both"/>
        <w:textAlignment w:val="auto"/>
        <w:rPr>
          <w:rFonts w:hint="eastAsia" w:ascii="宋体" w:hAnsi="宋体" w:eastAsia="宋体" w:cs="宋体"/>
          <w:spacing w:val="0"/>
          <w:w w:val="100"/>
          <w:sz w:val="28"/>
          <w:szCs w:val="28"/>
        </w:rPr>
      </w:pPr>
      <w:r>
        <w:rPr>
          <w:rFonts w:hint="eastAsia" w:ascii="宋体" w:hAnsi="宋体" w:eastAsia="宋体" w:cs="宋体"/>
          <w:b/>
          <w:bCs/>
          <w:spacing w:val="0"/>
          <w:sz w:val="28"/>
          <w:szCs w:val="28"/>
        </w:rPr>
        <w:t>建设信用信息共享平台。</w:t>
      </w:r>
      <w:r>
        <w:rPr>
          <w:rFonts w:hint="eastAsia" w:ascii="宋体" w:hAnsi="宋体" w:eastAsia="宋体" w:cs="宋体"/>
          <w:spacing w:val="0"/>
          <w:sz w:val="28"/>
          <w:szCs w:val="28"/>
        </w:rPr>
        <w:t>建成覆盖县</w:t>
      </w:r>
      <w:r>
        <w:rPr>
          <w:rFonts w:hint="eastAsia" w:ascii="宋体" w:hAnsi="宋体" w:eastAsia="宋体" w:cs="宋体"/>
          <w:spacing w:val="0"/>
          <w:sz w:val="28"/>
          <w:szCs w:val="28"/>
          <w:lang w:eastAsia="zh-CN"/>
        </w:rPr>
        <w:t>、镇</w:t>
      </w:r>
      <w:r>
        <w:rPr>
          <w:rFonts w:hint="eastAsia" w:ascii="宋体" w:hAnsi="宋体" w:eastAsia="宋体" w:cs="宋体"/>
          <w:spacing w:val="0"/>
          <w:sz w:val="28"/>
          <w:szCs w:val="28"/>
        </w:rPr>
        <w:t>两级信用信息共享平台，提供安全、高效的信用信息交换服务和目录服务，实现公共信用信息在全</w:t>
      </w:r>
      <w:r>
        <w:rPr>
          <w:rFonts w:hint="eastAsia" w:ascii="宋体" w:hAnsi="宋体" w:eastAsia="宋体" w:cs="宋体"/>
          <w:spacing w:val="0"/>
          <w:sz w:val="28"/>
          <w:szCs w:val="28"/>
          <w:lang w:eastAsia="zh-CN"/>
        </w:rPr>
        <w:t>县</w:t>
      </w:r>
      <w:r>
        <w:rPr>
          <w:rFonts w:hint="eastAsia" w:ascii="宋体" w:hAnsi="宋体" w:eastAsia="宋体" w:cs="宋体"/>
          <w:spacing w:val="0"/>
          <w:sz w:val="28"/>
          <w:szCs w:val="28"/>
        </w:rPr>
        <w:t>范围内的互联互通，提升信用监管水平，推</w:t>
      </w:r>
      <w:r>
        <w:rPr>
          <w:rFonts w:hint="eastAsia" w:ascii="宋体" w:hAnsi="宋体" w:eastAsia="宋体" w:cs="宋体"/>
          <w:spacing w:val="0"/>
          <w:w w:val="100"/>
          <w:sz w:val="28"/>
          <w:szCs w:val="28"/>
        </w:rPr>
        <w:t>进社会信用体系的建设。</w:t>
      </w:r>
    </w:p>
    <w:bookmarkEnd w:id="418"/>
    <w:bookmarkEnd w:id="419"/>
    <w:bookmarkEnd w:id="420"/>
    <w:bookmarkEnd w:id="421"/>
    <w:bookmarkEnd w:id="422"/>
    <w:bookmarkEnd w:id="423"/>
    <w:bookmarkEnd w:id="424"/>
    <w:p>
      <w:pPr>
        <w:pStyle w:val="5"/>
        <w:bidi w:val="0"/>
        <w:outlineLvl w:val="1"/>
        <w:rPr>
          <w:rFonts w:hint="eastAsia" w:ascii="黑体" w:hAnsi="黑体" w:eastAsia="黑体" w:cs="黑体"/>
          <w:sz w:val="30"/>
          <w:szCs w:val="30"/>
          <w:lang w:val="en-US" w:eastAsia="zh-CN"/>
        </w:rPr>
      </w:pPr>
      <w:bookmarkStart w:id="469" w:name="_Toc1299"/>
      <w:bookmarkStart w:id="470" w:name="_Toc22083"/>
      <w:bookmarkStart w:id="471" w:name="_Toc7484"/>
      <w:bookmarkStart w:id="472" w:name="_Toc4880"/>
      <w:bookmarkStart w:id="473" w:name="_Toc11699"/>
      <w:bookmarkStart w:id="474" w:name="_Toc10375"/>
      <w:bookmarkStart w:id="475" w:name="_Toc32453"/>
      <w:bookmarkStart w:id="476" w:name="_Toc1272"/>
      <w:r>
        <w:rPr>
          <w:rFonts w:hint="eastAsia" w:ascii="黑体" w:hAnsi="黑体" w:eastAsia="黑体" w:cs="黑体"/>
          <w:sz w:val="30"/>
          <w:szCs w:val="30"/>
          <w:lang w:val="en-US" w:eastAsia="zh-CN"/>
        </w:rPr>
        <w:t>11.3强化数字信用及监管能力</w:t>
      </w:r>
      <w:bookmarkEnd w:id="469"/>
      <w:bookmarkEnd w:id="470"/>
      <w:bookmarkEnd w:id="471"/>
      <w:bookmarkEnd w:id="472"/>
      <w:bookmarkEnd w:id="473"/>
      <w:bookmarkEnd w:id="474"/>
      <w:bookmarkEnd w:id="475"/>
      <w:bookmarkEnd w:id="476"/>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80" w:after="0" w:line="360" w:lineRule="auto"/>
        <w:ind w:firstLine="560" w:firstLineChars="200"/>
        <w:jc w:val="both"/>
        <w:textAlignment w:val="auto"/>
        <w:rPr>
          <w:rFonts w:hint="eastAsia" w:asciiTheme="minorEastAsia" w:hAnsiTheme="minorEastAsia" w:eastAsiaTheme="minorEastAsia" w:cstheme="minorEastAsia"/>
          <w:b w:val="0"/>
          <w:i w:val="0"/>
          <w:caps w:val="0"/>
          <w:color w:val="1F1F1F"/>
          <w:spacing w:val="0"/>
          <w:kern w:val="0"/>
          <w:sz w:val="28"/>
          <w:szCs w:val="28"/>
          <w:shd w:val="clear" w:fill="auto"/>
        </w:rPr>
      </w:pPr>
      <w:r>
        <w:rPr>
          <w:rFonts w:hint="eastAsia" w:asciiTheme="minorEastAsia" w:hAnsiTheme="minorEastAsia" w:eastAsiaTheme="minorEastAsia" w:cstheme="minorEastAsia"/>
          <w:kern w:val="0"/>
          <w:sz w:val="28"/>
          <w:szCs w:val="28"/>
          <w:lang w:val="en-US" w:eastAsia="zh-CN"/>
        </w:rPr>
        <w:t>建立公平开放的市场准入制度，研究制定并滚动更新产业准入负面清单，坚持底线监管，依法包容处于发展初期且未纳入负面清单管理的行业、领域、业务形态等发展，破除新模式、新业态的行业壁垒和地域限制，</w:t>
      </w:r>
      <w:r>
        <w:rPr>
          <w:rFonts w:hint="eastAsia" w:asciiTheme="minorEastAsia" w:hAnsiTheme="minorEastAsia" w:eastAsiaTheme="minorEastAsia" w:cstheme="minorEastAsia"/>
          <w:b w:val="0"/>
          <w:i w:val="0"/>
          <w:caps w:val="0"/>
          <w:color w:val="1F1F1F"/>
          <w:spacing w:val="0"/>
          <w:kern w:val="0"/>
          <w:sz w:val="28"/>
          <w:szCs w:val="28"/>
          <w:lang w:val="en-US" w:eastAsia="zh-CN" w:bidi="ar-SA"/>
        </w:rPr>
        <w:t>多措并举、强化监管</w:t>
      </w:r>
      <w:r>
        <w:rPr>
          <w:rFonts w:hint="default" w:asciiTheme="minorEastAsia" w:hAnsiTheme="minorEastAsia" w:eastAsiaTheme="minorEastAsia" w:cstheme="minorEastAsia"/>
          <w:b w:val="0"/>
          <w:i w:val="0"/>
          <w:caps w:val="0"/>
          <w:color w:val="1F1F1F"/>
          <w:spacing w:val="0"/>
          <w:kern w:val="0"/>
          <w:sz w:val="28"/>
          <w:szCs w:val="28"/>
          <w:lang w:val="en-US" w:eastAsia="zh-CN" w:bidi="ar-SA"/>
        </w:rPr>
        <w:t>，</w:t>
      </w:r>
      <w:r>
        <w:rPr>
          <w:rFonts w:hint="eastAsia" w:asciiTheme="minorEastAsia" w:hAnsiTheme="minorEastAsia" w:eastAsiaTheme="minorEastAsia" w:cstheme="minorEastAsia"/>
          <w:kern w:val="0"/>
          <w:sz w:val="28"/>
          <w:szCs w:val="28"/>
          <w:lang w:val="en-US" w:eastAsia="zh-CN"/>
        </w:rPr>
        <w:t>完善协同监管机制，重点针对数字产业化的融合型产品和服务，探索跨部门协同监管，推进信息互换、监管互认和执法互助。</w:t>
      </w:r>
      <w:r>
        <w:rPr>
          <w:rFonts w:hint="eastAsia" w:asciiTheme="minorEastAsia" w:hAnsiTheme="minorEastAsia" w:eastAsiaTheme="minorEastAsia" w:cstheme="minorEastAsia"/>
          <w:b w:val="0"/>
          <w:i w:val="0"/>
          <w:caps w:val="0"/>
          <w:color w:val="1F1F1F"/>
          <w:spacing w:val="0"/>
          <w:kern w:val="0"/>
          <w:sz w:val="28"/>
          <w:szCs w:val="28"/>
          <w:lang w:val="en-US" w:eastAsia="zh-CN" w:bidi="ar-SA"/>
        </w:rPr>
        <w:t>建立网络监管系统、监测平台，将大数据、人工智能、云计算、区块链等技术应用于市场监管前沿领域，在线实现风险筛查、取证存证、线索移交、信用管理等多种功能。</w:t>
      </w:r>
      <w:r>
        <w:rPr>
          <w:rFonts w:hint="default" w:asciiTheme="minorEastAsia" w:hAnsiTheme="minorEastAsia" w:eastAsiaTheme="minorEastAsia" w:cstheme="minorEastAsia"/>
          <w:b w:val="0"/>
          <w:i w:val="0"/>
          <w:caps w:val="0"/>
          <w:color w:val="1F1F1F"/>
          <w:spacing w:val="0"/>
          <w:kern w:val="0"/>
          <w:sz w:val="28"/>
          <w:szCs w:val="28"/>
          <w:lang w:val="en-US" w:eastAsia="zh-CN" w:bidi="ar-SA"/>
        </w:rPr>
        <w:t>同时</w:t>
      </w:r>
      <w:r>
        <w:rPr>
          <w:rFonts w:hint="eastAsia" w:asciiTheme="minorEastAsia" w:hAnsiTheme="minorEastAsia" w:eastAsiaTheme="minorEastAsia" w:cstheme="minorEastAsia"/>
          <w:kern w:val="0"/>
          <w:sz w:val="28"/>
          <w:szCs w:val="28"/>
          <w:lang w:val="en-US" w:eastAsia="zh-CN"/>
        </w:rPr>
        <w:t>推进信用体系建设，加强事中事后监管。推进多元治理体系建设，引导建设完善行业自律机制，充分发挥行业协会在规范市场行为和保护企业合法权益的积极作用，鼓励第三方机构和大众积极参与行业治理，形成监管合力。</w:t>
      </w:r>
      <w:r>
        <w:rPr>
          <w:rFonts w:hint="eastAsia" w:asciiTheme="minorEastAsia" w:hAnsiTheme="minorEastAsia" w:eastAsiaTheme="minorEastAsia" w:cstheme="minorEastAsia"/>
          <w:b w:val="0"/>
          <w:i w:val="0"/>
          <w:caps w:val="0"/>
          <w:color w:val="1F1F1F"/>
          <w:spacing w:val="0"/>
          <w:kern w:val="0"/>
          <w:sz w:val="28"/>
          <w:szCs w:val="28"/>
          <w:shd w:val="clear" w:fill="auto"/>
        </w:rPr>
        <w:t>加强网络监管，既是维护各方主体合法权益的需要，也关系数字经济自身的持续健康发展。</w:t>
      </w:r>
    </w:p>
    <w:p>
      <w:pPr>
        <w:pStyle w:val="9"/>
        <w:keepNext w:val="0"/>
        <w:keepLines w:val="0"/>
        <w:pageBreakBefore w:val="0"/>
        <w:kinsoku/>
        <w:wordWrap/>
        <w:overflowPunct/>
        <w:topLinePunct w:val="0"/>
        <w:autoSpaceDE/>
        <w:autoSpaceDN/>
        <w:bidi w:val="0"/>
        <w:spacing w:before="80" w:after="200" w:line="360" w:lineRule="auto"/>
        <w:ind w:left="0" w:right="0" w:firstLine="562" w:firstLineChars="200"/>
        <w:jc w:val="both"/>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建设企业风险评价和全息档案系统。</w:t>
      </w:r>
      <w:r>
        <w:rPr>
          <w:rFonts w:hint="eastAsia" w:ascii="宋体" w:hAnsi="宋体" w:cs="宋体"/>
          <w:spacing w:val="0"/>
          <w:kern w:val="0"/>
          <w:sz w:val="28"/>
          <w:szCs w:val="28"/>
        </w:rPr>
        <w:t>基于历史稽查执法记录、投诉举报情况等数据，对企业进行风险分级评估，提高监管资源使用效率。关联企业基础信息、日常监管信息等数据，实现监管信息闭环、监管痕迹化、标准化</w:t>
      </w:r>
      <w:r>
        <w:rPr>
          <w:rFonts w:hint="eastAsia" w:ascii="宋体" w:hAnsi="宋体" w:cs="宋体"/>
          <w:spacing w:val="0"/>
          <w:kern w:val="0"/>
          <w:sz w:val="28"/>
          <w:szCs w:val="28"/>
          <w:lang w:val="en-US" w:eastAsia="zh-CN"/>
        </w:rPr>
        <w:t>,</w:t>
      </w:r>
      <w:r>
        <w:rPr>
          <w:rFonts w:hint="eastAsia" w:ascii="宋体" w:hAnsi="宋体" w:cs="宋体"/>
          <w:spacing w:val="0"/>
          <w:w w:val="100"/>
          <w:kern w:val="0"/>
          <w:sz w:val="28"/>
          <w:szCs w:val="28"/>
        </w:rPr>
        <w:t>提升监管效率和监管情况的可视化水平。</w:t>
      </w:r>
      <w:r>
        <w:rPr>
          <w:rFonts w:hint="eastAsia" w:ascii="宋体" w:hAnsi="宋体" w:eastAsia="宋体" w:cs="宋体"/>
          <w:spacing w:val="0"/>
          <w:w w:val="100"/>
          <w:kern w:val="0"/>
          <w:sz w:val="28"/>
          <w:szCs w:val="28"/>
        </w:rPr>
        <w:t xml:space="preserve"> </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80" w:after="0" w:line="360" w:lineRule="auto"/>
        <w:ind w:firstLine="560" w:firstLineChars="200"/>
        <w:jc w:val="both"/>
        <w:textAlignment w:val="auto"/>
        <w:rPr>
          <w:rFonts w:hint="eastAsia" w:asciiTheme="minorEastAsia" w:hAnsiTheme="minorEastAsia" w:eastAsiaTheme="minorEastAsia" w:cstheme="minorEastAsia"/>
          <w:b w:val="0"/>
          <w:i w:val="0"/>
          <w:caps w:val="0"/>
          <w:color w:val="1F1F1F"/>
          <w:spacing w:val="0"/>
          <w:kern w:val="0"/>
          <w:sz w:val="28"/>
          <w:szCs w:val="28"/>
          <w:shd w:val="clear" w:fill="auto"/>
        </w:rPr>
      </w:pPr>
    </w:p>
    <w:p>
      <w:pPr>
        <w:pStyle w:val="5"/>
        <w:spacing w:before="41" w:line="362" w:lineRule="auto"/>
        <w:ind w:left="0" w:right="2903" w:firstLine="0"/>
        <w:outlineLvl w:val="1"/>
        <w:rPr>
          <w:rFonts w:hint="eastAsia" w:ascii="黑体" w:hAnsi="黑体" w:eastAsia="黑体" w:cs="黑体"/>
          <w:b w:val="0"/>
          <w:bCs/>
          <w:sz w:val="30"/>
          <w:szCs w:val="30"/>
        </w:rPr>
      </w:pPr>
      <w:bookmarkStart w:id="477" w:name="_Toc18834"/>
      <w:bookmarkStart w:id="478" w:name="_Toc28509"/>
      <w:bookmarkStart w:id="479" w:name="_Toc6116"/>
      <w:bookmarkStart w:id="480" w:name="_Toc150"/>
      <w:bookmarkStart w:id="481" w:name="_Toc22187"/>
      <w:bookmarkStart w:id="482" w:name="_Toc23985"/>
      <w:bookmarkStart w:id="483" w:name="_Toc10802"/>
      <w:r>
        <w:rPr>
          <w:rFonts w:hint="eastAsia" w:ascii="黑体" w:hAnsi="黑体" w:eastAsia="黑体" w:cs="黑体"/>
          <w:b/>
          <w:bCs w:val="0"/>
          <w:w w:val="100"/>
          <w:sz w:val="30"/>
          <w:szCs w:val="30"/>
          <w:lang w:val="en-US" w:eastAsia="zh-CN"/>
        </w:rPr>
        <w:t>11.4</w:t>
      </w:r>
      <w:r>
        <w:rPr>
          <w:rFonts w:hint="eastAsia" w:ascii="黑体" w:hAnsi="黑体" w:eastAsia="黑体" w:cs="黑体"/>
          <w:b/>
          <w:bCs w:val="0"/>
          <w:w w:val="100"/>
          <w:sz w:val="30"/>
          <w:szCs w:val="30"/>
        </w:rPr>
        <w:t xml:space="preserve"> 全方位提升城市治理能力</w:t>
      </w:r>
      <w:bookmarkEnd w:id="477"/>
      <w:bookmarkEnd w:id="478"/>
      <w:bookmarkEnd w:id="479"/>
      <w:bookmarkEnd w:id="480"/>
      <w:r>
        <w:rPr>
          <w:rFonts w:hint="eastAsia" w:ascii="黑体" w:hAnsi="黑体" w:eastAsia="黑体" w:cs="黑体"/>
          <w:b w:val="0"/>
          <w:bCs/>
          <w:w w:val="100"/>
          <w:sz w:val="30"/>
          <w:szCs w:val="30"/>
        </w:rPr>
        <w:t xml:space="preserve"> </w:t>
      </w:r>
    </w:p>
    <w:p>
      <w:pPr>
        <w:pStyle w:val="9"/>
        <w:keepNext w:val="0"/>
        <w:keepLines w:val="0"/>
        <w:pageBreakBefore w:val="0"/>
        <w:widowControl w:val="0"/>
        <w:kinsoku/>
        <w:wordWrap/>
        <w:overflowPunct/>
        <w:topLinePunct w:val="0"/>
        <w:autoSpaceDE/>
        <w:autoSpaceDN/>
        <w:bidi w:val="0"/>
        <w:adjustRightInd/>
        <w:snapToGrid/>
        <w:spacing w:before="80" w:line="360" w:lineRule="auto"/>
        <w:ind w:left="0" w:right="0" w:firstLine="562" w:firstLineChars="200"/>
        <w:jc w:val="left"/>
        <w:textAlignment w:val="auto"/>
        <w:rPr>
          <w:rFonts w:hint="eastAsia" w:ascii="宋体" w:hAnsi="宋体" w:cs="宋体"/>
          <w:spacing w:val="0"/>
          <w:kern w:val="0"/>
          <w:sz w:val="28"/>
          <w:szCs w:val="28"/>
        </w:rPr>
      </w:pPr>
      <w:r>
        <w:rPr>
          <w:rFonts w:hint="eastAsia" w:ascii="宋体" w:hAnsi="宋体" w:cs="宋体"/>
          <w:b/>
          <w:bCs/>
          <w:spacing w:val="0"/>
          <w:kern w:val="0"/>
          <w:sz w:val="28"/>
          <w:szCs w:val="28"/>
        </w:rPr>
        <w:t>通过基础感知网络及政民互动平台</w:t>
      </w:r>
      <w:r>
        <w:rPr>
          <w:rFonts w:hint="eastAsia" w:ascii="宋体" w:hAnsi="宋体" w:cs="宋体"/>
          <w:b/>
          <w:bCs/>
          <w:spacing w:val="0"/>
          <w:kern w:val="0"/>
          <w:sz w:val="28"/>
          <w:szCs w:val="28"/>
          <w:lang w:eastAsia="zh-CN"/>
        </w:rPr>
        <w:t>。</w:t>
      </w:r>
      <w:r>
        <w:rPr>
          <w:rFonts w:hint="eastAsia" w:ascii="宋体" w:hAnsi="宋体" w:cs="宋体"/>
          <w:spacing w:val="0"/>
          <w:kern w:val="0"/>
          <w:sz w:val="28"/>
          <w:szCs w:val="28"/>
        </w:rPr>
        <w:t>实时收集基础设施状况及民</w:t>
      </w:r>
      <w:r>
        <w:rPr>
          <w:rFonts w:hint="eastAsia" w:ascii="宋体" w:hAnsi="宋体" w:cs="宋体"/>
          <w:spacing w:val="0"/>
          <w:kern w:val="0"/>
          <w:sz w:val="28"/>
          <w:szCs w:val="28"/>
          <w:lang w:val="en-US" w:eastAsia="zh-CN"/>
        </w:rPr>
        <w:t>众</w:t>
      </w:r>
      <w:r>
        <w:rPr>
          <w:rFonts w:hint="eastAsia" w:ascii="宋体" w:hAnsi="宋体" w:cs="宋体"/>
          <w:spacing w:val="0"/>
          <w:kern w:val="0"/>
          <w:sz w:val="28"/>
          <w:szCs w:val="28"/>
        </w:rPr>
        <w:t>互动数据，精准感知社情民意，并发现最亟待治理的区域，实现对</w:t>
      </w:r>
      <w:r>
        <w:rPr>
          <w:rFonts w:hint="eastAsia" w:ascii="宋体" w:hAnsi="宋体" w:cs="宋体"/>
          <w:spacing w:val="0"/>
          <w:kern w:val="0"/>
          <w:sz w:val="28"/>
          <w:szCs w:val="28"/>
          <w:lang w:val="en-US" w:eastAsia="zh-CN"/>
        </w:rPr>
        <w:t>县</w:t>
      </w:r>
      <w:r>
        <w:rPr>
          <w:rFonts w:hint="eastAsia" w:ascii="宋体" w:hAnsi="宋体" w:cs="宋体"/>
          <w:spacing w:val="0"/>
          <w:kern w:val="0"/>
          <w:sz w:val="28"/>
          <w:szCs w:val="28"/>
        </w:rPr>
        <w:t xml:space="preserve">容环境违法行为及时发现、有效取证、依法解决。 </w:t>
      </w:r>
    </w:p>
    <w:p>
      <w:pPr>
        <w:pStyle w:val="9"/>
        <w:keepNext w:val="0"/>
        <w:keepLines w:val="0"/>
        <w:pageBreakBefore w:val="0"/>
        <w:widowControl w:val="0"/>
        <w:kinsoku/>
        <w:wordWrap/>
        <w:overflowPunct/>
        <w:topLinePunct w:val="0"/>
        <w:autoSpaceDE/>
        <w:autoSpaceDN/>
        <w:bidi w:val="0"/>
        <w:adjustRightInd/>
        <w:snapToGrid/>
        <w:spacing w:before="8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搭建基础设施感知体系。</w:t>
      </w:r>
      <w:r>
        <w:rPr>
          <w:rFonts w:hint="eastAsia" w:ascii="宋体" w:hAnsi="宋体" w:cs="宋体"/>
          <w:spacing w:val="0"/>
          <w:kern w:val="0"/>
          <w:sz w:val="28"/>
          <w:szCs w:val="28"/>
        </w:rPr>
        <w:t>依托现有全</w:t>
      </w:r>
      <w:r>
        <w:rPr>
          <w:rFonts w:hint="eastAsia" w:ascii="宋体" w:hAnsi="宋体" w:cs="宋体"/>
          <w:spacing w:val="0"/>
          <w:kern w:val="0"/>
          <w:sz w:val="28"/>
          <w:szCs w:val="28"/>
          <w:lang w:eastAsia="zh-CN"/>
        </w:rPr>
        <w:t>县</w:t>
      </w:r>
      <w:r>
        <w:rPr>
          <w:rFonts w:hint="eastAsia" w:ascii="宋体" w:hAnsi="宋体" w:cs="宋体"/>
          <w:spacing w:val="0"/>
          <w:kern w:val="0"/>
          <w:sz w:val="28"/>
          <w:szCs w:val="28"/>
        </w:rPr>
        <w:t>视频监控资源和地理时空云平台，建设城市物联网，加快对路灯、井盖、给排水管道等基础设施的管理数字化、网络化、智能化转型，支</w:t>
      </w:r>
      <w:r>
        <w:rPr>
          <w:rFonts w:hint="eastAsia" w:ascii="宋体" w:hAnsi="宋体" w:cs="宋体"/>
          <w:spacing w:val="0"/>
          <w:kern w:val="0"/>
          <w:sz w:val="28"/>
          <w:szCs w:val="28"/>
          <w:lang w:eastAsia="zh-CN"/>
        </w:rPr>
        <w:t>撑</w:t>
      </w:r>
      <w:r>
        <w:rPr>
          <w:rFonts w:hint="eastAsia" w:ascii="宋体" w:hAnsi="宋体" w:cs="宋体"/>
          <w:w w:val="100"/>
          <w:kern w:val="0"/>
          <w:sz w:val="28"/>
          <w:szCs w:val="28"/>
        </w:rPr>
        <w:t>暴雨防汛智能监测和城</w:t>
      </w:r>
      <w:r>
        <w:rPr>
          <w:rFonts w:hint="eastAsia" w:ascii="宋体" w:hAnsi="宋体" w:cs="宋体"/>
          <w:w w:val="100"/>
          <w:kern w:val="0"/>
          <w:sz w:val="28"/>
          <w:szCs w:val="28"/>
          <w:lang w:val="en-US" w:eastAsia="zh-CN"/>
        </w:rPr>
        <w:t>区</w:t>
      </w:r>
      <w:r>
        <w:rPr>
          <w:rFonts w:hint="eastAsia" w:ascii="宋体" w:hAnsi="宋体" w:cs="宋体"/>
          <w:w w:val="100"/>
          <w:kern w:val="0"/>
          <w:sz w:val="28"/>
          <w:szCs w:val="28"/>
        </w:rPr>
        <w:t>照明智慧管控等多项应用。</w:t>
      </w:r>
      <w:r>
        <w:rPr>
          <w:rFonts w:hint="eastAsia" w:ascii="宋体" w:hAnsi="宋体" w:eastAsia="宋体" w:cs="宋体"/>
          <w:w w:val="100"/>
          <w:kern w:val="0"/>
          <w:sz w:val="28"/>
          <w:szCs w:val="28"/>
        </w:rPr>
        <w:t xml:space="preserve"> </w:t>
      </w:r>
    </w:p>
    <w:p>
      <w:pPr>
        <w:pStyle w:val="9"/>
        <w:spacing w:before="1" w:line="362" w:lineRule="auto"/>
        <w:ind w:left="118" w:right="421" w:firstLine="643"/>
        <w:jc w:val="both"/>
        <w:rPr>
          <w:rFonts w:hint="eastAsia" w:ascii="宋体" w:hAnsi="宋体" w:cs="宋体"/>
          <w:spacing w:val="-2"/>
          <w:sz w:val="28"/>
          <w:szCs w:val="28"/>
          <w:lang w:val="en-US" w:eastAsia="zh-CN"/>
        </w:rPr>
      </w:pPr>
      <w:r>
        <w:rPr>
          <w:rFonts w:hint="eastAsia" w:ascii="宋体" w:hAnsi="宋体" w:cs="宋体"/>
          <w:b/>
          <w:bCs/>
          <w:spacing w:val="0"/>
          <w:kern w:val="0"/>
          <w:sz w:val="28"/>
          <w:szCs w:val="28"/>
        </w:rPr>
        <w:t>建立网络理政社会共治平台。</w:t>
      </w:r>
      <w:r>
        <w:rPr>
          <w:rFonts w:hint="eastAsia" w:ascii="宋体" w:hAnsi="宋体" w:cs="宋体"/>
          <w:spacing w:val="-2"/>
          <w:sz w:val="28"/>
          <w:szCs w:val="28"/>
          <w:lang w:val="en-US" w:eastAsia="zh-CN"/>
        </w:rPr>
        <w:t xml:space="preserve">整合政府信息公开体系、县长信箱、12345政务服务热线等沟通渠道，集民众诉求表达、公民信息整合服务、政府信息公开服务于一身，强化平台能力提升和服务升级，助力政府循数决策，逐步形成共策共商共治的良好生态。 </w:t>
      </w:r>
    </w:p>
    <w:p>
      <w:pPr>
        <w:pStyle w:val="7"/>
        <w:spacing w:before="63" w:line="360" w:lineRule="auto"/>
        <w:ind w:left="118" w:right="342" w:hanging="1"/>
        <w:rPr>
          <w:rFonts w:hint="eastAsia" w:ascii="宋体" w:hAnsi="宋体" w:eastAsia="宋体" w:cs="宋体"/>
          <w:spacing w:val="-2"/>
          <w:kern w:val="2"/>
          <w:sz w:val="28"/>
          <w:szCs w:val="28"/>
          <w:lang w:val="en-US" w:eastAsia="zh-CN" w:bidi="ar-SA"/>
        </w:rPr>
      </w:pPr>
      <w:r>
        <w:rPr>
          <w:rFonts w:hint="eastAsia" w:ascii="宋体" w:hAnsi="宋体" w:eastAsia="宋体" w:cs="宋体"/>
          <w:b/>
          <w:bCs/>
          <w:spacing w:val="0"/>
          <w:kern w:val="0"/>
          <w:sz w:val="28"/>
          <w:szCs w:val="28"/>
          <w:lang w:val="en-US" w:eastAsia="zh-CN" w:bidi="ar-SA"/>
        </w:rPr>
        <w:t>建设数字城管执法监督平台。</w:t>
      </w:r>
      <w:r>
        <w:rPr>
          <w:rFonts w:hint="eastAsia" w:ascii="宋体" w:hAnsi="宋体" w:eastAsia="宋体" w:cs="宋体"/>
          <w:spacing w:val="-2"/>
          <w:kern w:val="2"/>
          <w:sz w:val="28"/>
          <w:szCs w:val="28"/>
          <w:lang w:val="en-US" w:eastAsia="zh-CN" w:bidi="ar-SA"/>
        </w:rPr>
        <w:t xml:space="preserve">建设城市管理智慧调度中心、移动执法终端及APP，缩短执法反应时间，提高一线执法水平和效率，实现全周期城管作业、反馈与监督闭环。 </w:t>
      </w:r>
    </w:p>
    <w:p>
      <w:pPr>
        <w:pStyle w:val="5"/>
        <w:spacing w:before="1" w:line="362" w:lineRule="auto"/>
        <w:ind w:left="0" w:right="3224" w:firstLine="0"/>
        <w:outlineLvl w:val="1"/>
        <w:rPr>
          <w:rFonts w:hint="eastAsia" w:ascii="Tahoma" w:eastAsia="微软雅黑"/>
          <w:b w:val="0"/>
          <w:bCs/>
          <w:sz w:val="30"/>
          <w:szCs w:val="30"/>
        </w:rPr>
      </w:pPr>
      <w:bookmarkStart w:id="484" w:name="_Toc13993"/>
      <w:bookmarkStart w:id="485" w:name="_Toc2437"/>
      <w:bookmarkStart w:id="486" w:name="_Toc8982"/>
      <w:bookmarkStart w:id="487" w:name="_Toc2307"/>
      <w:r>
        <w:rPr>
          <w:rFonts w:hint="eastAsia" w:ascii="黑体" w:hAnsi="黑体" w:eastAsia="黑体" w:cs="黑体"/>
          <w:b/>
          <w:bCs w:val="0"/>
          <w:sz w:val="30"/>
          <w:szCs w:val="30"/>
          <w:lang w:val="en-US" w:eastAsia="zh-CN"/>
        </w:rPr>
        <w:t>11.5</w:t>
      </w:r>
      <w:r>
        <w:rPr>
          <w:rFonts w:hint="eastAsia" w:ascii="黑体" w:hAnsi="黑体" w:eastAsia="黑体" w:cs="黑体"/>
          <w:b/>
          <w:bCs w:val="0"/>
          <w:w w:val="100"/>
          <w:sz w:val="30"/>
          <w:szCs w:val="30"/>
        </w:rPr>
        <w:t>深入推进公共安全防范体系建设</w:t>
      </w:r>
      <w:bookmarkEnd w:id="484"/>
      <w:bookmarkEnd w:id="485"/>
      <w:bookmarkEnd w:id="486"/>
      <w:bookmarkEnd w:id="487"/>
      <w:r>
        <w:rPr>
          <w:rFonts w:hint="eastAsia" w:ascii="Tahoma" w:eastAsia="微软雅黑"/>
          <w:b w:val="0"/>
          <w:bCs/>
          <w:w w:val="100"/>
          <w:sz w:val="30"/>
          <w:szCs w:val="30"/>
        </w:rPr>
        <w:t xml:space="preserve"> </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right="0" w:firstLine="639"/>
        <w:jc w:val="both"/>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spacing w:val="-2"/>
          <w:kern w:val="2"/>
          <w:sz w:val="28"/>
          <w:szCs w:val="28"/>
          <w:lang w:val="en-US" w:eastAsia="zh-CN" w:bidi="ar-SA"/>
        </w:rPr>
        <w:t xml:space="preserve">围绕“数据资源大汇聚、实战能力大提升”目标，打造形成建设集约化、应用平台化、数据集群化和执法规范化新格局，推动“汗水警务”向“智慧警务”转变，全面提升社会防控和专业打击能力。 </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right="0" w:firstLine="643"/>
        <w:jc w:val="both"/>
        <w:textAlignment w:val="auto"/>
        <w:rPr>
          <w:rFonts w:hint="eastAsia" w:ascii="宋体" w:hAnsi="宋体" w:eastAsia="宋体" w:cs="宋体"/>
          <w:sz w:val="28"/>
          <w:szCs w:val="28"/>
        </w:rPr>
      </w:pPr>
      <w:r>
        <w:rPr>
          <w:rFonts w:hint="eastAsia" w:ascii="宋体" w:hAnsi="宋体" w:eastAsia="宋体" w:cs="宋体"/>
          <w:b/>
          <w:bCs/>
          <w:spacing w:val="0"/>
          <w:kern w:val="0"/>
          <w:sz w:val="28"/>
          <w:szCs w:val="28"/>
          <w:lang w:val="en-US" w:eastAsia="zh-CN" w:bidi="ar-SA"/>
        </w:rPr>
        <w:t>优化完善公安视频监控体系。</w:t>
      </w:r>
      <w:r>
        <w:rPr>
          <w:rFonts w:hint="eastAsia" w:ascii="宋体" w:hAnsi="宋体" w:eastAsia="宋体" w:cs="宋体"/>
          <w:spacing w:val="-2"/>
          <w:kern w:val="2"/>
          <w:sz w:val="28"/>
          <w:szCs w:val="28"/>
          <w:lang w:val="en-US" w:eastAsia="zh-CN" w:bidi="ar-SA"/>
        </w:rPr>
        <w:t>积极整合“雪亮工程”、公交车、加油站、停车场等社会视频，扩大公安监控面，为强化治安防控、优化交通出行、服务城市管理、创新社会治理，提供“可感知、可防控、可研判”的基础环境。</w:t>
      </w:r>
      <w:r>
        <w:rPr>
          <w:rFonts w:hint="eastAsia" w:ascii="宋体" w:hAnsi="宋体" w:eastAsia="宋体" w:cs="宋体"/>
          <w:w w:val="100"/>
          <w:sz w:val="28"/>
          <w:szCs w:val="28"/>
        </w:rPr>
        <w:t xml:space="preserve"> </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right="0" w:firstLine="643"/>
        <w:jc w:val="both"/>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pacing w:val="0"/>
          <w:kern w:val="0"/>
          <w:sz w:val="28"/>
          <w:szCs w:val="28"/>
          <w:lang w:val="en-US" w:eastAsia="zh-CN" w:bidi="ar-SA"/>
        </w:rPr>
        <w:t>推动构建智能管理防控体系。</w:t>
      </w:r>
      <w:r>
        <w:rPr>
          <w:rFonts w:hint="eastAsia" w:ascii="宋体" w:hAnsi="宋体" w:eastAsia="宋体" w:cs="宋体"/>
          <w:spacing w:val="-2"/>
          <w:kern w:val="2"/>
          <w:sz w:val="28"/>
          <w:szCs w:val="28"/>
          <w:lang w:val="en-US" w:eastAsia="zh-CN" w:bidi="ar-SA"/>
        </w:rPr>
        <w:t xml:space="preserve">以“智慧小区”“智慧交管”建设为抓手，推广部署物联网感知前端设备建设，以实现实有人口动态管理，减少车辆被盗案件，提升群众的安全感满意度，提升城市交通运力适应性。 </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right="0" w:firstLine="643"/>
        <w:jc w:val="both"/>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pacing w:val="0"/>
          <w:kern w:val="0"/>
          <w:sz w:val="28"/>
          <w:szCs w:val="28"/>
          <w:lang w:val="en-US" w:eastAsia="zh-CN" w:bidi="ar-SA"/>
        </w:rPr>
        <w:t>推进建设公安大数据应用中心。</w:t>
      </w:r>
      <w:r>
        <w:rPr>
          <w:rFonts w:hint="eastAsia" w:ascii="宋体" w:hAnsi="宋体" w:eastAsia="宋体" w:cs="宋体"/>
          <w:spacing w:val="-2"/>
          <w:kern w:val="2"/>
          <w:sz w:val="28"/>
          <w:szCs w:val="28"/>
          <w:lang w:val="en-US" w:eastAsia="zh-CN" w:bidi="ar-SA"/>
        </w:rPr>
        <w:t xml:space="preserve">依托“政务云”建立大数据库，优化算法有效挖掘数据价值，并针对应用场景开展大数据分析应用，以强化我县公安事前精准预防、事中搜集情报及事后侦查打击能力。 </w:t>
      </w:r>
    </w:p>
    <w:p>
      <w:pPr>
        <w:pStyle w:val="5"/>
        <w:spacing w:before="2" w:line="362" w:lineRule="auto"/>
        <w:ind w:left="0" w:right="3224" w:firstLine="0"/>
        <w:outlineLvl w:val="1"/>
        <w:rPr>
          <w:rFonts w:hint="eastAsia" w:ascii="黑体" w:hAnsi="黑体" w:eastAsia="黑体" w:cs="黑体"/>
          <w:sz w:val="30"/>
          <w:szCs w:val="30"/>
        </w:rPr>
      </w:pPr>
      <w:bookmarkStart w:id="488" w:name="_Toc1910"/>
      <w:bookmarkStart w:id="489" w:name="_Toc30318"/>
      <w:bookmarkStart w:id="490" w:name="_Toc19183"/>
      <w:bookmarkStart w:id="491" w:name="_Toc29551"/>
      <w:r>
        <w:rPr>
          <w:rFonts w:hint="eastAsia" w:ascii="黑体" w:hAnsi="黑体" w:eastAsia="黑体" w:cs="黑体"/>
          <w:w w:val="100"/>
          <w:sz w:val="30"/>
          <w:szCs w:val="30"/>
          <w:lang w:val="en-US" w:eastAsia="zh-CN"/>
        </w:rPr>
        <w:t>11.6</w:t>
      </w:r>
      <w:r>
        <w:rPr>
          <w:rFonts w:hint="eastAsia" w:ascii="黑体" w:hAnsi="黑体" w:eastAsia="黑体" w:cs="黑体"/>
          <w:w w:val="100"/>
          <w:sz w:val="30"/>
          <w:szCs w:val="30"/>
        </w:rPr>
        <w:t>科学开展环境保护与风险防范</w:t>
      </w:r>
      <w:bookmarkEnd w:id="488"/>
      <w:bookmarkEnd w:id="489"/>
      <w:bookmarkEnd w:id="490"/>
      <w:bookmarkEnd w:id="491"/>
      <w:r>
        <w:rPr>
          <w:rFonts w:hint="eastAsia" w:ascii="黑体" w:hAnsi="黑体" w:eastAsia="黑体" w:cs="黑体"/>
          <w:w w:val="100"/>
          <w:sz w:val="30"/>
          <w:szCs w:val="30"/>
        </w:rPr>
        <w:t xml:space="preserve"> </w:t>
      </w:r>
    </w:p>
    <w:p>
      <w:pPr>
        <w:pStyle w:val="9"/>
        <w:spacing w:line="360" w:lineRule="auto"/>
        <w:ind w:left="118" w:right="421" w:firstLine="560" w:firstLineChars="200"/>
        <w:jc w:val="both"/>
        <w:rPr>
          <w:rFonts w:hint="eastAsia" w:ascii="宋体" w:hAnsi="宋体" w:eastAsia="宋体" w:cs="宋体"/>
          <w:kern w:val="0"/>
          <w:sz w:val="28"/>
          <w:szCs w:val="28"/>
        </w:rPr>
      </w:pPr>
      <w:r>
        <w:rPr>
          <w:rFonts w:hint="eastAsia" w:ascii="宋体" w:hAnsi="宋体" w:cs="宋体"/>
          <w:spacing w:val="0"/>
          <w:kern w:val="0"/>
          <w:sz w:val="28"/>
          <w:szCs w:val="28"/>
        </w:rPr>
        <w:t>借助物联网技术，构建空天地一体的环境监测体系，加强环境感知、监测、治理能力，以更加精细和动态的方式实现环境管</w:t>
      </w:r>
      <w:r>
        <w:rPr>
          <w:rFonts w:hint="eastAsia" w:ascii="宋体" w:hAnsi="宋体" w:cs="宋体"/>
          <w:spacing w:val="0"/>
          <w:w w:val="100"/>
          <w:kern w:val="0"/>
          <w:sz w:val="28"/>
          <w:szCs w:val="28"/>
        </w:rPr>
        <w:t>理和智慧决策，提升环境保护效果。</w:t>
      </w:r>
      <w:r>
        <w:rPr>
          <w:rFonts w:hint="eastAsia" w:ascii="宋体" w:hAnsi="宋体" w:eastAsia="宋体" w:cs="宋体"/>
          <w:spacing w:val="0"/>
          <w:w w:val="100"/>
          <w:kern w:val="0"/>
          <w:sz w:val="28"/>
          <w:szCs w:val="28"/>
        </w:rPr>
        <w:t xml:space="preserve"> </w:t>
      </w:r>
    </w:p>
    <w:p>
      <w:pPr>
        <w:pStyle w:val="9"/>
        <w:spacing w:before="0" w:line="360" w:lineRule="auto"/>
        <w:ind w:left="0" w:right="0" w:firstLine="562" w:firstLineChars="200"/>
        <w:jc w:val="left"/>
        <w:rPr>
          <w:rFonts w:hint="eastAsia" w:ascii="宋体" w:hAnsi="宋体" w:eastAsia="宋体" w:cs="宋体"/>
          <w:kern w:val="0"/>
          <w:sz w:val="28"/>
          <w:szCs w:val="28"/>
        </w:rPr>
      </w:pPr>
      <w:r>
        <w:rPr>
          <w:rFonts w:hint="eastAsia" w:ascii="宋体" w:hAnsi="宋体" w:cs="宋体"/>
          <w:b/>
          <w:bCs/>
          <w:spacing w:val="0"/>
          <w:kern w:val="0"/>
          <w:sz w:val="28"/>
          <w:szCs w:val="28"/>
        </w:rPr>
        <w:t>构建环境物联监测网络。</w:t>
      </w:r>
      <w:r>
        <w:rPr>
          <w:rFonts w:hint="eastAsia" w:ascii="宋体" w:hAnsi="宋体" w:cs="宋体"/>
          <w:w w:val="100"/>
          <w:kern w:val="0"/>
          <w:sz w:val="28"/>
          <w:szCs w:val="28"/>
        </w:rPr>
        <w:t>充分整合和利用遥感、</w:t>
      </w:r>
      <w:r>
        <w:rPr>
          <w:rFonts w:hint="eastAsia" w:ascii="宋体" w:hAnsi="宋体" w:cs="宋体"/>
          <w:spacing w:val="0"/>
          <w:kern w:val="0"/>
          <w:sz w:val="28"/>
          <w:szCs w:val="28"/>
        </w:rPr>
        <w:t>地面监测设备等多种监测技术，以河湖遥感大数据为抓手</w:t>
      </w:r>
      <w:r>
        <w:rPr>
          <w:rFonts w:hint="eastAsia" w:ascii="宋体" w:hAnsi="宋体" w:cs="宋体"/>
          <w:spacing w:val="0"/>
          <w:kern w:val="0"/>
          <w:sz w:val="28"/>
          <w:szCs w:val="28"/>
          <w:lang w:eastAsia="zh-CN"/>
        </w:rPr>
        <w:t>，</w:t>
      </w:r>
      <w:r>
        <w:rPr>
          <w:rFonts w:hint="eastAsia" w:ascii="宋体" w:hAnsi="宋体" w:cs="宋体"/>
          <w:spacing w:val="0"/>
          <w:kern w:val="0"/>
          <w:sz w:val="28"/>
          <w:szCs w:val="28"/>
        </w:rPr>
        <w:t>建立空天地联动的环境物联监测网络，实现对环境质量、污染源、</w:t>
      </w:r>
      <w:r>
        <w:rPr>
          <w:rFonts w:hint="eastAsia" w:ascii="宋体" w:hAnsi="宋体" w:cs="宋体"/>
          <w:spacing w:val="0"/>
          <w:w w:val="100"/>
          <w:kern w:val="0"/>
          <w:sz w:val="28"/>
          <w:szCs w:val="28"/>
        </w:rPr>
        <w:t>辐射等环境因素的“更透彻的感知”。</w:t>
      </w:r>
      <w:r>
        <w:rPr>
          <w:rFonts w:hint="eastAsia" w:ascii="宋体" w:hAnsi="宋体" w:eastAsia="宋体" w:cs="宋体"/>
          <w:spacing w:val="0"/>
          <w:w w:val="100"/>
          <w:kern w:val="0"/>
          <w:sz w:val="28"/>
          <w:szCs w:val="28"/>
        </w:rPr>
        <w:t xml:space="preserve"> </w:t>
      </w:r>
    </w:p>
    <w:p>
      <w:pPr>
        <w:pStyle w:val="9"/>
        <w:spacing w:before="4" w:line="360" w:lineRule="auto"/>
        <w:ind w:left="118" w:right="419" w:firstLine="562" w:firstLineChars="200"/>
        <w:jc w:val="both"/>
        <w:rPr>
          <w:rFonts w:hint="eastAsia" w:ascii="宋体" w:hAnsi="宋体" w:eastAsia="宋体" w:cs="宋体"/>
          <w:kern w:val="0"/>
          <w:sz w:val="28"/>
          <w:szCs w:val="28"/>
        </w:rPr>
      </w:pPr>
      <w:r>
        <w:rPr>
          <w:rFonts w:hint="eastAsia" w:ascii="宋体" w:hAnsi="宋体" w:cs="宋体"/>
          <w:b/>
          <w:bCs/>
          <w:spacing w:val="0"/>
          <w:kern w:val="0"/>
          <w:sz w:val="28"/>
          <w:szCs w:val="28"/>
        </w:rPr>
        <w:t>打造时空环境数据中心。</w:t>
      </w:r>
      <w:r>
        <w:rPr>
          <w:rFonts w:hint="eastAsia" w:ascii="宋体" w:hAnsi="宋体" w:cs="宋体"/>
          <w:spacing w:val="0"/>
          <w:w w:val="100"/>
          <w:kern w:val="0"/>
          <w:sz w:val="28"/>
          <w:szCs w:val="28"/>
        </w:rPr>
        <w:t>结合</w:t>
      </w:r>
      <w:r>
        <w:rPr>
          <w:rFonts w:hint="eastAsia" w:ascii="宋体" w:hAnsi="宋体" w:eastAsia="宋体" w:cs="宋体"/>
          <w:w w:val="100"/>
          <w:kern w:val="0"/>
          <w:sz w:val="28"/>
          <w:szCs w:val="28"/>
        </w:rPr>
        <w:t>5G</w:t>
      </w:r>
      <w:r>
        <w:rPr>
          <w:rFonts w:hint="eastAsia" w:ascii="宋体" w:hAnsi="宋体" w:cs="宋体"/>
          <w:w w:val="100"/>
          <w:kern w:val="0"/>
          <w:sz w:val="28"/>
          <w:szCs w:val="28"/>
        </w:rPr>
        <w:t>、卫星通讯等技术，将个</w:t>
      </w:r>
      <w:r>
        <w:rPr>
          <w:rFonts w:hint="eastAsia" w:ascii="宋体" w:hAnsi="宋体" w:cs="宋体"/>
          <w:spacing w:val="0"/>
          <w:kern w:val="0"/>
          <w:sz w:val="28"/>
          <w:szCs w:val="28"/>
        </w:rPr>
        <w:t>人电子设备、组织和政府信息系统中存储的污染源数据、水环境质量数据、空气环境质量数据、噪声数据等环境信息进行交互和</w:t>
      </w:r>
      <w:r>
        <w:rPr>
          <w:rFonts w:hint="eastAsia" w:ascii="宋体" w:hAnsi="宋体" w:cs="宋体"/>
          <w:spacing w:val="0"/>
          <w:w w:val="100"/>
          <w:kern w:val="0"/>
          <w:sz w:val="28"/>
          <w:szCs w:val="28"/>
        </w:rPr>
        <w:t>共享，实现“更全面的互联互通”。</w:t>
      </w:r>
      <w:r>
        <w:rPr>
          <w:rFonts w:hint="eastAsia" w:ascii="宋体" w:hAnsi="宋体" w:eastAsia="宋体" w:cs="宋体"/>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before="200" w:line="360" w:lineRule="auto"/>
        <w:ind w:firstLine="56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z w:val="28"/>
          <w:szCs w:val="28"/>
          <w:lang w:val="en-US" w:eastAsia="zh-CN"/>
        </w:rPr>
        <w:t>建立智能化应用辅助生态监管系统。</w:t>
      </w:r>
      <w:r>
        <w:rPr>
          <w:rFonts w:hint="eastAsia" w:ascii="宋体" w:hAnsi="宋体" w:eastAsia="宋体" w:cs="宋体"/>
          <w:spacing w:val="-2"/>
          <w:kern w:val="2"/>
          <w:sz w:val="28"/>
          <w:szCs w:val="28"/>
          <w:lang w:val="en-US" w:eastAsia="zh-CN" w:bidi="ar-SA"/>
        </w:rPr>
        <w:t>通过构建环境运行水平评价指标体系、预测预警模型、“非法捕鱼”等专项应用场景，实现全面、直观地管理全县环境                                                                                                                                                                                                                                                                                                                                                                                                                                                                                                                          运行情况，为环境质量、污染防治、生态保护、辐射管理等业务提供“更智慧的决策”。</w:t>
      </w:r>
    </w:p>
    <w:bookmarkEnd w:id="481"/>
    <w:bookmarkEnd w:id="482"/>
    <w:bookmarkEnd w:id="483"/>
    <w:p>
      <w:pPr>
        <w:bidi w:val="0"/>
        <w:jc w:val="center"/>
        <w:rPr>
          <w:rFonts w:hint="eastAsia"/>
          <w:lang w:val="en-US" w:eastAsia="zh-CN"/>
        </w:rPr>
      </w:pPr>
      <w:bookmarkStart w:id="492" w:name="_Toc14945"/>
      <w:bookmarkStart w:id="493" w:name="_Toc20803"/>
      <w:bookmarkStart w:id="494" w:name="_Toc26049"/>
      <w:bookmarkStart w:id="495" w:name="_Toc5720"/>
      <w:r>
        <w:rPr>
          <w:rFonts w:hint="eastAsia"/>
          <w:lang w:val="en-US" w:eastAsia="zh-CN"/>
        </w:rPr>
        <w:br w:type="page"/>
      </w:r>
    </w:p>
    <w:p>
      <w:pPr>
        <w:pStyle w:val="4"/>
        <w:bidi w:val="0"/>
        <w:jc w:val="center"/>
        <w:outlineLvl w:val="0"/>
        <w:rPr>
          <w:rFonts w:hint="eastAsia" w:asciiTheme="minorEastAsia" w:hAnsiTheme="minorEastAsia" w:eastAsiaTheme="minorEastAsia" w:cstheme="minorEastAsia"/>
          <w:szCs w:val="28"/>
          <w:highlight w:val="none"/>
          <w:lang w:val="en-US" w:eastAsia="zh-CN"/>
        </w:rPr>
      </w:pPr>
      <w:bookmarkStart w:id="496" w:name="_Toc21575"/>
      <w:bookmarkStart w:id="497" w:name="_Toc18161"/>
      <w:bookmarkStart w:id="498" w:name="_Toc11449"/>
      <w:bookmarkStart w:id="499" w:name="_Toc31518"/>
      <w:r>
        <w:rPr>
          <w:rFonts w:hint="eastAsia"/>
          <w:lang w:val="en-US" w:eastAsia="zh-CN"/>
        </w:rPr>
        <w:t>第十二章 提升城市公共服务数字化水平</w:t>
      </w:r>
      <w:bookmarkEnd w:id="492"/>
      <w:bookmarkEnd w:id="493"/>
      <w:bookmarkEnd w:id="494"/>
      <w:bookmarkEnd w:id="495"/>
      <w:bookmarkEnd w:id="496"/>
      <w:bookmarkEnd w:id="497"/>
      <w:bookmarkEnd w:id="498"/>
      <w:bookmarkEnd w:id="499"/>
    </w:p>
    <w:p>
      <w:pPr>
        <w:pStyle w:val="18"/>
        <w:keepNext w:val="0"/>
        <w:keepLines w:val="0"/>
        <w:widowControl w:val="0"/>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bookmarkStart w:id="500" w:name="_Toc28446"/>
      <w:bookmarkStart w:id="501" w:name="_Toc13163"/>
      <w:bookmarkStart w:id="502" w:name="_Toc26828"/>
      <w:bookmarkStart w:id="503" w:name="_Toc92"/>
      <w:bookmarkStart w:id="504" w:name="_Toc30789"/>
      <w:bookmarkStart w:id="505" w:name="_Toc715"/>
      <w:bookmarkStart w:id="506" w:name="_Toc6127"/>
      <w:r>
        <w:rPr>
          <w:rFonts w:hint="eastAsia" w:ascii="宋体" w:hAnsi="宋体" w:eastAsia="宋体" w:cs="宋体"/>
          <w:sz w:val="28"/>
          <w:szCs w:val="28"/>
          <w:lang w:bidi="ar-SA"/>
        </w:rPr>
        <w:t xml:space="preserve">结合智慧城市建设，以数字技术应用优化提升公共服务、激发社会活力、促进市场化应用服务为重点，加快社会信用信息平台建设，引导鼓励企业和社会机构开展创新应用实践，重点推动医疗、教育、交通、扶贫等领域的数字化应用示范，不断释放产业机会，实现城市公共服务优化与产业培育的协同共进。 </w:t>
      </w:r>
    </w:p>
    <w:p>
      <w:pPr>
        <w:pStyle w:val="5"/>
        <w:spacing w:line="360" w:lineRule="auto"/>
        <w:ind w:left="0" w:firstLine="0" w:firstLineChars="0"/>
        <w:jc w:val="left"/>
        <w:outlineLvl w:val="1"/>
        <w:rPr>
          <w:rFonts w:hint="eastAsia" w:ascii="黑体" w:hAnsi="黑体" w:eastAsia="黑体" w:cs="黑体"/>
          <w:sz w:val="28"/>
          <w:szCs w:val="28"/>
        </w:rPr>
      </w:pPr>
      <w:bookmarkStart w:id="507" w:name="_Toc20533"/>
      <w:bookmarkStart w:id="508" w:name="_Toc26526"/>
      <w:bookmarkStart w:id="509" w:name="_Toc4056"/>
      <w:r>
        <w:rPr>
          <w:rFonts w:hint="default" w:ascii="Tahoma" w:hAnsi="Tahoma" w:cstheme="minorBidi"/>
          <w:spacing w:val="0"/>
          <w:w w:val="100"/>
          <w:sz w:val="28"/>
          <w:szCs w:val="28"/>
          <w:lang w:val="en-US" w:eastAsia="zh-CN"/>
        </w:rPr>
        <w:t>12.1</w:t>
      </w:r>
      <w:r>
        <w:rPr>
          <w:rFonts w:hint="default" w:ascii="Tahoma" w:hAnsi="Tahoma" w:cstheme="minorBidi"/>
          <w:spacing w:val="0"/>
          <w:w w:val="100"/>
          <w:sz w:val="28"/>
          <w:szCs w:val="28"/>
        </w:rPr>
        <w:t xml:space="preserve"> </w:t>
      </w:r>
      <w:r>
        <w:rPr>
          <w:rFonts w:hint="eastAsia" w:ascii="黑体" w:hAnsi="黑体" w:eastAsia="黑体" w:cs="黑体"/>
          <w:sz w:val="28"/>
          <w:szCs w:val="28"/>
        </w:rPr>
        <w:t>推进教育资源共建共享</w:t>
      </w:r>
      <w:bookmarkEnd w:id="507"/>
      <w:bookmarkEnd w:id="508"/>
      <w:bookmarkEnd w:id="509"/>
    </w:p>
    <w:p>
      <w:pPr>
        <w:pStyle w:val="9"/>
        <w:keepNext w:val="0"/>
        <w:keepLines w:val="0"/>
        <w:pageBreakBefore w:val="0"/>
        <w:widowControl w:val="0"/>
        <w:kinsoku/>
        <w:wordWrap/>
        <w:overflowPunct/>
        <w:topLinePunct w:val="0"/>
        <w:autoSpaceDE/>
        <w:autoSpaceDN/>
        <w:bidi w:val="0"/>
        <w:adjustRightInd/>
        <w:snapToGrid/>
        <w:spacing w:before="80" w:after="200" w:line="360" w:lineRule="auto"/>
        <w:ind w:left="0" w:right="0" w:firstLine="560" w:firstLineChars="200"/>
        <w:jc w:val="left"/>
        <w:textAlignment w:val="auto"/>
        <w:rPr>
          <w:rFonts w:hint="eastAsia" w:ascii="宋体" w:hAnsi="宋体" w:cs="宋体"/>
          <w:spacing w:val="0"/>
          <w:kern w:val="0"/>
          <w:sz w:val="28"/>
          <w:szCs w:val="28"/>
        </w:rPr>
      </w:pPr>
      <w:r>
        <w:rPr>
          <w:rFonts w:hint="eastAsia" w:ascii="宋体" w:hAnsi="宋体" w:cs="宋体"/>
          <w:spacing w:val="0"/>
          <w:kern w:val="0"/>
          <w:sz w:val="28"/>
          <w:szCs w:val="28"/>
        </w:rPr>
        <w:t>全面落实教育部、教育厅对教育信息化建设的决策部署，基</w:t>
      </w:r>
      <w:r>
        <w:rPr>
          <w:rFonts w:hint="eastAsia" w:ascii="宋体" w:hAnsi="宋体" w:cs="宋体"/>
          <w:w w:val="100"/>
          <w:kern w:val="0"/>
          <w:sz w:val="28"/>
          <w:szCs w:val="28"/>
        </w:rPr>
        <w:t>于</w:t>
      </w:r>
      <w:r>
        <w:rPr>
          <w:rFonts w:hint="eastAsia" w:ascii="宋体" w:hAnsi="宋体" w:cs="宋体"/>
          <w:spacing w:val="0"/>
          <w:w w:val="100"/>
          <w:kern w:val="0"/>
          <w:sz w:val="28"/>
          <w:szCs w:val="28"/>
        </w:rPr>
        <w:t xml:space="preserve">教育信息化 </w:t>
      </w:r>
      <w:r>
        <w:rPr>
          <w:rFonts w:hint="eastAsia" w:ascii="宋体" w:hAnsi="宋体" w:eastAsia="宋体" w:cs="宋体"/>
          <w:w w:val="100"/>
          <w:kern w:val="0"/>
          <w:sz w:val="28"/>
          <w:szCs w:val="28"/>
        </w:rPr>
        <w:t>2.0</w:t>
      </w:r>
      <w:r>
        <w:rPr>
          <w:rFonts w:hint="eastAsia" w:ascii="宋体" w:hAnsi="宋体" w:eastAsia="宋体" w:cs="宋体"/>
          <w:spacing w:val="0"/>
          <w:w w:val="100"/>
          <w:kern w:val="0"/>
          <w:sz w:val="28"/>
          <w:szCs w:val="28"/>
        </w:rPr>
        <w:t xml:space="preserve"> </w:t>
      </w:r>
      <w:r>
        <w:rPr>
          <w:rFonts w:hint="eastAsia" w:ascii="宋体" w:hAnsi="宋体" w:cs="宋体"/>
          <w:w w:val="100"/>
          <w:kern w:val="0"/>
          <w:sz w:val="28"/>
          <w:szCs w:val="28"/>
        </w:rPr>
        <w:t>行动计划要求，在“三通两平台”基础上，</w:t>
      </w:r>
      <w:r>
        <w:rPr>
          <w:rFonts w:hint="eastAsia" w:ascii="宋体" w:hAnsi="宋体" w:cs="宋体"/>
          <w:spacing w:val="0"/>
          <w:w w:val="100"/>
          <w:kern w:val="0"/>
          <w:sz w:val="28"/>
          <w:szCs w:val="28"/>
        </w:rPr>
        <w:t>按照“云</w:t>
      </w:r>
      <w:r>
        <w:rPr>
          <w:rFonts w:hint="eastAsia" w:ascii="宋体" w:hAnsi="宋体" w:eastAsia="宋体" w:cs="宋体"/>
          <w:spacing w:val="0"/>
          <w:w w:val="100"/>
          <w:kern w:val="0"/>
          <w:sz w:val="28"/>
          <w:szCs w:val="28"/>
        </w:rPr>
        <w:t>—</w:t>
      </w:r>
      <w:r>
        <w:rPr>
          <w:rFonts w:hint="eastAsia" w:ascii="宋体" w:hAnsi="宋体" w:cs="宋体"/>
          <w:spacing w:val="0"/>
          <w:w w:val="100"/>
          <w:kern w:val="0"/>
          <w:sz w:val="28"/>
          <w:szCs w:val="28"/>
        </w:rPr>
        <w:t>网</w:t>
      </w:r>
      <w:r>
        <w:rPr>
          <w:rFonts w:hint="eastAsia" w:ascii="宋体" w:hAnsi="宋体" w:eastAsia="宋体" w:cs="宋体"/>
          <w:spacing w:val="0"/>
          <w:w w:val="100"/>
          <w:kern w:val="0"/>
          <w:sz w:val="28"/>
          <w:szCs w:val="28"/>
        </w:rPr>
        <w:t>—</w:t>
      </w:r>
      <w:r>
        <w:rPr>
          <w:rFonts w:hint="eastAsia" w:ascii="宋体" w:hAnsi="宋体" w:cs="宋体"/>
          <w:spacing w:val="0"/>
          <w:w w:val="100"/>
          <w:kern w:val="0"/>
          <w:sz w:val="28"/>
          <w:szCs w:val="28"/>
        </w:rPr>
        <w:t>端”模式，积极</w:t>
      </w:r>
      <w:r>
        <w:rPr>
          <w:rFonts w:hint="eastAsia" w:ascii="宋体" w:hAnsi="宋体" w:cs="宋体"/>
          <w:spacing w:val="0"/>
          <w:kern w:val="0"/>
          <w:sz w:val="28"/>
          <w:szCs w:val="28"/>
        </w:rPr>
        <w:t>推进“互联网</w:t>
      </w:r>
      <w:r>
        <w:rPr>
          <w:rFonts w:hint="eastAsia" w:ascii="宋体" w:hAnsi="宋体" w:eastAsia="宋体" w:cs="宋体"/>
          <w:spacing w:val="0"/>
          <w:kern w:val="0"/>
          <w:sz w:val="28"/>
          <w:szCs w:val="28"/>
        </w:rPr>
        <w:t>+</w:t>
      </w:r>
      <w:r>
        <w:rPr>
          <w:rFonts w:hint="eastAsia" w:ascii="宋体" w:hAnsi="宋体" w:cs="宋体"/>
          <w:spacing w:val="0"/>
          <w:kern w:val="0"/>
          <w:sz w:val="28"/>
          <w:szCs w:val="28"/>
        </w:rPr>
        <w:t>教育”，构建网格化、数字化、智能化的教育体系。</w:t>
      </w:r>
    </w:p>
    <w:p>
      <w:pPr>
        <w:pStyle w:val="9"/>
        <w:keepNext w:val="0"/>
        <w:keepLines w:val="0"/>
        <w:pageBreakBefore w:val="0"/>
        <w:widowControl w:val="0"/>
        <w:kinsoku/>
        <w:wordWrap/>
        <w:overflowPunct/>
        <w:topLinePunct w:val="0"/>
        <w:autoSpaceDE/>
        <w:autoSpaceDN/>
        <w:bidi w:val="0"/>
        <w:adjustRightInd/>
        <w:snapToGrid/>
        <w:spacing w:before="80" w:after="200" w:line="360" w:lineRule="auto"/>
        <w:ind w:left="0" w:right="0" w:firstLine="562" w:firstLineChars="200"/>
        <w:jc w:val="left"/>
        <w:textAlignment w:val="auto"/>
        <w:rPr>
          <w:rFonts w:hint="eastAsia" w:ascii="宋体" w:hAnsi="宋体" w:cs="宋体"/>
          <w:spacing w:val="0"/>
          <w:kern w:val="0"/>
          <w:sz w:val="28"/>
          <w:szCs w:val="28"/>
        </w:rPr>
      </w:pPr>
      <w:r>
        <w:rPr>
          <w:rFonts w:hint="eastAsia" w:ascii="宋体" w:hAnsi="宋体" w:cs="宋体"/>
          <w:b/>
          <w:bCs/>
          <w:spacing w:val="0"/>
          <w:kern w:val="0"/>
          <w:sz w:val="28"/>
          <w:szCs w:val="28"/>
        </w:rPr>
        <w:t>集约建设全</w:t>
      </w:r>
      <w:r>
        <w:rPr>
          <w:rFonts w:hint="eastAsia" w:ascii="宋体" w:hAnsi="宋体" w:cs="宋体"/>
          <w:b/>
          <w:bCs/>
          <w:spacing w:val="0"/>
          <w:kern w:val="0"/>
          <w:sz w:val="28"/>
          <w:szCs w:val="28"/>
          <w:lang w:eastAsia="zh-CN"/>
        </w:rPr>
        <w:t>县</w:t>
      </w:r>
      <w:r>
        <w:rPr>
          <w:rFonts w:hint="eastAsia" w:ascii="宋体" w:hAnsi="宋体" w:cs="宋体"/>
          <w:b/>
          <w:bCs/>
          <w:spacing w:val="0"/>
          <w:kern w:val="0"/>
          <w:sz w:val="28"/>
          <w:szCs w:val="28"/>
        </w:rPr>
        <w:t>智慧教育云服务平台。</w:t>
      </w:r>
      <w:r>
        <w:rPr>
          <w:rFonts w:hint="eastAsia" w:ascii="宋体" w:hAnsi="宋体" w:cs="宋体"/>
          <w:spacing w:val="0"/>
          <w:kern w:val="0"/>
          <w:sz w:val="28"/>
          <w:szCs w:val="28"/>
        </w:rPr>
        <w:t>建设教育基础数据库，打造教育资源共建共享，通过云资源、云校园、云管理、云分析等应用体系，为教育管理者、教师、学生、家长、公众提供高效便捷的各类“云”化智慧教育资源和管理服务。</w:t>
      </w:r>
    </w:p>
    <w:p>
      <w:pPr>
        <w:pStyle w:val="9"/>
        <w:keepNext w:val="0"/>
        <w:keepLines w:val="0"/>
        <w:pageBreakBefore w:val="0"/>
        <w:widowControl w:val="0"/>
        <w:kinsoku/>
        <w:wordWrap/>
        <w:overflowPunct/>
        <w:topLinePunct w:val="0"/>
        <w:autoSpaceDE/>
        <w:autoSpaceDN/>
        <w:bidi w:val="0"/>
        <w:adjustRightInd/>
        <w:snapToGrid/>
        <w:spacing w:before="80" w:after="200" w:line="360" w:lineRule="auto"/>
        <w:ind w:left="0" w:right="0" w:firstLine="562" w:firstLineChars="200"/>
        <w:jc w:val="left"/>
        <w:textAlignment w:val="auto"/>
        <w:rPr>
          <w:rFonts w:hint="eastAsia" w:ascii="宋体" w:hAnsi="宋体" w:eastAsia="宋体" w:cs="宋体"/>
          <w:kern w:val="0"/>
          <w:sz w:val="28"/>
          <w:szCs w:val="28"/>
          <w:lang w:eastAsia="zh-CN"/>
        </w:rPr>
      </w:pPr>
      <w:r>
        <w:rPr>
          <w:rFonts w:hint="eastAsia" w:ascii="宋体" w:hAnsi="宋体" w:cs="宋体"/>
          <w:b/>
          <w:bCs/>
          <w:spacing w:val="0"/>
          <w:kern w:val="0"/>
          <w:sz w:val="28"/>
          <w:szCs w:val="28"/>
        </w:rPr>
        <w:t>完善智慧教育网络和终端基础设施。</w:t>
      </w:r>
      <w:r>
        <w:rPr>
          <w:rFonts w:hint="eastAsia" w:ascii="宋体" w:hAnsi="宋体" w:cs="宋体"/>
          <w:spacing w:val="0"/>
          <w:kern w:val="0"/>
          <w:sz w:val="28"/>
          <w:szCs w:val="28"/>
        </w:rPr>
        <w:t>加快拓展教育城域网、</w:t>
      </w:r>
      <w:r>
        <w:rPr>
          <w:rFonts w:hint="eastAsia" w:ascii="宋体" w:hAnsi="宋体" w:cs="宋体"/>
          <w:w w:val="100"/>
          <w:kern w:val="0"/>
          <w:sz w:val="28"/>
          <w:szCs w:val="28"/>
        </w:rPr>
        <w:t>教育专网建设覆盖面，为智慧教育提供良好的网络基础条件和</w:t>
      </w:r>
      <w:r>
        <w:rPr>
          <w:rFonts w:hint="eastAsia" w:ascii="宋体" w:hAnsi="宋体" w:cs="宋体"/>
          <w:w w:val="100"/>
          <w:kern w:val="0"/>
          <w:sz w:val="28"/>
          <w:szCs w:val="28"/>
          <w:lang w:eastAsia="zh-CN"/>
        </w:rPr>
        <w:t>智</w:t>
      </w:r>
      <w:r>
        <w:rPr>
          <w:rFonts w:hint="eastAsia" w:ascii="宋体" w:hAnsi="宋体" w:cs="宋体"/>
          <w:spacing w:val="0"/>
          <w:kern w:val="0"/>
          <w:sz w:val="28"/>
          <w:szCs w:val="28"/>
        </w:rPr>
        <w:t>慧教学硬件条件</w:t>
      </w:r>
      <w:r>
        <w:rPr>
          <w:rFonts w:hint="eastAsia" w:ascii="宋体" w:hAnsi="宋体" w:cs="宋体"/>
          <w:spacing w:val="0"/>
          <w:kern w:val="0"/>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before="80" w:after="20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推进“数字校园”建设应用。</w:t>
      </w:r>
      <w:r>
        <w:rPr>
          <w:rFonts w:hint="eastAsia" w:ascii="宋体" w:hAnsi="宋体" w:cs="宋体"/>
          <w:spacing w:val="0"/>
          <w:kern w:val="0"/>
          <w:sz w:val="28"/>
          <w:szCs w:val="28"/>
        </w:rPr>
        <w:t>依托统一的智慧教育云平台，推进“数字校园”建设应用，通过开展“数字校园”建设应用进展评估，实现校园环境网络化、数字教育资源应用常态化</w:t>
      </w:r>
      <w:r>
        <w:rPr>
          <w:rFonts w:hint="eastAsia" w:ascii="宋体" w:hAnsi="宋体" w:cs="宋体"/>
          <w:spacing w:val="0"/>
          <w:kern w:val="0"/>
          <w:sz w:val="28"/>
          <w:szCs w:val="28"/>
          <w:lang w:eastAsia="zh-CN"/>
        </w:rPr>
        <w:t>、</w:t>
      </w:r>
      <w:r>
        <w:rPr>
          <w:rFonts w:hint="eastAsia" w:ascii="宋体" w:hAnsi="宋体" w:cs="宋体"/>
          <w:spacing w:val="0"/>
          <w:w w:val="100"/>
          <w:kern w:val="0"/>
          <w:sz w:val="28"/>
          <w:szCs w:val="28"/>
        </w:rPr>
        <w:t>教育管理信息化。</w:t>
      </w:r>
      <w:r>
        <w:rPr>
          <w:rFonts w:hint="eastAsia" w:ascii="宋体" w:hAnsi="宋体" w:eastAsia="宋体" w:cs="宋体"/>
          <w:w w:val="100"/>
          <w:kern w:val="0"/>
          <w:sz w:val="28"/>
          <w:szCs w:val="28"/>
        </w:rPr>
        <w:t xml:space="preserve"> </w:t>
      </w:r>
    </w:p>
    <w:p>
      <w:pPr>
        <w:pStyle w:val="5"/>
        <w:spacing w:before="200" w:line="360" w:lineRule="auto"/>
        <w:ind w:left="0" w:right="4343" w:firstLine="0" w:firstLineChars="0"/>
        <w:jc w:val="left"/>
        <w:outlineLvl w:val="1"/>
        <w:rPr>
          <w:rFonts w:hint="eastAsia" w:ascii="黑体" w:hAnsi="黑体" w:eastAsia="黑体" w:cs="黑体"/>
          <w:sz w:val="30"/>
          <w:szCs w:val="30"/>
        </w:rPr>
      </w:pPr>
      <w:bookmarkStart w:id="510" w:name="_Toc11272"/>
      <w:bookmarkStart w:id="511" w:name="_Toc12881"/>
      <w:bookmarkStart w:id="512" w:name="_Toc18312"/>
      <w:r>
        <w:rPr>
          <w:rFonts w:hint="eastAsia" w:ascii="黑体" w:hAnsi="黑体" w:eastAsia="黑体" w:cs="黑体"/>
          <w:w w:val="100"/>
          <w:sz w:val="30"/>
          <w:szCs w:val="30"/>
          <w:lang w:val="en-US" w:eastAsia="zh-CN"/>
        </w:rPr>
        <w:t>12.2</w:t>
      </w:r>
      <w:r>
        <w:rPr>
          <w:rFonts w:hint="eastAsia" w:ascii="黑体" w:hAnsi="黑体" w:eastAsia="黑体" w:cs="黑体"/>
          <w:spacing w:val="0"/>
          <w:w w:val="100"/>
          <w:sz w:val="30"/>
          <w:szCs w:val="30"/>
        </w:rPr>
        <w:t>全面打造智慧医疗健康体系</w:t>
      </w:r>
      <w:bookmarkEnd w:id="510"/>
      <w:bookmarkEnd w:id="511"/>
      <w:bookmarkEnd w:id="512"/>
      <w:r>
        <w:rPr>
          <w:rFonts w:hint="eastAsia" w:ascii="黑体" w:hAnsi="黑体" w:eastAsia="黑体" w:cs="黑体"/>
          <w:spacing w:val="0"/>
          <w:w w:val="100"/>
          <w:sz w:val="30"/>
          <w:szCs w:val="30"/>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cs="宋体"/>
          <w:spacing w:val="0"/>
          <w:kern w:val="0"/>
          <w:sz w:val="28"/>
          <w:szCs w:val="28"/>
        </w:rPr>
        <w:t>深入推进医疗健康信息化应用，引导医药行业创新发展，减轻公共医疗服务负担，实现“助医改、惠民生、促行业”的发展</w:t>
      </w:r>
      <w:r>
        <w:rPr>
          <w:rFonts w:hint="eastAsia" w:ascii="宋体" w:hAnsi="宋体" w:cs="宋体"/>
          <w:w w:val="100"/>
          <w:kern w:val="0"/>
          <w:sz w:val="28"/>
          <w:szCs w:val="28"/>
        </w:rPr>
        <w:t>目标。</w:t>
      </w:r>
      <w:r>
        <w:rPr>
          <w:rFonts w:hint="eastAsia" w:ascii="宋体" w:hAnsi="宋体" w:eastAsia="宋体" w:cs="宋体"/>
          <w:w w:val="100"/>
          <w:kern w:val="0"/>
          <w:sz w:val="28"/>
          <w:szCs w:val="28"/>
        </w:rPr>
        <w:t xml:space="preserve"> </w:t>
      </w:r>
    </w:p>
    <w:tbl>
      <w:tblPr>
        <w:tblStyle w:val="20"/>
        <w:tblpPr w:leftFromText="180" w:rightFromText="180" w:vertAnchor="text" w:horzAnchor="page" w:tblpX="1336"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专栏12 </w:t>
            </w:r>
            <w:r>
              <w:rPr>
                <w:rFonts w:hint="eastAsia" w:ascii="宋体" w:hAnsi="宋体" w:eastAsia="宋体" w:cs="宋体"/>
                <w:b/>
                <w:bCs/>
                <w:i w:val="0"/>
                <w:caps w:val="0"/>
                <w:spacing w:val="0"/>
                <w:sz w:val="28"/>
                <w:szCs w:val="28"/>
                <w:shd w:val="clear"/>
              </w:rPr>
              <w:t>智慧</w:t>
            </w:r>
            <w:r>
              <w:rPr>
                <w:rFonts w:hint="eastAsia" w:ascii="宋体" w:hAnsi="宋体" w:eastAsia="宋体" w:cs="宋体"/>
                <w:b/>
                <w:bCs/>
                <w:i w:val="0"/>
                <w:caps w:val="0"/>
                <w:spacing w:val="0"/>
                <w:sz w:val="28"/>
                <w:szCs w:val="28"/>
                <w:shd w:val="clear"/>
                <w:lang w:eastAsia="zh-CN"/>
              </w:rPr>
              <w:t>医疗</w:t>
            </w:r>
            <w:r>
              <w:rPr>
                <w:rFonts w:hint="eastAsia" w:ascii="宋体" w:hAnsi="宋体" w:eastAsia="宋体" w:cs="宋体"/>
                <w:b/>
                <w:bCs/>
                <w:sz w:val="28"/>
                <w:szCs w:val="28"/>
                <w:lang w:val="en-US" w:eastAsia="zh-CN"/>
              </w:rPr>
              <w:t>专项工程</w:t>
            </w:r>
          </w:p>
          <w:p>
            <w:pPr>
              <w:pStyle w:val="9"/>
              <w:spacing w:before="0" w:after="0" w:line="360" w:lineRule="auto"/>
              <w:ind w:left="0" w:right="0" w:firstLine="562" w:firstLineChars="200"/>
              <w:jc w:val="left"/>
              <w:rPr>
                <w:rFonts w:hint="eastAsia" w:ascii="宋体" w:hAnsi="宋体" w:eastAsia="宋体" w:cs="宋体"/>
                <w:w w:val="100"/>
                <w:kern w:val="0"/>
                <w:sz w:val="28"/>
                <w:szCs w:val="28"/>
              </w:rPr>
            </w:pPr>
            <w:r>
              <w:rPr>
                <w:rFonts w:hint="eastAsia" w:ascii="宋体" w:hAnsi="宋体" w:cs="宋体"/>
                <w:b/>
                <w:bCs/>
                <w:spacing w:val="0"/>
                <w:w w:val="100"/>
                <w:kern w:val="0"/>
                <w:sz w:val="28"/>
                <w:szCs w:val="28"/>
              </w:rPr>
              <w:t>推进医疗信息化集约建设。</w:t>
            </w:r>
            <w:r>
              <w:rPr>
                <w:rFonts w:hint="eastAsia" w:ascii="宋体" w:hAnsi="宋体" w:cs="宋体"/>
                <w:spacing w:val="0"/>
                <w:w w:val="100"/>
                <w:kern w:val="0"/>
                <w:sz w:val="28"/>
                <w:szCs w:val="28"/>
              </w:rPr>
              <w:t>通过推进医院信息系统</w:t>
            </w:r>
            <w:r>
              <w:rPr>
                <w:rFonts w:hint="eastAsia" w:ascii="宋体" w:hAnsi="宋体" w:cs="宋体"/>
                <w:spacing w:val="0"/>
                <w:kern w:val="0"/>
                <w:sz w:val="28"/>
                <w:szCs w:val="28"/>
              </w:rPr>
              <w:t>应用、电子病历应用及共享，逐步实现区域内电子病历集聚整合及共享调阅，降低医疗成本，提升全域医疗服务能力和水</w:t>
            </w:r>
            <w:r>
              <w:rPr>
                <w:rFonts w:hint="eastAsia" w:ascii="宋体" w:hAnsi="宋体" w:cs="宋体"/>
                <w:w w:val="100"/>
                <w:kern w:val="0"/>
                <w:sz w:val="28"/>
                <w:szCs w:val="28"/>
              </w:rPr>
              <w:t>平。</w:t>
            </w:r>
            <w:r>
              <w:rPr>
                <w:rFonts w:hint="eastAsia" w:ascii="宋体" w:hAnsi="宋体" w:eastAsia="宋体" w:cs="宋体"/>
                <w:w w:val="100"/>
                <w:kern w:val="0"/>
                <w:sz w:val="28"/>
                <w:szCs w:val="28"/>
              </w:rPr>
              <w:t xml:space="preserve"> </w:t>
            </w:r>
          </w:p>
          <w:p>
            <w:pPr>
              <w:pStyle w:val="9"/>
              <w:spacing w:before="0" w:after="0" w:line="360" w:lineRule="auto"/>
              <w:ind w:left="0" w:right="0" w:firstLine="562" w:firstLineChars="200"/>
              <w:jc w:val="left"/>
              <w:rPr>
                <w:rFonts w:hint="eastAsia" w:ascii="宋体" w:hAnsi="宋体" w:eastAsia="宋体" w:cs="宋体"/>
                <w:kern w:val="0"/>
                <w:sz w:val="28"/>
                <w:szCs w:val="28"/>
              </w:rPr>
            </w:pPr>
            <w:r>
              <w:rPr>
                <w:rFonts w:hint="eastAsia" w:ascii="宋体" w:hAnsi="宋体" w:cs="宋体"/>
                <w:b/>
                <w:bCs/>
                <w:spacing w:val="0"/>
                <w:w w:val="100"/>
                <w:kern w:val="0"/>
                <w:sz w:val="28"/>
                <w:szCs w:val="28"/>
              </w:rPr>
              <w:t>实施卫生健康信息化网底工程。</w:t>
            </w:r>
            <w:r>
              <w:rPr>
                <w:rFonts w:hint="eastAsia" w:ascii="宋体" w:hAnsi="宋体" w:cs="宋体"/>
                <w:spacing w:val="0"/>
                <w:kern w:val="0"/>
                <w:sz w:val="28"/>
                <w:szCs w:val="28"/>
              </w:rPr>
              <w:t>全面推广应用基层医疗卫生机构管理信息系统，重点开展村卫生室、社区卫生服务站、诊所</w:t>
            </w:r>
            <w:r>
              <w:rPr>
                <w:rFonts w:hint="eastAsia" w:ascii="宋体" w:hAnsi="宋体" w:cs="宋体"/>
                <w:sz w:val="28"/>
                <w:szCs w:val="28"/>
              </w:rPr>
              <w:t>等基层医疗卫生机构信息化建设，延伸放大基层医疗卫生机构服</w:t>
            </w:r>
            <w:r>
              <w:rPr>
                <w:rFonts w:hint="eastAsia" w:ascii="宋体" w:hAnsi="宋体" w:cs="宋体"/>
                <w:w w:val="100"/>
                <w:kern w:val="0"/>
                <w:sz w:val="28"/>
                <w:szCs w:val="28"/>
              </w:rPr>
              <w:t>务能力。</w:t>
            </w:r>
            <w:r>
              <w:rPr>
                <w:rFonts w:hint="eastAsia" w:ascii="宋体" w:hAnsi="宋体" w:eastAsia="宋体" w:cs="宋体"/>
                <w:w w:val="100"/>
                <w:kern w:val="0"/>
                <w:sz w:val="28"/>
                <w:szCs w:val="28"/>
              </w:rPr>
              <w:t xml:space="preserve"> </w:t>
            </w:r>
          </w:p>
          <w:p>
            <w:pPr>
              <w:pStyle w:val="9"/>
              <w:spacing w:before="0" w:after="0" w:line="360" w:lineRule="auto"/>
              <w:ind w:left="0" w:right="0" w:firstLine="560" w:firstLineChars="200"/>
              <w:jc w:val="left"/>
              <w:rPr>
                <w:rFonts w:hint="eastAsia" w:ascii="宋体" w:hAnsi="宋体" w:eastAsia="宋体" w:cs="宋体"/>
                <w:kern w:val="0"/>
                <w:sz w:val="28"/>
                <w:szCs w:val="28"/>
              </w:rPr>
            </w:pPr>
            <w:r>
              <w:rPr>
                <w:rFonts w:hint="eastAsia" w:ascii="宋体" w:hAnsi="宋体" w:eastAsia="宋体" w:cs="宋体"/>
                <w:spacing w:val="0"/>
                <w:w w:val="100"/>
                <w:kern w:val="0"/>
                <w:sz w:val="28"/>
                <w:szCs w:val="28"/>
              </w:rPr>
              <w:t xml:space="preserve"> </w:t>
            </w:r>
            <w:r>
              <w:rPr>
                <w:rFonts w:hint="eastAsia" w:ascii="宋体" w:hAnsi="宋体" w:cs="宋体"/>
                <w:b/>
                <w:bCs/>
                <w:spacing w:val="0"/>
                <w:w w:val="100"/>
                <w:kern w:val="0"/>
                <w:sz w:val="28"/>
                <w:szCs w:val="28"/>
              </w:rPr>
              <w:t>建立医疗影像云平台。</w:t>
            </w:r>
            <w:r>
              <w:rPr>
                <w:rFonts w:hint="eastAsia" w:ascii="宋体" w:hAnsi="宋体" w:cs="宋体"/>
                <w:spacing w:val="0"/>
                <w:kern w:val="0"/>
                <w:sz w:val="28"/>
                <w:szCs w:val="28"/>
              </w:rPr>
              <w:t>通过探索建立独立的医疗影像中心，为基层医疗机构、个人提供医疗影像云服务，实现优质资源有效利用，减少重复检查，切实减轻患者就医负担，提高人民群众对</w:t>
            </w:r>
            <w:r>
              <w:rPr>
                <w:rFonts w:hint="eastAsia" w:ascii="宋体" w:hAnsi="宋体" w:cs="宋体"/>
                <w:spacing w:val="0"/>
                <w:w w:val="100"/>
                <w:kern w:val="0"/>
                <w:sz w:val="28"/>
                <w:szCs w:val="28"/>
              </w:rPr>
              <w:t>医疗服务满意度。</w:t>
            </w:r>
            <w:r>
              <w:rPr>
                <w:rFonts w:hint="eastAsia" w:ascii="宋体" w:hAnsi="宋体" w:eastAsia="宋体" w:cs="宋体"/>
                <w:spacing w:val="0"/>
                <w:w w:val="100"/>
                <w:kern w:val="0"/>
                <w:sz w:val="28"/>
                <w:szCs w:val="28"/>
              </w:rPr>
              <w:t xml:space="preserve"> </w:t>
            </w:r>
          </w:p>
          <w:p>
            <w:pPr>
              <w:pStyle w:val="9"/>
              <w:spacing w:before="0" w:after="0" w:line="360" w:lineRule="auto"/>
              <w:ind w:left="0" w:right="0" w:firstLine="562" w:firstLineChars="200"/>
              <w:jc w:val="left"/>
              <w:rPr>
                <w:rFonts w:hint="eastAsia" w:ascii="宋体" w:hAnsi="宋体" w:eastAsia="宋体" w:cs="宋体"/>
                <w:spacing w:val="0"/>
                <w:w w:val="100"/>
                <w:kern w:val="0"/>
                <w:sz w:val="28"/>
                <w:szCs w:val="28"/>
              </w:rPr>
            </w:pPr>
            <w:r>
              <w:rPr>
                <w:rFonts w:hint="eastAsia" w:ascii="宋体" w:hAnsi="宋体" w:cs="宋体"/>
                <w:b/>
                <w:bCs/>
                <w:spacing w:val="0"/>
                <w:w w:val="100"/>
                <w:kern w:val="0"/>
                <w:sz w:val="28"/>
                <w:szCs w:val="28"/>
              </w:rPr>
              <w:t>建设医疗健康便民服务平台。</w:t>
            </w:r>
            <w:r>
              <w:rPr>
                <w:rFonts w:hint="eastAsia" w:ascii="宋体" w:hAnsi="宋体" w:cs="宋体"/>
                <w:spacing w:val="0"/>
                <w:w w:val="100"/>
                <w:kern w:val="0"/>
                <w:sz w:val="28"/>
                <w:szCs w:val="28"/>
              </w:rPr>
              <w:t>通过门户网站、手机</w:t>
            </w:r>
            <w:r>
              <w:rPr>
                <w:rFonts w:hint="eastAsia" w:ascii="宋体" w:hAnsi="宋体" w:eastAsia="宋体" w:cs="宋体"/>
                <w:w w:val="100"/>
                <w:kern w:val="0"/>
                <w:sz w:val="28"/>
                <w:szCs w:val="28"/>
              </w:rPr>
              <w:t>APP</w:t>
            </w:r>
            <w:r>
              <w:rPr>
                <w:rFonts w:hint="eastAsia" w:ascii="宋体" w:hAnsi="宋体" w:cs="宋体"/>
                <w:spacing w:val="0"/>
                <w:w w:val="100"/>
                <w:kern w:val="0"/>
                <w:sz w:val="28"/>
                <w:szCs w:val="28"/>
              </w:rPr>
              <w:t>、微</w:t>
            </w:r>
            <w:r>
              <w:rPr>
                <w:rFonts w:hint="eastAsia" w:ascii="宋体" w:hAnsi="宋体" w:cs="宋体"/>
                <w:spacing w:val="0"/>
                <w:kern w:val="0"/>
                <w:sz w:val="28"/>
                <w:szCs w:val="28"/>
              </w:rPr>
              <w:t>信公众号、自助服务设备等途径建立统一医疗健康服务门户，实</w:t>
            </w:r>
            <w:r>
              <w:rPr>
                <w:rFonts w:hint="eastAsia" w:ascii="宋体" w:hAnsi="宋体" w:cs="宋体"/>
                <w:spacing w:val="0"/>
                <w:w w:val="100"/>
                <w:kern w:val="0"/>
                <w:sz w:val="28"/>
                <w:szCs w:val="28"/>
              </w:rPr>
              <w:t>现医疗健康服务“一卡（码）通”，优化看病就医流程，改善就医体验。</w:t>
            </w:r>
            <w:r>
              <w:rPr>
                <w:rFonts w:hint="eastAsia" w:ascii="宋体" w:hAnsi="宋体" w:eastAsia="宋体" w:cs="宋体"/>
                <w:spacing w:val="0"/>
                <w:w w:val="100"/>
                <w:kern w:val="0"/>
                <w:sz w:val="28"/>
                <w:szCs w:val="28"/>
              </w:rPr>
              <w:t xml:space="preserve"> </w:t>
            </w:r>
          </w:p>
          <w:p>
            <w:pPr>
              <w:pStyle w:val="9"/>
              <w:spacing w:before="0" w:after="0" w:line="360" w:lineRule="auto"/>
              <w:ind w:right="0" w:firstLine="562" w:firstLineChars="200"/>
              <w:jc w:val="left"/>
              <w:rPr>
                <w:rFonts w:hint="eastAsia" w:ascii="宋体" w:hAnsi="宋体" w:cs="宋体"/>
                <w:b/>
                <w:bCs/>
                <w:spacing w:val="0"/>
                <w:w w:val="100"/>
                <w:kern w:val="0"/>
                <w:sz w:val="28"/>
                <w:szCs w:val="28"/>
              </w:rPr>
            </w:pPr>
            <w:r>
              <w:rPr>
                <w:rFonts w:hint="eastAsia" w:ascii="宋体" w:hAnsi="宋体" w:cs="宋体"/>
                <w:b/>
                <w:bCs/>
                <w:spacing w:val="0"/>
                <w:w w:val="100"/>
                <w:kern w:val="0"/>
                <w:sz w:val="28"/>
                <w:szCs w:val="28"/>
              </w:rPr>
              <w:t>推进远程医疗服务体系建设。</w:t>
            </w:r>
            <w:r>
              <w:rPr>
                <w:rFonts w:hint="eastAsia" w:ascii="宋体" w:hAnsi="宋体" w:cs="宋体"/>
                <w:spacing w:val="0"/>
                <w:kern w:val="0"/>
                <w:sz w:val="28"/>
                <w:szCs w:val="28"/>
              </w:rPr>
              <w:t>建立完善远程医疗服务体系，以</w:t>
            </w:r>
            <w:r>
              <w:rPr>
                <w:rFonts w:hint="eastAsia" w:ascii="宋体" w:hAnsi="宋体" w:cs="宋体"/>
                <w:spacing w:val="0"/>
                <w:kern w:val="0"/>
                <w:sz w:val="28"/>
                <w:szCs w:val="28"/>
                <w:lang w:eastAsia="zh-CN"/>
              </w:rPr>
              <w:t>县</w:t>
            </w:r>
            <w:r>
              <w:rPr>
                <w:rFonts w:hint="eastAsia" w:ascii="宋体" w:hAnsi="宋体" w:cs="宋体"/>
                <w:spacing w:val="0"/>
                <w:kern w:val="0"/>
                <w:sz w:val="28"/>
                <w:szCs w:val="28"/>
              </w:rPr>
              <w:t>级医院牵头，构筑覆盖县、镇</w:t>
            </w:r>
            <w:r>
              <w:rPr>
                <w:rFonts w:hint="eastAsia" w:ascii="宋体" w:hAnsi="宋体" w:cs="宋体"/>
                <w:sz w:val="28"/>
                <w:szCs w:val="28"/>
              </w:rPr>
              <w:t>（</w:t>
            </w:r>
            <w:r>
              <w:rPr>
                <w:rFonts w:hint="eastAsia" w:ascii="宋体" w:hAnsi="宋体" w:cs="宋体"/>
                <w:spacing w:val="0"/>
                <w:kern w:val="0"/>
                <w:sz w:val="28"/>
                <w:szCs w:val="28"/>
              </w:rPr>
              <w:t>乡、街道）、村（社区）</w:t>
            </w:r>
            <w:r>
              <w:rPr>
                <w:rFonts w:hint="eastAsia" w:ascii="宋体" w:hAnsi="宋体" w:cs="宋体"/>
                <w:spacing w:val="0"/>
                <w:kern w:val="0"/>
                <w:sz w:val="28"/>
                <w:szCs w:val="28"/>
                <w:lang w:eastAsia="zh-CN"/>
              </w:rPr>
              <w:t>三</w:t>
            </w:r>
            <w:r>
              <w:rPr>
                <w:rFonts w:hint="eastAsia" w:ascii="宋体" w:hAnsi="宋体" w:cs="宋体"/>
                <w:spacing w:val="0"/>
                <w:kern w:val="0"/>
                <w:sz w:val="28"/>
                <w:szCs w:val="28"/>
              </w:rPr>
              <w:t>级远程医疗服务体系，提升基层医疗机构服务能力，</w:t>
            </w:r>
            <w:r>
              <w:rPr>
                <w:rFonts w:hint="eastAsia" w:ascii="宋体" w:hAnsi="宋体" w:cs="宋体"/>
                <w:w w:val="100"/>
                <w:kern w:val="0"/>
                <w:sz w:val="28"/>
                <w:szCs w:val="28"/>
              </w:rPr>
              <w:t>解决基层医疗技术能力不足和医疗资源不公平的问题。</w:t>
            </w:r>
            <w:r>
              <w:rPr>
                <w:rFonts w:hint="eastAsia" w:ascii="宋体" w:hAnsi="宋体" w:eastAsia="宋体" w:cs="宋体"/>
                <w:w w:val="100"/>
                <w:kern w:val="0"/>
                <w:sz w:val="28"/>
                <w:szCs w:val="28"/>
              </w:rPr>
              <w:t xml:space="preserve"> </w:t>
            </w:r>
          </w:p>
          <w:p>
            <w:pPr>
              <w:pStyle w:val="9"/>
              <w:spacing w:before="0" w:after="0" w:line="360" w:lineRule="auto"/>
              <w:ind w:left="0" w:right="0" w:firstLine="562" w:firstLineChars="200"/>
              <w:jc w:val="left"/>
              <w:rPr>
                <w:rFonts w:hint="eastAsia" w:ascii="宋体" w:hAnsi="宋体" w:eastAsia="宋体" w:cs="宋体"/>
                <w:kern w:val="0"/>
                <w:sz w:val="28"/>
                <w:szCs w:val="28"/>
              </w:rPr>
            </w:pPr>
            <w:r>
              <w:rPr>
                <w:rFonts w:hint="eastAsia" w:ascii="宋体" w:hAnsi="宋体" w:cs="宋体"/>
                <w:b/>
                <w:bCs/>
                <w:spacing w:val="0"/>
                <w:w w:val="100"/>
                <w:kern w:val="0"/>
                <w:sz w:val="28"/>
                <w:szCs w:val="28"/>
              </w:rPr>
              <w:t>建设三医联动信息监管平台。</w:t>
            </w:r>
            <w:r>
              <w:rPr>
                <w:rFonts w:hint="eastAsia" w:ascii="宋体" w:hAnsi="宋体" w:cs="宋体"/>
                <w:spacing w:val="0"/>
                <w:kern w:val="0"/>
                <w:sz w:val="28"/>
                <w:szCs w:val="28"/>
              </w:rPr>
              <w:t>依托健康医疗大数据中心，探索建立</w:t>
            </w:r>
            <w:r>
              <w:rPr>
                <w:rFonts w:hint="eastAsia" w:ascii="宋体" w:hAnsi="宋体" w:cs="宋体"/>
                <w:spacing w:val="0"/>
                <w:kern w:val="0"/>
                <w:sz w:val="28"/>
                <w:szCs w:val="28"/>
                <w:lang w:eastAsia="zh-CN"/>
              </w:rPr>
              <w:t>“</w:t>
            </w:r>
            <w:r>
              <w:rPr>
                <w:rFonts w:hint="eastAsia" w:ascii="宋体" w:hAnsi="宋体" w:cs="宋体"/>
                <w:spacing w:val="0"/>
                <w:kern w:val="0"/>
                <w:sz w:val="28"/>
                <w:szCs w:val="28"/>
              </w:rPr>
              <w:t>三医联动信息监管平台</w:t>
            </w:r>
            <w:r>
              <w:rPr>
                <w:rFonts w:hint="eastAsia" w:ascii="宋体" w:hAnsi="宋体" w:cs="宋体"/>
                <w:spacing w:val="0"/>
                <w:kern w:val="0"/>
                <w:sz w:val="28"/>
                <w:szCs w:val="28"/>
                <w:lang w:eastAsia="zh-CN"/>
              </w:rPr>
              <w:t>”</w:t>
            </w:r>
            <w:r>
              <w:rPr>
                <w:rFonts w:hint="eastAsia" w:ascii="宋体" w:hAnsi="宋体" w:cs="宋体"/>
                <w:spacing w:val="0"/>
                <w:kern w:val="0"/>
                <w:sz w:val="28"/>
                <w:szCs w:val="28"/>
              </w:rPr>
              <w:t>，推进医疗、医保、医药三大系统的信息共享和业务协同，实现医疗服务智能化、行政管</w:t>
            </w:r>
            <w:r>
              <w:rPr>
                <w:rFonts w:hint="eastAsia" w:ascii="宋体" w:hAnsi="宋体" w:cs="宋体"/>
                <w:w w:val="100"/>
                <w:kern w:val="0"/>
                <w:sz w:val="28"/>
                <w:szCs w:val="28"/>
              </w:rPr>
              <w:t>理精准化、健康服务个性化。</w:t>
            </w:r>
            <w:r>
              <w:rPr>
                <w:rFonts w:hint="eastAsia" w:ascii="宋体" w:hAnsi="宋体" w:eastAsia="宋体" w:cs="宋体"/>
                <w:w w:val="100"/>
                <w:kern w:val="0"/>
                <w:sz w:val="28"/>
                <w:szCs w:val="28"/>
              </w:rPr>
              <w:t xml:space="preserve"> </w:t>
            </w:r>
          </w:p>
          <w:p>
            <w:pPr>
              <w:pStyle w:val="9"/>
              <w:spacing w:before="0" w:after="0" w:line="360" w:lineRule="auto"/>
              <w:ind w:left="0" w:right="0" w:firstLine="562" w:firstLineChars="200"/>
              <w:jc w:val="left"/>
              <w:rPr>
                <w:rFonts w:hint="eastAsia" w:ascii="宋体" w:hAnsi="宋体" w:eastAsia="宋体" w:cs="宋体"/>
                <w:kern w:val="0"/>
                <w:sz w:val="28"/>
                <w:szCs w:val="28"/>
              </w:rPr>
            </w:pPr>
            <w:r>
              <w:rPr>
                <w:rFonts w:hint="eastAsia" w:ascii="宋体" w:hAnsi="宋体" w:cs="宋体"/>
                <w:b/>
                <w:bCs/>
                <w:spacing w:val="0"/>
                <w:w w:val="100"/>
                <w:kern w:val="0"/>
                <w:sz w:val="28"/>
                <w:szCs w:val="28"/>
              </w:rPr>
              <w:t>建设居家养老服务平台。</w:t>
            </w:r>
            <w:r>
              <w:rPr>
                <w:rFonts w:hint="eastAsia" w:ascii="宋体" w:hAnsi="宋体" w:cs="宋体"/>
                <w:spacing w:val="0"/>
                <w:kern w:val="0"/>
                <w:sz w:val="28"/>
                <w:szCs w:val="28"/>
              </w:rPr>
              <w:t>有效整合通讯网络、智能呼叫、智能终端等科技手段，以信息化、智能化呼叫救助服务平台为支撑</w:t>
            </w:r>
            <w:r>
              <w:rPr>
                <w:rFonts w:hint="eastAsia" w:ascii="宋体" w:hAnsi="宋体" w:cs="宋体"/>
                <w:spacing w:val="0"/>
                <w:kern w:val="0"/>
                <w:sz w:val="28"/>
                <w:szCs w:val="28"/>
                <w:lang w:eastAsia="zh-CN"/>
              </w:rPr>
              <w:t>，</w:t>
            </w:r>
            <w:r>
              <w:rPr>
                <w:rFonts w:hint="eastAsia" w:ascii="宋体" w:hAnsi="宋体" w:cs="宋体"/>
                <w:spacing w:val="0"/>
                <w:w w:val="100"/>
                <w:kern w:val="0"/>
                <w:sz w:val="28"/>
                <w:szCs w:val="28"/>
              </w:rPr>
              <w:t>创建“系统</w:t>
            </w:r>
            <w:r>
              <w:rPr>
                <w:rFonts w:hint="eastAsia" w:ascii="宋体" w:hAnsi="宋体" w:eastAsia="宋体" w:cs="宋体"/>
                <w:spacing w:val="0"/>
                <w:w w:val="100"/>
                <w:kern w:val="0"/>
                <w:sz w:val="28"/>
                <w:szCs w:val="28"/>
              </w:rPr>
              <w:t>+</w:t>
            </w:r>
            <w:r>
              <w:rPr>
                <w:rFonts w:hint="eastAsia" w:ascii="宋体" w:hAnsi="宋体" w:cs="宋体"/>
                <w:spacing w:val="0"/>
                <w:w w:val="100"/>
                <w:kern w:val="0"/>
                <w:sz w:val="28"/>
                <w:szCs w:val="28"/>
              </w:rPr>
              <w:t>服务</w:t>
            </w:r>
            <w:r>
              <w:rPr>
                <w:rFonts w:hint="eastAsia" w:ascii="宋体" w:hAnsi="宋体" w:eastAsia="宋体" w:cs="宋体"/>
                <w:spacing w:val="0"/>
                <w:w w:val="100"/>
                <w:kern w:val="0"/>
                <w:sz w:val="28"/>
                <w:szCs w:val="28"/>
              </w:rPr>
              <w:t>+</w:t>
            </w:r>
            <w:r>
              <w:rPr>
                <w:rFonts w:hint="eastAsia" w:ascii="宋体" w:hAnsi="宋体" w:cs="宋体"/>
                <w:spacing w:val="0"/>
                <w:w w:val="100"/>
                <w:kern w:val="0"/>
                <w:sz w:val="28"/>
                <w:szCs w:val="28"/>
              </w:rPr>
              <w:t>老人</w:t>
            </w:r>
            <w:r>
              <w:rPr>
                <w:rFonts w:hint="eastAsia" w:ascii="宋体" w:hAnsi="宋体" w:eastAsia="宋体" w:cs="宋体"/>
                <w:spacing w:val="0"/>
                <w:w w:val="100"/>
                <w:kern w:val="0"/>
                <w:sz w:val="28"/>
                <w:szCs w:val="28"/>
              </w:rPr>
              <w:t>+</w:t>
            </w:r>
            <w:r>
              <w:rPr>
                <w:rFonts w:hint="eastAsia" w:ascii="宋体" w:hAnsi="宋体" w:cs="宋体"/>
                <w:spacing w:val="0"/>
                <w:w w:val="100"/>
                <w:kern w:val="0"/>
                <w:sz w:val="28"/>
                <w:szCs w:val="28"/>
              </w:rPr>
              <w:t>终端”的智慧养老服务模式，实现老人与子女、服务中心、医护人员的即时信息交互。</w:t>
            </w:r>
            <w:r>
              <w:rPr>
                <w:rFonts w:hint="eastAsia" w:ascii="宋体" w:hAnsi="宋体" w:eastAsia="宋体" w:cs="宋体"/>
                <w:spacing w:val="0"/>
                <w:w w:val="100"/>
                <w:kern w:val="0"/>
                <w:sz w:val="28"/>
                <w:szCs w:val="28"/>
              </w:rPr>
              <w:t xml:space="preserve"> </w:t>
            </w:r>
          </w:p>
          <w:p>
            <w:pPr>
              <w:pStyle w:val="9"/>
              <w:spacing w:before="0" w:after="0" w:line="360" w:lineRule="auto"/>
              <w:ind w:left="0" w:right="0" w:firstLine="562" w:firstLineChars="200"/>
              <w:jc w:val="left"/>
              <w:rPr>
                <w:rFonts w:hint="eastAsia" w:ascii="宋体" w:hAnsi="宋体" w:eastAsia="宋体" w:cs="宋体"/>
                <w:w w:val="100"/>
                <w:kern w:val="0"/>
                <w:sz w:val="28"/>
                <w:szCs w:val="28"/>
              </w:rPr>
            </w:pPr>
            <w:r>
              <w:rPr>
                <w:rFonts w:hint="eastAsia" w:ascii="宋体" w:hAnsi="宋体" w:cs="宋体"/>
                <w:b/>
                <w:bCs/>
                <w:spacing w:val="0"/>
                <w:w w:val="100"/>
                <w:kern w:val="0"/>
                <w:sz w:val="28"/>
                <w:szCs w:val="28"/>
              </w:rPr>
              <w:t>建设医疗健康大数据中心。</w:t>
            </w:r>
            <w:r>
              <w:rPr>
                <w:rFonts w:hint="eastAsia" w:ascii="宋体" w:hAnsi="宋体" w:cs="宋体"/>
                <w:spacing w:val="0"/>
                <w:kern w:val="0"/>
                <w:sz w:val="28"/>
                <w:szCs w:val="28"/>
              </w:rPr>
              <w:t>依托“政务云”计算中心基础软硬件资源，采集汇聚公共卫生、计划生育、医疗服务、医疗保障、药品供应、综合管理等应用信息系统业务数据，利用元数据技术整合不同业务系统的医疗数据资源，实现医疗健康数</w:t>
            </w:r>
            <w:r>
              <w:rPr>
                <w:rFonts w:hint="eastAsia" w:ascii="宋体" w:hAnsi="宋体" w:cs="宋体"/>
                <w:spacing w:val="0"/>
                <w:w w:val="100"/>
                <w:kern w:val="0"/>
                <w:sz w:val="28"/>
                <w:szCs w:val="28"/>
              </w:rPr>
              <w:t>据跨层级跨部门融合，打造医疗健康大数据相关产业生态。</w:t>
            </w:r>
            <w:r>
              <w:rPr>
                <w:rFonts w:hint="eastAsia" w:ascii="宋体" w:hAnsi="宋体" w:eastAsia="宋体" w:cs="宋体"/>
                <w:w w:val="100"/>
                <w:kern w:val="0"/>
                <w:sz w:val="28"/>
                <w:szCs w:val="28"/>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0" w:firstLineChars="0"/>
              <w:jc w:val="both"/>
              <w:textAlignment w:val="auto"/>
              <w:rPr>
                <w:rFonts w:hint="eastAsia" w:ascii="宋体" w:hAnsi="宋体" w:eastAsia="宋体" w:cs="宋体"/>
                <w:kern w:val="0"/>
                <w:sz w:val="24"/>
                <w:szCs w:val="24"/>
                <w:vertAlign w:val="baseline"/>
                <w:lang w:val="en-US" w:eastAsia="zh-CN" w:bidi="ar-SA"/>
              </w:rPr>
            </w:pPr>
          </w:p>
        </w:tc>
      </w:tr>
    </w:tbl>
    <w:p>
      <w:pPr>
        <w:pStyle w:val="5"/>
        <w:keepNext/>
        <w:keepLines/>
        <w:pageBreakBefore w:val="0"/>
        <w:widowControl/>
        <w:kinsoku/>
        <w:wordWrap/>
        <w:overflowPunct/>
        <w:topLinePunct w:val="0"/>
        <w:autoSpaceDE/>
        <w:autoSpaceDN/>
        <w:bidi w:val="0"/>
        <w:adjustRightInd w:val="0"/>
        <w:snapToGrid w:val="0"/>
        <w:spacing w:before="260" w:line="360" w:lineRule="auto"/>
        <w:ind w:left="0" w:right="0" w:firstLine="0"/>
        <w:jc w:val="left"/>
        <w:textAlignment w:val="auto"/>
        <w:outlineLvl w:val="1"/>
        <w:rPr>
          <w:rFonts w:hint="eastAsia" w:ascii="黑体" w:hAnsi="黑体" w:eastAsia="黑体" w:cs="黑体"/>
          <w:sz w:val="30"/>
          <w:szCs w:val="30"/>
        </w:rPr>
      </w:pPr>
      <w:bookmarkStart w:id="513" w:name="_Toc4926"/>
      <w:bookmarkStart w:id="514" w:name="_Toc11715"/>
      <w:bookmarkStart w:id="515" w:name="_Toc9018"/>
      <w:r>
        <w:rPr>
          <w:rFonts w:hint="eastAsia" w:ascii="黑体" w:hAnsi="黑体" w:eastAsia="黑体" w:cs="黑体"/>
          <w:sz w:val="30"/>
          <w:szCs w:val="30"/>
          <w:lang w:val="en-US" w:eastAsia="zh-CN"/>
        </w:rPr>
        <w:t>12.3</w:t>
      </w:r>
      <w:r>
        <w:rPr>
          <w:rFonts w:hint="eastAsia" w:ascii="黑体" w:hAnsi="黑体" w:eastAsia="黑体" w:cs="黑体"/>
          <w:w w:val="105"/>
          <w:sz w:val="30"/>
          <w:szCs w:val="30"/>
        </w:rPr>
        <w:t>积极构建智慧交通网络</w:t>
      </w:r>
      <w:bookmarkEnd w:id="513"/>
      <w:bookmarkEnd w:id="514"/>
      <w:bookmarkEnd w:id="515"/>
      <w:r>
        <w:rPr>
          <w:rFonts w:hint="eastAsia" w:ascii="黑体" w:hAnsi="黑体" w:eastAsia="黑体" w:cs="黑体"/>
          <w:w w:val="145"/>
          <w:sz w:val="30"/>
          <w:szCs w:val="30"/>
        </w:rPr>
        <w:t xml:space="preserve"> </w:t>
      </w:r>
    </w:p>
    <w:p>
      <w:pPr>
        <w:pStyle w:val="9"/>
        <w:spacing w:before="203" w:line="360" w:lineRule="auto"/>
        <w:ind w:left="118" w:right="259" w:firstLine="560" w:firstLineChars="200"/>
        <w:jc w:val="left"/>
        <w:rPr>
          <w:rFonts w:hint="eastAsia" w:ascii="宋体" w:hAnsi="宋体" w:eastAsia="宋体" w:cs="宋体"/>
          <w:kern w:val="0"/>
          <w:sz w:val="28"/>
          <w:szCs w:val="28"/>
        </w:rPr>
      </w:pPr>
      <w:r>
        <w:rPr>
          <w:rFonts w:hint="eastAsia" w:ascii="宋体" w:hAnsi="宋体" w:cs="宋体"/>
          <w:spacing w:val="0"/>
          <w:kern w:val="0"/>
          <w:sz w:val="28"/>
          <w:szCs w:val="28"/>
        </w:rPr>
        <w:t>积极响应“交通强国”战略，有序推进交通运行监测与应急智慧系统建设，建立</w:t>
      </w:r>
      <w:r>
        <w:rPr>
          <w:rFonts w:hint="eastAsia" w:ascii="宋体" w:hAnsi="宋体" w:cs="宋体"/>
          <w:spacing w:val="0"/>
          <w:kern w:val="0"/>
          <w:sz w:val="28"/>
          <w:szCs w:val="28"/>
          <w:lang w:val="en-US" w:eastAsia="zh-CN"/>
        </w:rPr>
        <w:t>市、</w:t>
      </w:r>
      <w:r>
        <w:rPr>
          <w:rFonts w:hint="eastAsia" w:ascii="宋体" w:hAnsi="宋体" w:cs="宋体"/>
          <w:spacing w:val="0"/>
          <w:kern w:val="0"/>
          <w:sz w:val="28"/>
          <w:szCs w:val="28"/>
        </w:rPr>
        <w:t>县</w:t>
      </w:r>
      <w:r>
        <w:rPr>
          <w:rFonts w:hint="eastAsia" w:ascii="宋体" w:hAnsi="宋体" w:cs="宋体"/>
          <w:spacing w:val="0"/>
          <w:kern w:val="0"/>
          <w:sz w:val="28"/>
          <w:szCs w:val="28"/>
          <w:lang w:eastAsia="zh-CN"/>
        </w:rPr>
        <w:t>、</w:t>
      </w:r>
      <w:r>
        <w:rPr>
          <w:rFonts w:hint="eastAsia" w:ascii="宋体" w:hAnsi="宋体" w:cs="宋体"/>
          <w:spacing w:val="0"/>
          <w:kern w:val="0"/>
          <w:sz w:val="28"/>
          <w:szCs w:val="28"/>
          <w:lang w:val="en-US" w:eastAsia="zh-CN"/>
        </w:rPr>
        <w:t>镇</w:t>
      </w:r>
      <w:r>
        <w:rPr>
          <w:rFonts w:hint="eastAsia" w:ascii="宋体" w:hAnsi="宋体" w:cs="宋体"/>
          <w:spacing w:val="0"/>
          <w:kern w:val="0"/>
          <w:sz w:val="28"/>
          <w:szCs w:val="28"/>
        </w:rPr>
        <w:t>纵向贯通，</w:t>
      </w:r>
      <w:r>
        <w:rPr>
          <w:rFonts w:hint="eastAsia" w:ascii="宋体" w:hAnsi="宋体" w:cs="宋体"/>
          <w:spacing w:val="0"/>
          <w:kern w:val="0"/>
          <w:sz w:val="28"/>
          <w:szCs w:val="28"/>
          <w:lang w:val="en-US" w:eastAsia="zh-CN"/>
        </w:rPr>
        <w:t>交通局、公安局</w:t>
      </w:r>
      <w:r>
        <w:rPr>
          <w:rFonts w:hint="eastAsia" w:ascii="宋体" w:hAnsi="宋体" w:cs="宋体"/>
          <w:spacing w:val="0"/>
          <w:kern w:val="0"/>
          <w:sz w:val="28"/>
          <w:szCs w:val="28"/>
        </w:rPr>
        <w:t>等单位横向融通的智慧交通网络体系</w:t>
      </w:r>
      <w:r>
        <w:rPr>
          <w:rFonts w:hint="eastAsia" w:ascii="宋体" w:hAnsi="宋体" w:cs="宋体"/>
          <w:spacing w:val="0"/>
          <w:kern w:val="0"/>
          <w:sz w:val="28"/>
          <w:szCs w:val="28"/>
          <w:lang w:eastAsia="zh-CN"/>
        </w:rPr>
        <w:t>，</w:t>
      </w:r>
      <w:r>
        <w:rPr>
          <w:rFonts w:hint="eastAsia" w:ascii="宋体" w:hAnsi="宋体" w:cs="宋体"/>
          <w:spacing w:val="0"/>
          <w:kern w:val="0"/>
          <w:sz w:val="28"/>
          <w:szCs w:val="28"/>
        </w:rPr>
        <w:t>实现针对性的运行动态监测、高效的应急指挥处置、深度的辅助</w:t>
      </w:r>
      <w:r>
        <w:rPr>
          <w:rFonts w:hint="eastAsia" w:ascii="宋体" w:hAnsi="宋体" w:cs="宋体"/>
          <w:w w:val="100"/>
          <w:kern w:val="0"/>
          <w:sz w:val="28"/>
          <w:szCs w:val="28"/>
        </w:rPr>
        <w:t>决策分析、主动的服务推送。</w:t>
      </w:r>
      <w:r>
        <w:rPr>
          <w:rFonts w:hint="eastAsia" w:ascii="宋体" w:hAnsi="宋体" w:eastAsia="宋体" w:cs="宋体"/>
          <w:w w:val="100"/>
          <w:kern w:val="0"/>
          <w:sz w:val="28"/>
          <w:szCs w:val="28"/>
        </w:rPr>
        <w:t xml:space="preserve"> </w:t>
      </w:r>
    </w:p>
    <w:tbl>
      <w:tblPr>
        <w:tblStyle w:val="20"/>
        <w:tblpPr w:leftFromText="180" w:rightFromText="180" w:vertAnchor="text" w:horzAnchor="page" w:tblpX="1336"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562" w:firstLineChars="200"/>
              <w:jc w:val="center"/>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专栏</w:t>
            </w:r>
            <w:r>
              <w:rPr>
                <w:rFonts w:hint="eastAsia" w:ascii="宋体" w:hAnsi="宋体" w:cs="宋体"/>
                <w:b/>
                <w:bCs/>
                <w:kern w:val="0"/>
                <w:sz w:val="28"/>
                <w:szCs w:val="28"/>
                <w:lang w:val="en-US" w:eastAsia="zh-CN"/>
              </w:rPr>
              <w:t>13</w:t>
            </w:r>
            <w:r>
              <w:rPr>
                <w:rFonts w:hint="eastAsia" w:ascii="宋体" w:hAnsi="宋体" w:eastAsia="宋体" w:cs="宋体"/>
                <w:b/>
                <w:bCs/>
                <w:i w:val="0"/>
                <w:caps w:val="0"/>
                <w:spacing w:val="0"/>
                <w:kern w:val="0"/>
                <w:sz w:val="28"/>
                <w:szCs w:val="28"/>
                <w:shd w:val="clear"/>
              </w:rPr>
              <w:t>智慧</w:t>
            </w:r>
            <w:r>
              <w:rPr>
                <w:rFonts w:hint="eastAsia" w:ascii="宋体" w:hAnsi="宋体" w:eastAsia="宋体" w:cs="宋体"/>
                <w:b/>
                <w:bCs/>
                <w:i w:val="0"/>
                <w:caps w:val="0"/>
                <w:spacing w:val="0"/>
                <w:kern w:val="0"/>
                <w:sz w:val="28"/>
                <w:szCs w:val="28"/>
                <w:shd w:val="clear"/>
                <w:lang w:eastAsia="zh-CN"/>
              </w:rPr>
              <w:t>交通</w:t>
            </w:r>
            <w:r>
              <w:rPr>
                <w:rFonts w:hint="eastAsia" w:ascii="宋体" w:hAnsi="宋体" w:eastAsia="宋体" w:cs="宋体"/>
                <w:b/>
                <w:bCs/>
                <w:kern w:val="0"/>
                <w:sz w:val="28"/>
                <w:szCs w:val="28"/>
                <w:lang w:val="en-US" w:eastAsia="zh-CN"/>
              </w:rPr>
              <w:t>专项工程</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打造智能公交系统。</w:t>
            </w:r>
            <w:r>
              <w:rPr>
                <w:rFonts w:hint="eastAsia" w:ascii="宋体" w:hAnsi="宋体" w:cs="宋体"/>
                <w:spacing w:val="0"/>
                <w:kern w:val="0"/>
                <w:sz w:val="28"/>
                <w:szCs w:val="28"/>
              </w:rPr>
              <w:t>以现有的公交基础设施为依托，基于公交运营管理平台以及数据采集汇聚，搭建公交线路评级系统和实时公交系统，以优化线网、打造高效便捷线路，实时推送公交车</w:t>
            </w:r>
            <w:r>
              <w:rPr>
                <w:rFonts w:hint="eastAsia" w:ascii="宋体" w:hAnsi="宋体" w:cs="宋体"/>
                <w:spacing w:val="0"/>
                <w:w w:val="100"/>
                <w:kern w:val="0"/>
                <w:sz w:val="28"/>
                <w:szCs w:val="28"/>
              </w:rPr>
              <w:t>的位置和到站情况。</w:t>
            </w:r>
            <w:r>
              <w:rPr>
                <w:rFonts w:hint="eastAsia" w:ascii="宋体" w:hAnsi="宋体" w:eastAsia="宋体" w:cs="宋体"/>
                <w:spacing w:val="0"/>
                <w:w w:val="100"/>
                <w:kern w:val="0"/>
                <w:sz w:val="28"/>
                <w:szCs w:val="28"/>
              </w:rPr>
              <w:t xml:space="preserve"> </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打造智慧出租汽车平台。</w:t>
            </w:r>
            <w:r>
              <w:rPr>
                <w:rFonts w:hint="eastAsia" w:ascii="宋体" w:hAnsi="宋体" w:cs="宋体"/>
                <w:w w:val="100"/>
                <w:kern w:val="0"/>
                <w:sz w:val="28"/>
                <w:szCs w:val="28"/>
              </w:rPr>
              <w:t>合理规划出租车调度与分布，整合</w:t>
            </w:r>
            <w:r>
              <w:rPr>
                <w:rFonts w:hint="eastAsia" w:ascii="宋体" w:hAnsi="宋体" w:cs="宋体"/>
                <w:sz w:val="28"/>
                <w:szCs w:val="28"/>
              </w:rPr>
              <w:t>所有出租车的行驶数据、载客数据等数据资源，实现统一监控、</w:t>
            </w:r>
            <w:r>
              <w:rPr>
                <w:rFonts w:hint="eastAsia" w:ascii="宋体" w:hAnsi="宋体" w:cs="宋体"/>
                <w:w w:val="100"/>
                <w:kern w:val="0"/>
                <w:sz w:val="28"/>
                <w:szCs w:val="28"/>
              </w:rPr>
              <w:t>科学调度、综合管理、全面分析计算和辅助决策功能。</w:t>
            </w:r>
            <w:r>
              <w:rPr>
                <w:rFonts w:hint="eastAsia" w:ascii="宋体" w:hAnsi="宋体" w:eastAsia="宋体" w:cs="宋体"/>
                <w:w w:val="100"/>
                <w:kern w:val="0"/>
                <w:sz w:val="28"/>
                <w:szCs w:val="28"/>
              </w:rPr>
              <w:t xml:space="preserve"> </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建立综合客运管理平台。</w:t>
            </w:r>
            <w:r>
              <w:rPr>
                <w:rFonts w:hint="eastAsia" w:ascii="宋体" w:hAnsi="宋体" w:cs="宋体"/>
                <w:spacing w:val="0"/>
                <w:kern w:val="0"/>
                <w:sz w:val="28"/>
                <w:szCs w:val="28"/>
              </w:rPr>
              <w:t>使用信息处理技术、专家系统、人工智能、数据融合等各类先进技术，抽取、融合采集到的客流信息，统筹规划客运线路、调度客运班次，为合理决策提供信息支</w:t>
            </w:r>
            <w:r>
              <w:rPr>
                <w:rFonts w:hint="eastAsia" w:ascii="宋体" w:hAnsi="宋体" w:cs="宋体"/>
                <w:w w:val="100"/>
                <w:kern w:val="0"/>
                <w:sz w:val="28"/>
                <w:szCs w:val="28"/>
              </w:rPr>
              <w:t>持。</w:t>
            </w:r>
            <w:r>
              <w:rPr>
                <w:rFonts w:hint="eastAsia" w:ascii="宋体" w:hAnsi="宋体" w:eastAsia="宋体" w:cs="宋体"/>
                <w:w w:val="100"/>
                <w:kern w:val="0"/>
                <w:sz w:val="28"/>
                <w:szCs w:val="28"/>
              </w:rPr>
              <w:t xml:space="preserve"> </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kern w:val="0"/>
                <w:sz w:val="28"/>
                <w:szCs w:val="28"/>
              </w:rPr>
            </w:pPr>
            <w:r>
              <w:rPr>
                <w:rFonts w:hint="eastAsia" w:ascii="宋体" w:hAnsi="宋体" w:cs="宋体"/>
                <w:b/>
                <w:bCs/>
                <w:spacing w:val="0"/>
                <w:kern w:val="0"/>
                <w:sz w:val="28"/>
                <w:szCs w:val="28"/>
              </w:rPr>
              <w:t>建设全</w:t>
            </w:r>
            <w:r>
              <w:rPr>
                <w:rFonts w:hint="eastAsia" w:ascii="宋体" w:hAnsi="宋体" w:cs="宋体"/>
                <w:b/>
                <w:bCs/>
                <w:spacing w:val="0"/>
                <w:kern w:val="0"/>
                <w:sz w:val="28"/>
                <w:szCs w:val="28"/>
                <w:lang w:eastAsia="zh-CN"/>
              </w:rPr>
              <w:t>县</w:t>
            </w:r>
            <w:r>
              <w:rPr>
                <w:rFonts w:hint="eastAsia" w:ascii="宋体" w:hAnsi="宋体" w:cs="宋体"/>
                <w:b/>
                <w:bCs/>
                <w:spacing w:val="0"/>
                <w:kern w:val="0"/>
                <w:sz w:val="28"/>
                <w:szCs w:val="28"/>
              </w:rPr>
              <w:t>交通大数据分析平台。</w:t>
            </w:r>
            <w:r>
              <w:rPr>
                <w:rFonts w:hint="eastAsia" w:ascii="宋体" w:hAnsi="宋体" w:cs="宋体"/>
                <w:spacing w:val="0"/>
                <w:kern w:val="0"/>
                <w:sz w:val="28"/>
                <w:szCs w:val="28"/>
              </w:rPr>
              <w:t>通过整合全</w:t>
            </w:r>
            <w:r>
              <w:rPr>
                <w:rFonts w:hint="eastAsia" w:ascii="宋体" w:hAnsi="宋体" w:cs="宋体"/>
                <w:spacing w:val="0"/>
                <w:kern w:val="0"/>
                <w:sz w:val="28"/>
                <w:szCs w:val="28"/>
                <w:lang w:eastAsia="zh-CN"/>
              </w:rPr>
              <w:t>县</w:t>
            </w:r>
            <w:r>
              <w:rPr>
                <w:rFonts w:hint="eastAsia" w:ascii="宋体" w:hAnsi="宋体" w:cs="宋体"/>
                <w:spacing w:val="0"/>
                <w:kern w:val="0"/>
                <w:sz w:val="28"/>
                <w:szCs w:val="28"/>
              </w:rPr>
              <w:t>高速路网的收费、路况、气象、运营班次、乘客信息等业务数据，实现对全</w:t>
            </w:r>
            <w:r>
              <w:rPr>
                <w:rFonts w:hint="eastAsia" w:ascii="宋体" w:hAnsi="宋体" w:cs="宋体"/>
                <w:spacing w:val="0"/>
                <w:kern w:val="0"/>
                <w:sz w:val="28"/>
                <w:szCs w:val="28"/>
                <w:lang w:eastAsia="zh-CN"/>
              </w:rPr>
              <w:t>县</w:t>
            </w:r>
            <w:r>
              <w:rPr>
                <w:rFonts w:hint="eastAsia" w:ascii="宋体" w:hAnsi="宋体" w:cs="宋体"/>
                <w:spacing w:val="0"/>
                <w:kern w:val="0"/>
                <w:sz w:val="28"/>
                <w:szCs w:val="28"/>
              </w:rPr>
              <w:t>交通通行能力、通行量分布、拥堵状况、服务设施忙闲状态、路况分布规律、重点时段流量预判等多维综合分析，</w:t>
            </w:r>
            <w:r>
              <w:rPr>
                <w:rFonts w:hint="eastAsia" w:ascii="宋体" w:hAnsi="宋体" w:cs="宋体"/>
                <w:spacing w:val="0"/>
                <w:w w:val="100"/>
                <w:kern w:val="0"/>
                <w:sz w:val="28"/>
                <w:szCs w:val="28"/>
              </w:rPr>
              <w:t>提升管理能力。</w:t>
            </w:r>
            <w:r>
              <w:rPr>
                <w:rFonts w:hint="eastAsia" w:ascii="宋体" w:hAnsi="宋体" w:eastAsia="宋体" w:cs="宋体"/>
                <w:spacing w:val="0"/>
                <w:w w:val="100"/>
                <w:kern w:val="0"/>
                <w:sz w:val="28"/>
                <w:szCs w:val="28"/>
              </w:rPr>
              <w:t xml:space="preserve"> </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w w:val="100"/>
                <w:kern w:val="0"/>
                <w:sz w:val="28"/>
                <w:szCs w:val="28"/>
              </w:rPr>
            </w:pPr>
            <w:r>
              <w:rPr>
                <w:rFonts w:hint="eastAsia" w:ascii="宋体" w:hAnsi="宋体" w:cs="宋体"/>
                <w:b/>
                <w:bCs/>
                <w:spacing w:val="0"/>
                <w:kern w:val="0"/>
                <w:sz w:val="28"/>
                <w:szCs w:val="28"/>
              </w:rPr>
              <w:t>建设城市智慧停车平台。</w:t>
            </w:r>
            <w:r>
              <w:rPr>
                <w:rFonts w:hint="eastAsia" w:ascii="宋体" w:hAnsi="宋体" w:cs="宋体"/>
                <w:spacing w:val="0"/>
                <w:kern w:val="0"/>
                <w:sz w:val="28"/>
                <w:szCs w:val="28"/>
              </w:rPr>
              <w:t>通过对路内停车、路外停车场实施统一管理，打造全面感知、全时调控、全程诱导、全新服务的智慧停车管理新模式，提高路网的整体容量和适应能力，改善静态</w:t>
            </w:r>
            <w:r>
              <w:rPr>
                <w:rFonts w:hint="eastAsia" w:ascii="宋体" w:hAnsi="宋体" w:cs="宋体"/>
                <w:w w:val="100"/>
                <w:kern w:val="0"/>
                <w:sz w:val="28"/>
                <w:szCs w:val="28"/>
              </w:rPr>
              <w:t>交通环境，缓解动态交通压力。</w:t>
            </w:r>
            <w:r>
              <w:rPr>
                <w:rFonts w:hint="eastAsia" w:ascii="宋体" w:hAnsi="宋体" w:eastAsia="宋体" w:cs="宋体"/>
                <w:w w:val="100"/>
                <w:kern w:val="0"/>
                <w:sz w:val="28"/>
                <w:szCs w:val="28"/>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rPr>
                <w:rFonts w:hint="eastAsia" w:ascii="宋体" w:hAnsi="宋体" w:eastAsia="宋体" w:cs="宋体"/>
                <w:w w:val="100"/>
                <w:sz w:val="28"/>
                <w:szCs w:val="28"/>
              </w:rPr>
            </w:pPr>
            <w:r>
              <w:rPr>
                <w:rFonts w:hint="eastAsia" w:ascii="宋体" w:hAnsi="宋体" w:eastAsia="宋体" w:cs="宋体"/>
                <w:b/>
                <w:bCs/>
                <w:spacing w:val="0"/>
                <w:kern w:val="0"/>
                <w:sz w:val="28"/>
                <w:szCs w:val="28"/>
                <w:lang w:val="en-US" w:eastAsia="zh-CN" w:bidi="ar-SA"/>
              </w:rPr>
              <w:t>建设综合交通信息服务系统。</w:t>
            </w:r>
            <w:r>
              <w:rPr>
                <w:rFonts w:hint="eastAsia" w:ascii="宋体" w:hAnsi="宋体" w:eastAsia="宋体" w:cs="宋体"/>
                <w:spacing w:val="0"/>
                <w:w w:val="100"/>
                <w:sz w:val="28"/>
                <w:szCs w:val="22"/>
              </w:rPr>
              <w:t>依托“爱</w:t>
            </w:r>
            <w:r>
              <w:rPr>
                <w:rFonts w:hint="eastAsia" w:ascii="宋体" w:hAnsi="宋体" w:eastAsia="宋体" w:cs="宋体"/>
                <w:spacing w:val="0"/>
                <w:w w:val="100"/>
                <w:sz w:val="28"/>
                <w:szCs w:val="22"/>
                <w:lang w:val="en-US" w:eastAsia="zh-CN"/>
              </w:rPr>
              <w:t>紫阳</w:t>
            </w:r>
            <w:r>
              <w:rPr>
                <w:rFonts w:hint="eastAsia" w:ascii="宋体" w:hAnsi="宋体" w:eastAsia="宋体" w:cs="宋体"/>
                <w:spacing w:val="0"/>
                <w:w w:val="100"/>
                <w:sz w:val="28"/>
                <w:szCs w:val="22"/>
              </w:rPr>
              <w:t>”APP，</w:t>
            </w:r>
            <w:r>
              <w:rPr>
                <w:rFonts w:hint="eastAsia" w:ascii="宋体" w:hAnsi="宋体" w:eastAsia="宋体" w:cs="宋体"/>
                <w:spacing w:val="0"/>
                <w:w w:val="100"/>
                <w:sz w:val="28"/>
                <w:szCs w:val="22"/>
                <w:lang w:val="en-US" w:eastAsia="zh-CN"/>
              </w:rPr>
              <w:t>建立建设综合交通信息服务系统，</w:t>
            </w:r>
            <w:r>
              <w:rPr>
                <w:rFonts w:hint="eastAsia" w:ascii="宋体" w:hAnsi="宋体" w:eastAsia="宋体" w:cs="宋体"/>
                <w:spacing w:val="0"/>
                <w:w w:val="100"/>
                <w:sz w:val="28"/>
                <w:szCs w:val="22"/>
              </w:rPr>
              <w:t>为民</w:t>
            </w:r>
            <w:r>
              <w:rPr>
                <w:rFonts w:hint="eastAsia" w:ascii="宋体" w:hAnsi="宋体" w:eastAsia="宋体" w:cs="宋体"/>
                <w:spacing w:val="0"/>
                <w:w w:val="100"/>
                <w:sz w:val="28"/>
                <w:szCs w:val="22"/>
                <w:lang w:val="en-US" w:eastAsia="zh-CN"/>
              </w:rPr>
              <w:t>众</w:t>
            </w:r>
            <w:r>
              <w:rPr>
                <w:rFonts w:hint="eastAsia" w:ascii="宋体" w:hAnsi="宋体" w:eastAsia="宋体" w:cs="宋体"/>
                <w:spacing w:val="0"/>
                <w:sz w:val="28"/>
                <w:szCs w:val="22"/>
              </w:rPr>
              <w:t>提供停车场信息查询、交通路线实时查询、路况查询、出行线路</w:t>
            </w:r>
            <w:r>
              <w:rPr>
                <w:rFonts w:hint="eastAsia" w:ascii="宋体" w:hAnsi="宋体" w:eastAsia="宋体" w:cs="宋体"/>
                <w:w w:val="100"/>
                <w:sz w:val="28"/>
                <w:szCs w:val="22"/>
              </w:rPr>
              <w:t>规划、出行信息查询等服务，提高出行效率，节约出行成本。</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0" w:firstLineChars="0"/>
              <w:jc w:val="both"/>
              <w:textAlignment w:val="auto"/>
              <w:rPr>
                <w:rFonts w:hint="eastAsia" w:ascii="宋体" w:hAnsi="宋体" w:eastAsia="宋体" w:cs="宋体"/>
                <w:kern w:val="0"/>
                <w:sz w:val="24"/>
                <w:szCs w:val="24"/>
                <w:vertAlign w:val="baseline"/>
                <w:lang w:val="en-US" w:eastAsia="zh-CN" w:bidi="ar-SA"/>
              </w:rPr>
            </w:pPr>
          </w:p>
        </w:tc>
      </w:tr>
    </w:tbl>
    <w:p>
      <w:pPr>
        <w:pStyle w:val="5"/>
        <w:keepNext w:val="0"/>
        <w:keepLines w:val="0"/>
        <w:widowControl/>
        <w:suppressLineNumbers w:val="0"/>
        <w:tabs>
          <w:tab w:val="left" w:pos="402"/>
        </w:tabs>
        <w:spacing w:before="260" w:beforeAutospacing="0" w:after="260" w:afterAutospacing="0" w:line="416" w:lineRule="auto"/>
        <w:ind w:right="0"/>
        <w:outlineLvl w:val="1"/>
        <w:rPr>
          <w:rFonts w:hint="eastAsia" w:ascii="黑体" w:hAnsi="黑体" w:eastAsia="黑体" w:cs="黑体"/>
          <w:sz w:val="30"/>
          <w:szCs w:val="30"/>
        </w:rPr>
      </w:pPr>
      <w:bookmarkStart w:id="516" w:name="_Toc20029"/>
      <w:bookmarkStart w:id="517" w:name="_Toc3795"/>
      <w:bookmarkStart w:id="518" w:name="_Toc508"/>
      <w:r>
        <w:rPr>
          <w:rFonts w:hint="eastAsia" w:ascii="黑体" w:hAnsi="黑体" w:eastAsia="黑体" w:cs="黑体"/>
          <w:sz w:val="30"/>
          <w:szCs w:val="30"/>
          <w:lang w:val="en-US" w:eastAsia="zh-CN" w:bidi="ar-SA"/>
        </w:rPr>
        <w:t>12.4</w:t>
      </w:r>
      <w:r>
        <w:rPr>
          <w:rFonts w:hint="eastAsia" w:ascii="黑体" w:hAnsi="黑体" w:eastAsia="黑体" w:cs="黑体"/>
          <w:sz w:val="30"/>
          <w:szCs w:val="30"/>
          <w:lang w:bidi="ar-SA"/>
        </w:rPr>
        <w:t>巩固扶贫脱贫攻坚成果</w:t>
      </w:r>
      <w:bookmarkEnd w:id="516"/>
      <w:bookmarkEnd w:id="517"/>
      <w:bookmarkEnd w:id="518"/>
      <w:r>
        <w:rPr>
          <w:rFonts w:hint="eastAsia" w:ascii="黑体" w:hAnsi="黑体" w:eastAsia="黑体" w:cs="黑体"/>
          <w:sz w:val="30"/>
          <w:szCs w:val="30"/>
        </w:rPr>
        <w:t xml:space="preserve"> </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leftChars="0" w:firstLine="554" w:firstLineChars="200"/>
        <w:textAlignment w:val="auto"/>
        <w:rPr>
          <w:rFonts w:ascii="宋体" w:hAnsi="宋体" w:eastAsia="宋体" w:cs="宋体"/>
          <w:sz w:val="24"/>
          <w:szCs w:val="24"/>
        </w:rPr>
      </w:pPr>
      <w:r>
        <w:rPr>
          <w:rFonts w:hint="eastAsia" w:ascii="宋体" w:hAnsi="宋体" w:eastAsia="宋体" w:cs="宋体"/>
          <w:b/>
          <w:bCs/>
          <w:spacing w:val="-2"/>
          <w:kern w:val="2"/>
          <w:sz w:val="28"/>
          <w:szCs w:val="28"/>
          <w:lang w:val="en-US" w:eastAsia="zh-CN" w:bidi="ar-SA"/>
        </w:rPr>
        <w:t>构建动态监测机制。</w:t>
      </w:r>
      <w:r>
        <w:rPr>
          <w:rFonts w:hint="eastAsia" w:ascii="宋体" w:hAnsi="宋体" w:eastAsia="宋体" w:cs="宋体"/>
          <w:spacing w:val="-2"/>
          <w:kern w:val="2"/>
          <w:sz w:val="28"/>
          <w:szCs w:val="28"/>
          <w:lang w:val="en-US" w:eastAsia="zh-CN" w:bidi="ar-SA"/>
        </w:rPr>
        <w:t>对已脱贫群体实施全方位、全过程、全周期监测及跟踪回访，全面及时了解脱贫群体生产生活情况，加强对不稳定脱贫户、边缘户的动态监测，及时发现问题、解决问题，消除返贫隐患。加快推进线上信息收集系统建设，以村(社区)为单元划分网格，实行网格化管理，全面采集、动态掌握网格区域内人口、房屋、就业、收入等情况，对网格内重点对象实时监测、及时上报，通过线上线下有效结合，实现全天候常态化监测。整合相关部门数据信息，建立扶贫数据共享共用机制，打破部门间“数据壁垒”，推动合疗、低保、新农保、移民搬迁、危房改造、就业扶贫等系统兼容共享，提高精准识别能力</w:t>
      </w:r>
      <w:r>
        <w:rPr>
          <w:rFonts w:ascii="宋体" w:hAnsi="宋体" w:eastAsia="宋体" w:cs="宋体"/>
          <w:sz w:val="24"/>
          <w:szCs w:val="24"/>
        </w:rPr>
        <w:t>。</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leftChars="0" w:firstLine="56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z w:val="28"/>
          <w:szCs w:val="28"/>
        </w:rPr>
        <w:t>激发脱贫“内生动力”。</w:t>
      </w:r>
      <w:r>
        <w:rPr>
          <w:rFonts w:hint="eastAsia" w:ascii="宋体" w:hAnsi="宋体" w:eastAsia="宋体" w:cs="宋体"/>
          <w:spacing w:val="-2"/>
          <w:kern w:val="2"/>
          <w:sz w:val="28"/>
          <w:szCs w:val="28"/>
          <w:lang w:val="en-US" w:eastAsia="zh-CN" w:bidi="ar-SA"/>
        </w:rPr>
        <w:t>以巩固脱贫成果、防范贫困户返贫为目标，搭建脱贫服务平台，实施面向贫困对象的技能课、政策课、帮扶课、励志课等培训项目，帮助贫困群众进一步强化脱贫主体意识和脱贫信心，形成由帮扶向自扶的扶贫观念的转变。不断丰富扶贫参与主体，引入企业参与，利用企业的平台、技术、流量，开展农村电商、网络扶智、网络宣传、公益扶贫等扶贫业务，提供便捷有效的扶贫途径。建立防范返贫预警机制，全程跟踪脱贫实效，根据家庭发展及收支状况，综合判断脱贫稳定性，分级分段监测返贫风险；对返贫风险高的提前介入、加大干部帮扶和综合施策力度，前置防范关口，筑牢“返贫防线”，确保稳定脱贫。</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leftChars="0" w:firstLine="554" w:firstLineChars="200"/>
        <w:textAlignment w:val="auto"/>
        <w:rPr>
          <w:rFonts w:hint="default" w:ascii="宋体" w:hAnsi="宋体" w:eastAsia="宋体" w:cs="宋体"/>
          <w:b w:val="0"/>
          <w:bCs w:val="0"/>
          <w:spacing w:val="-2"/>
          <w:kern w:val="2"/>
          <w:sz w:val="28"/>
          <w:szCs w:val="28"/>
          <w:lang w:val="en-US" w:eastAsia="zh-CN" w:bidi="ar-SA"/>
        </w:rPr>
      </w:pPr>
      <w:r>
        <w:rPr>
          <w:rFonts w:hint="eastAsia" w:ascii="宋体" w:hAnsi="宋体" w:eastAsia="宋体" w:cs="宋体"/>
          <w:b/>
          <w:bCs/>
          <w:spacing w:val="-2"/>
          <w:kern w:val="2"/>
          <w:sz w:val="28"/>
          <w:szCs w:val="28"/>
          <w:lang w:val="en-US" w:eastAsia="zh-CN" w:bidi="ar-SA"/>
        </w:rPr>
        <w:t>精准组织劳务输出。</w:t>
      </w:r>
      <w:r>
        <w:rPr>
          <w:rFonts w:hint="eastAsia" w:ascii="宋体" w:hAnsi="宋体" w:eastAsia="宋体" w:cs="宋体"/>
          <w:b w:val="0"/>
          <w:bCs w:val="0"/>
          <w:spacing w:val="-2"/>
          <w:kern w:val="2"/>
          <w:sz w:val="28"/>
          <w:szCs w:val="28"/>
          <w:lang w:val="en-US" w:eastAsia="zh-CN" w:bidi="ar-SA"/>
        </w:rPr>
        <w:t>依据紫阳县人力资源和公共就业服务机构，与劳动力输出地建立灵活有序的组织协调机制，无缝对接劳务服务机制和渠道畅通的劳务维权机制，遵循“以政府为主导，以市场为依托”的原则，对接政府权威准确的数据库，实现精准就业。全力打造“紫阳修脚师”全国知名劳务品牌，继续完善24小时实时视频监控系统，打造行业大数据分析，客观分析跟踪服务质量以及客户评价，修脚技能培训中心及时调整培训内容，实现培训技能的精准服务以及人才需求，保险就业的精准性。</w:t>
      </w:r>
    </w:p>
    <w:p>
      <w:pPr>
        <w:pStyle w:val="7"/>
        <w:keepNext w:val="0"/>
        <w:keepLines w:val="0"/>
        <w:pageBreakBefore w:val="0"/>
        <w:widowControl/>
        <w:kinsoku/>
        <w:wordWrap/>
        <w:overflowPunct/>
        <w:topLinePunct w:val="0"/>
        <w:autoSpaceDE/>
        <w:autoSpaceDN/>
        <w:bidi w:val="0"/>
        <w:adjustRightInd w:val="0"/>
        <w:snapToGrid w:val="0"/>
        <w:spacing w:before="80" w:line="360" w:lineRule="auto"/>
        <w:ind w:left="0" w:leftChars="0" w:firstLine="554" w:firstLineChars="200"/>
        <w:textAlignment w:val="auto"/>
        <w:rPr>
          <w:rFonts w:hint="default" w:ascii="宋体" w:hAnsi="宋体" w:eastAsia="宋体" w:cs="宋体"/>
          <w:b/>
          <w:bCs/>
          <w:spacing w:val="-2"/>
          <w:kern w:val="2"/>
          <w:sz w:val="28"/>
          <w:szCs w:val="28"/>
          <w:lang w:val="en-US" w:eastAsia="zh-CN" w:bidi="ar-SA"/>
        </w:rPr>
      </w:pPr>
    </w:p>
    <w:p>
      <w:pPr>
        <w:rPr>
          <w:rFonts w:hint="eastAsia"/>
          <w:lang w:eastAsia="zh-CN"/>
        </w:rPr>
      </w:pPr>
      <w:r>
        <w:rPr>
          <w:rFonts w:hint="eastAsia"/>
          <w:lang w:eastAsia="zh-CN"/>
        </w:rPr>
        <w:br w:type="page"/>
      </w:r>
    </w:p>
    <w:p>
      <w:pPr>
        <w:pStyle w:val="4"/>
        <w:keepNext/>
        <w:keepLines/>
        <w:pageBreakBefore w:val="0"/>
        <w:widowControl/>
        <w:kinsoku/>
        <w:wordWrap/>
        <w:overflowPunct/>
        <w:topLinePunct w:val="0"/>
        <w:autoSpaceDE/>
        <w:autoSpaceDN/>
        <w:bidi w:val="0"/>
        <w:adjustRightInd w:val="0"/>
        <w:snapToGrid w:val="0"/>
        <w:spacing w:before="260" w:after="260" w:line="413" w:lineRule="auto"/>
        <w:ind w:firstLine="0" w:firstLineChars="0"/>
        <w:jc w:val="center"/>
        <w:textAlignment w:val="auto"/>
        <w:outlineLvl w:val="0"/>
        <w:rPr>
          <w:rFonts w:hint="eastAsia" w:ascii="黑体" w:hAnsi="黑体" w:eastAsia="黑体" w:cs="黑体"/>
          <w:sz w:val="32"/>
          <w:szCs w:val="32"/>
          <w:lang w:val="en-US" w:eastAsia="zh-CN"/>
        </w:rPr>
      </w:pPr>
      <w:bookmarkStart w:id="519" w:name="_Toc1040"/>
      <w:bookmarkStart w:id="520" w:name="_Toc397"/>
      <w:bookmarkStart w:id="521" w:name="_Toc17639"/>
      <w:bookmarkStart w:id="522" w:name="_Toc25067"/>
      <w:bookmarkStart w:id="523" w:name="_Toc7540"/>
      <w:bookmarkStart w:id="524" w:name="_Toc3666"/>
      <w:bookmarkStart w:id="525" w:name="_Toc30855"/>
      <w:bookmarkStart w:id="526" w:name="_Toc14283"/>
      <w:bookmarkStart w:id="527" w:name="_Toc23767"/>
      <w:bookmarkStart w:id="528" w:name="_Toc26571"/>
      <w:bookmarkStart w:id="529" w:name="_Toc23640"/>
      <w:bookmarkStart w:id="530" w:name="_Toc9836"/>
      <w:bookmarkStart w:id="531" w:name="_Toc20971"/>
      <w:bookmarkStart w:id="532" w:name="_Toc29096_WPSOffice_Level2"/>
      <w:bookmarkStart w:id="533" w:name="_Toc3363"/>
      <w:bookmarkStart w:id="534" w:name="_Toc14027"/>
      <w:bookmarkStart w:id="535" w:name="_Toc29305"/>
      <w:r>
        <w:rPr>
          <w:rFonts w:hint="eastAsia" w:ascii="黑体" w:hAnsi="黑体" w:eastAsia="黑体" w:cs="黑体"/>
          <w:sz w:val="32"/>
          <w:szCs w:val="32"/>
          <w:lang w:val="en-US" w:eastAsia="zh-CN"/>
        </w:rPr>
        <w:t>第十三章 积极营造良好的数字经济营商环境</w:t>
      </w:r>
      <w:bookmarkEnd w:id="519"/>
      <w:bookmarkEnd w:id="520"/>
      <w:bookmarkEnd w:id="521"/>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Lines="0" w:beforeAutospacing="0" w:after="200" w:afterLines="0" w:afterAutospacing="0" w:line="360" w:lineRule="auto"/>
        <w:ind w:left="0" w:right="0" w:firstLine="55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spacing w:val="-2"/>
          <w:kern w:val="2"/>
          <w:sz w:val="28"/>
          <w:szCs w:val="28"/>
          <w:lang w:val="en-US" w:eastAsia="zh-CN" w:bidi="ar-SA"/>
        </w:rPr>
        <w:t xml:space="preserve">优化营商环境作为提升城市创新能级和竞争力的重要抓手，是高质量发展的内在要求，是重塑政府和市场关系的关键所在。通过构建多层次人才梯度，打造多途径金融服务，促进多形式成果转化，整合多层面产业资源，营造数字经济营商环境，全面激发各类市场主体活力。 </w:t>
      </w:r>
    </w:p>
    <w:p>
      <w:pPr>
        <w:pStyle w:val="17"/>
        <w:keepNext w:val="0"/>
        <w:keepLines w:val="0"/>
        <w:pageBreakBefore w:val="0"/>
        <w:widowControl/>
        <w:suppressLineNumbers w:val="0"/>
        <w:kinsoku/>
        <w:wordWrap/>
        <w:overflowPunct/>
        <w:topLinePunct w:val="0"/>
        <w:autoSpaceDE/>
        <w:autoSpaceDN/>
        <w:bidi w:val="0"/>
        <w:adjustRightInd w:val="0"/>
        <w:snapToGrid w:val="0"/>
        <w:spacing w:before="260" w:beforeLines="0" w:beforeAutospacing="0" w:after="260" w:afterLines="0" w:afterAutospacing="0" w:line="416" w:lineRule="auto"/>
        <w:ind w:left="0" w:right="0" w:firstLine="0"/>
        <w:textAlignment w:val="auto"/>
        <w:outlineLvl w:val="1"/>
      </w:pPr>
      <w:bookmarkStart w:id="536" w:name="_Toc6954"/>
      <w:bookmarkStart w:id="537" w:name="_Toc12990"/>
      <w:bookmarkStart w:id="538" w:name="_Toc28104"/>
      <w:r>
        <w:rPr>
          <w:rFonts w:hint="eastAsia" w:ascii="黑体" w:hAnsi="黑体" w:eastAsia="黑体" w:cs="黑体"/>
          <w:b/>
          <w:bCs w:val="0"/>
          <w:sz w:val="30"/>
          <w:szCs w:val="30"/>
          <w:lang w:val="en-US" w:eastAsia="zh-CN" w:bidi="ar-SA"/>
        </w:rPr>
        <w:t>13.1</w:t>
      </w:r>
      <w:r>
        <w:rPr>
          <w:rFonts w:hint="eastAsia" w:ascii="黑体" w:hAnsi="黑体" w:eastAsia="黑体" w:cs="黑体"/>
          <w:b/>
          <w:bCs w:val="0"/>
          <w:sz w:val="30"/>
          <w:szCs w:val="30"/>
          <w:lang w:bidi="ar-SA"/>
        </w:rPr>
        <w:t>构建多层次人才梯度</w:t>
      </w:r>
      <w:bookmarkEnd w:id="536"/>
      <w:bookmarkEnd w:id="537"/>
      <w:bookmarkEnd w:id="538"/>
      <w:r>
        <w:rPr>
          <w:rFonts w:hint="default" w:ascii="helvetica" w:hAnsi="helvetica" w:eastAsia="helvetica" w:cs="helvetica"/>
          <w:sz w:val="24"/>
          <w:szCs w:val="24"/>
        </w:rPr>
        <w:t xml:space="preserve"> </w:t>
      </w:r>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Lines="0" w:beforeAutospacing="0" w:after="200" w:afterLines="0" w:afterAutospacing="0" w:line="360" w:lineRule="auto"/>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实施应用技能型人才培育计划。</w:t>
      </w:r>
      <w:r>
        <w:rPr>
          <w:rFonts w:hint="eastAsia" w:ascii="宋体" w:hAnsi="宋体" w:eastAsia="宋体" w:cs="宋体"/>
          <w:spacing w:val="-2"/>
          <w:kern w:val="2"/>
          <w:sz w:val="28"/>
          <w:szCs w:val="28"/>
          <w:lang w:val="en-US" w:eastAsia="zh-CN" w:bidi="ar-SA"/>
        </w:rPr>
        <w:t>围绕产业发展特色，推动在数字人才紧缺领域大力开展职业培训，重点服务企业特别是中小微企业的技术产品升级。推动建立产教融合型企业，引导行业企业深度参与技术技能人才培养培训。培育农村复合型人才，组织广大农民和农业经营主体进行电商、数字化管理等技能培训，为推进基层益农信息社、电商物流网点建设提供人才支撑。</w:t>
      </w:r>
      <w:r>
        <w:rPr>
          <w:rFonts w:hint="eastAsia" w:ascii="宋体" w:hAnsi="宋体" w:eastAsia="宋体" w:cs="宋体"/>
          <w:sz w:val="28"/>
          <w:szCs w:val="28"/>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80" w:beforeLines="0" w:beforeAutospacing="0" w:after="200" w:afterLines="0" w:afterAutospacing="0" w:line="360" w:lineRule="auto"/>
        <w:ind w:left="0" w:right="0" w:firstLine="56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kern w:val="0"/>
          <w:sz w:val="28"/>
          <w:szCs w:val="28"/>
          <w:lang w:val="en-US" w:eastAsia="zh-CN" w:bidi="ar"/>
        </w:rPr>
        <w:t>实施高端综合型人才发展计划</w:t>
      </w:r>
      <w:r>
        <w:rPr>
          <w:rFonts w:hint="eastAsia" w:ascii="宋体" w:hAnsi="宋体" w:eastAsia="宋体" w:cs="宋体"/>
          <w:sz w:val="28"/>
          <w:szCs w:val="28"/>
          <w:lang w:bidi="ar"/>
        </w:rPr>
        <w:t>。</w:t>
      </w:r>
      <w:r>
        <w:rPr>
          <w:rFonts w:hint="eastAsia" w:ascii="宋体" w:hAnsi="宋体" w:eastAsia="宋体" w:cs="宋体"/>
          <w:spacing w:val="-2"/>
          <w:kern w:val="2"/>
          <w:sz w:val="28"/>
          <w:szCs w:val="28"/>
          <w:lang w:val="en-US" w:eastAsia="zh-CN" w:bidi="ar-SA"/>
        </w:rPr>
        <w:t xml:space="preserve">积极引进国内外数字技术领军人才，加强与紫阳周边高校合作，鼓励企业选派踏实肯干有作为的青年到高校、科研院所进修深造；支持企业引进高、精、尖专技人才，打造企业的科技领军人才和高水平创新团队。实现全县科技人才队伍不断壮大，科技人才专业、年龄结构趋于合理，锻造一支知识型、技能型、创新型劳动者大军，打造人才培养与实践的生态闭环。 </w:t>
      </w:r>
    </w:p>
    <w:p>
      <w:pPr>
        <w:pStyle w:val="17"/>
        <w:keepNext w:val="0"/>
        <w:keepLines w:val="0"/>
        <w:widowControl/>
        <w:suppressLineNumbers w:val="0"/>
        <w:spacing w:before="260" w:beforeLines="0" w:beforeAutospacing="0" w:after="260" w:afterLines="0" w:afterAutospacing="0" w:line="416" w:lineRule="auto"/>
        <w:ind w:left="0" w:right="0" w:firstLine="0"/>
        <w:outlineLvl w:val="1"/>
        <w:rPr>
          <w:rFonts w:hint="eastAsia" w:ascii="黑体" w:hAnsi="黑体" w:eastAsia="黑体" w:cs="黑体"/>
          <w:bCs/>
          <w:sz w:val="30"/>
          <w:szCs w:val="30"/>
          <w:lang w:bidi="ar-SA"/>
        </w:rPr>
      </w:pPr>
      <w:bookmarkStart w:id="539" w:name="_Toc23611"/>
      <w:bookmarkStart w:id="540" w:name="_Toc21079"/>
      <w:bookmarkStart w:id="541" w:name="_Toc2288"/>
      <w:r>
        <w:rPr>
          <w:rFonts w:hint="eastAsia" w:ascii="黑体" w:hAnsi="黑体" w:eastAsia="黑体" w:cs="黑体"/>
          <w:b/>
          <w:bCs w:val="0"/>
          <w:sz w:val="30"/>
          <w:szCs w:val="30"/>
          <w:lang w:val="en-US" w:eastAsia="zh-CN" w:bidi="ar-SA"/>
        </w:rPr>
        <w:t>13.2</w:t>
      </w:r>
      <w:r>
        <w:rPr>
          <w:rFonts w:hint="eastAsia" w:ascii="黑体" w:hAnsi="黑体" w:eastAsia="黑体" w:cs="黑体"/>
          <w:b/>
          <w:bCs w:val="0"/>
          <w:sz w:val="30"/>
          <w:szCs w:val="30"/>
          <w:lang w:bidi="ar-SA"/>
        </w:rPr>
        <w:t>打造多途径金融服务</w:t>
      </w:r>
      <w:bookmarkEnd w:id="539"/>
      <w:bookmarkEnd w:id="540"/>
      <w:bookmarkEnd w:id="541"/>
    </w:p>
    <w:p>
      <w:pPr>
        <w:pStyle w:val="17"/>
        <w:keepNext w:val="0"/>
        <w:keepLines w:val="0"/>
        <w:pageBreakBefore w:val="0"/>
        <w:widowControl/>
        <w:suppressLineNumbers w:val="0"/>
        <w:kinsoku/>
        <w:wordWrap/>
        <w:overflowPunct/>
        <w:topLinePunct w:val="0"/>
        <w:autoSpaceDE/>
        <w:autoSpaceDN/>
        <w:bidi w:val="0"/>
        <w:adjustRightInd w:val="0"/>
        <w:snapToGrid w:val="0"/>
        <w:spacing w:before="260" w:beforeAutospacing="0" w:after="260" w:afterAutospacing="0" w:line="360" w:lineRule="auto"/>
        <w:ind w:left="0" w:right="0" w:firstLine="56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z w:val="28"/>
          <w:szCs w:val="28"/>
        </w:rPr>
        <w:t>设立数字经济发展专项资金。</w:t>
      </w:r>
      <w:r>
        <w:rPr>
          <w:rFonts w:hint="eastAsia" w:ascii="宋体" w:hAnsi="宋体" w:eastAsia="宋体" w:cs="宋体"/>
          <w:spacing w:val="-2"/>
          <w:kern w:val="2"/>
          <w:sz w:val="28"/>
          <w:szCs w:val="28"/>
          <w:lang w:val="en-US" w:eastAsia="zh-CN" w:bidi="ar-SA"/>
        </w:rPr>
        <w:t xml:space="preserve">参照国家、陕西省等相关要求，制定数字经济发展专项资金设立方案、管理办法、实施细则，明确资金设立形式、运作机制、激励措施等内容。设立数字经济发展专项资金工作领导小组，行使决策管理职责。专项资金应发挥财政资金的杠杆放大效应，引导社会资本投向意愿落户紫阳的数字经济领域中小型创业企业，为数字经济发展打造良好的投融资环境，推动数字经济产业发展壮大。 </w:t>
      </w:r>
    </w:p>
    <w:p>
      <w:pPr>
        <w:pStyle w:val="17"/>
        <w:keepNext w:val="0"/>
        <w:keepLines w:val="0"/>
        <w:pageBreakBefore w:val="0"/>
        <w:widowControl/>
        <w:suppressLineNumbers w:val="0"/>
        <w:kinsoku/>
        <w:wordWrap/>
        <w:overflowPunct/>
        <w:topLinePunct w:val="0"/>
        <w:autoSpaceDE/>
        <w:autoSpaceDN/>
        <w:bidi w:val="0"/>
        <w:adjustRightInd w:val="0"/>
        <w:snapToGrid w:val="0"/>
        <w:spacing w:before="260" w:beforeAutospacing="0" w:after="260" w:afterAutospacing="0" w:line="360" w:lineRule="auto"/>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支持供应链金融发展。</w:t>
      </w:r>
      <w:r>
        <w:rPr>
          <w:rFonts w:hint="eastAsia" w:ascii="宋体" w:hAnsi="宋体" w:eastAsia="宋体" w:cs="宋体"/>
          <w:spacing w:val="-2"/>
          <w:kern w:val="2"/>
          <w:sz w:val="28"/>
          <w:szCs w:val="28"/>
          <w:lang w:val="en-US" w:eastAsia="zh-CN" w:bidi="ar-SA"/>
        </w:rPr>
        <w:t xml:space="preserve">支持设立融资租赁、商业保理等供应链金融服务机构，并支持利用区块链等新兴技术建设供应链金融数据信息平台，创新开发针对农产品加工等特色产业的供应链融资产品，增强供应链协同效率和集成效益，促进供应链核心企业做强和中小微企业做大。 </w:t>
      </w:r>
    </w:p>
    <w:p>
      <w:pPr>
        <w:pStyle w:val="17"/>
        <w:keepNext w:val="0"/>
        <w:keepLines w:val="0"/>
        <w:widowControl/>
        <w:suppressLineNumbers w:val="0"/>
        <w:spacing w:before="260" w:beforeAutospacing="0" w:after="260" w:afterAutospacing="0" w:line="416" w:lineRule="auto"/>
        <w:ind w:left="0" w:right="0" w:firstLine="0"/>
        <w:outlineLvl w:val="1"/>
      </w:pPr>
      <w:bookmarkStart w:id="542" w:name="_Toc30569"/>
      <w:bookmarkStart w:id="543" w:name="_Toc31219"/>
      <w:bookmarkStart w:id="544" w:name="_Toc26240"/>
      <w:r>
        <w:rPr>
          <w:rFonts w:hint="eastAsia" w:ascii="黑体" w:hAnsi="黑体" w:eastAsia="黑体" w:cs="黑体"/>
          <w:b/>
          <w:bCs w:val="0"/>
          <w:sz w:val="30"/>
          <w:szCs w:val="30"/>
          <w:lang w:val="en-US" w:eastAsia="zh-CN" w:bidi="ar-SA"/>
        </w:rPr>
        <w:t>13.3</w:t>
      </w:r>
      <w:r>
        <w:rPr>
          <w:rFonts w:hint="eastAsia" w:ascii="黑体" w:hAnsi="黑体" w:eastAsia="黑体" w:cs="黑体"/>
          <w:b/>
          <w:bCs w:val="0"/>
          <w:sz w:val="30"/>
          <w:szCs w:val="30"/>
          <w:lang w:bidi="ar-SA"/>
        </w:rPr>
        <w:t>促进多形式成果转化</w:t>
      </w:r>
      <w:bookmarkEnd w:id="542"/>
      <w:bookmarkEnd w:id="543"/>
      <w:bookmarkEnd w:id="544"/>
      <w:r>
        <w:rPr>
          <w:rFonts w:hint="default" w:ascii="helvetica" w:hAnsi="helvetica" w:eastAsia="helvetica" w:cs="helvetica"/>
          <w:sz w:val="24"/>
          <w:szCs w:val="24"/>
        </w:rPr>
        <w:t xml:space="preserve"> </w:t>
      </w:r>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Autospacing="0" w:after="200" w:afterAutospacing="0" w:line="360" w:lineRule="auto"/>
        <w:ind w:left="0" w:right="0" w:firstLine="562" w:firstLineChars="200"/>
        <w:textAlignment w:val="auto"/>
        <w:rPr>
          <w:rFonts w:hint="eastAsia" w:ascii="宋体" w:hAnsi="宋体" w:eastAsia="宋体" w:cs="宋体"/>
          <w:spacing w:val="-2"/>
          <w:kern w:val="2"/>
          <w:sz w:val="28"/>
          <w:szCs w:val="28"/>
          <w:lang w:val="en-US" w:eastAsia="zh-CN" w:bidi="ar-SA"/>
        </w:rPr>
      </w:pPr>
      <w:r>
        <w:rPr>
          <w:rFonts w:hint="eastAsia" w:ascii="宋体" w:hAnsi="宋体" w:eastAsia="宋体" w:cs="宋体"/>
          <w:b/>
          <w:bCs/>
          <w:sz w:val="28"/>
          <w:szCs w:val="28"/>
        </w:rPr>
        <w:t>搭建技术孵化服务平台。</w:t>
      </w:r>
      <w:r>
        <w:rPr>
          <w:rFonts w:hint="eastAsia" w:ascii="宋体" w:hAnsi="宋体" w:eastAsia="宋体" w:cs="宋体"/>
          <w:spacing w:val="-2"/>
          <w:kern w:val="2"/>
          <w:sz w:val="28"/>
          <w:szCs w:val="28"/>
          <w:lang w:val="en-US" w:eastAsia="zh-CN" w:bidi="ar-SA"/>
        </w:rPr>
        <w:t>建立产学研用公共服务平台，以高新技术产业园区为契机，为企业和研究机构提供科研信息汇集、技术成果汇总、试验设备共享等一系列公共服务，推动核心技术领域的研发工作。建立科技项目资助扶持中心，在科技计划项目申报、科技奖励过程中，对于具有较好市场前景与较高应用价值的项目进行资助与扶持，提高项目孵化速度。</w:t>
      </w:r>
    </w:p>
    <w:p>
      <w:pPr>
        <w:pStyle w:val="17"/>
        <w:keepNext w:val="0"/>
        <w:keepLines w:val="0"/>
        <w:pageBreakBefore w:val="0"/>
        <w:widowControl/>
        <w:suppressLineNumbers w:val="0"/>
        <w:kinsoku/>
        <w:wordWrap/>
        <w:overflowPunct/>
        <w:topLinePunct w:val="0"/>
        <w:autoSpaceDE/>
        <w:autoSpaceDN/>
        <w:bidi w:val="0"/>
        <w:adjustRightInd w:val="0"/>
        <w:snapToGrid w:val="0"/>
        <w:spacing w:before="80" w:beforeAutospacing="0" w:after="200" w:afterAutospacing="0" w:line="360" w:lineRule="auto"/>
        <w:ind w:left="0" w:right="0" w:firstLine="562" w:firstLineChars="200"/>
        <w:textAlignment w:val="auto"/>
      </w:pPr>
      <w:r>
        <w:rPr>
          <w:rFonts w:hint="eastAsia" w:ascii="宋体" w:hAnsi="宋体" w:eastAsia="宋体" w:cs="宋体"/>
          <w:b/>
          <w:bCs/>
          <w:sz w:val="28"/>
          <w:szCs w:val="28"/>
        </w:rPr>
        <w:t>挖掘技术应用落地场景。</w:t>
      </w:r>
      <w:r>
        <w:rPr>
          <w:rFonts w:hint="eastAsia" w:ascii="宋体" w:hAnsi="宋体" w:eastAsia="宋体" w:cs="宋体"/>
          <w:spacing w:val="-2"/>
          <w:kern w:val="2"/>
          <w:sz w:val="28"/>
          <w:szCs w:val="28"/>
          <w:lang w:val="en-US" w:eastAsia="zh-CN" w:bidi="ar-SA"/>
        </w:rPr>
        <w:t>鼓励企业试验新研发、新想法、新产品，将较为成熟且满足行业需求的技术实用化、产业化，加快实验室技术的转化速度，切实将科研成果转化为实际生产力，加速创新落地进程，打造垂直行业的隐形冠军。</w:t>
      </w:r>
      <w:r>
        <w:rPr>
          <w:rFonts w:hint="default" w:ascii="helvetica" w:hAnsi="helvetica" w:eastAsia="helvetica" w:cs="helvetica"/>
          <w:sz w:val="24"/>
          <w:szCs w:val="24"/>
        </w:rPr>
        <w:t xml:space="preserve"> </w:t>
      </w:r>
    </w:p>
    <w:p>
      <w:pPr>
        <w:pStyle w:val="17"/>
        <w:keepNext w:val="0"/>
        <w:keepLines w:val="0"/>
        <w:widowControl/>
        <w:suppressLineNumbers w:val="0"/>
        <w:spacing w:before="260" w:beforeAutospacing="0" w:after="260" w:afterAutospacing="0" w:line="416" w:lineRule="auto"/>
        <w:ind w:left="0" w:right="0" w:firstLine="0"/>
        <w:outlineLvl w:val="1"/>
        <w:rPr>
          <w:rFonts w:hint="eastAsia" w:ascii="黑体" w:hAnsi="黑体" w:eastAsia="黑体" w:cs="黑体"/>
          <w:bCs/>
          <w:sz w:val="30"/>
          <w:szCs w:val="30"/>
          <w:lang w:bidi="ar-SA"/>
        </w:rPr>
      </w:pPr>
      <w:bookmarkStart w:id="545" w:name="_Toc32136"/>
      <w:bookmarkStart w:id="546" w:name="_Toc20520"/>
      <w:bookmarkStart w:id="547" w:name="_Toc10310"/>
      <w:r>
        <w:rPr>
          <w:rFonts w:hint="eastAsia" w:ascii="黑体" w:hAnsi="黑体" w:eastAsia="黑体" w:cs="黑体"/>
          <w:b/>
          <w:bCs w:val="0"/>
          <w:sz w:val="30"/>
          <w:szCs w:val="30"/>
          <w:lang w:val="en-US" w:eastAsia="zh-CN" w:bidi="ar-SA"/>
        </w:rPr>
        <w:t>13.4</w:t>
      </w:r>
      <w:r>
        <w:rPr>
          <w:rFonts w:hint="eastAsia" w:ascii="黑体" w:hAnsi="黑体" w:eastAsia="黑体" w:cs="黑体"/>
          <w:b/>
          <w:bCs w:val="0"/>
          <w:sz w:val="30"/>
          <w:szCs w:val="30"/>
          <w:lang w:bidi="ar-SA"/>
        </w:rPr>
        <w:t>整合多层面产业资源</w:t>
      </w:r>
      <w:bookmarkEnd w:id="545"/>
      <w:bookmarkEnd w:id="546"/>
      <w:bookmarkEnd w:id="547"/>
    </w:p>
    <w:p>
      <w:pPr>
        <w:spacing w:line="360" w:lineRule="auto"/>
        <w:ind w:firstLine="562" w:firstLineChars="200"/>
        <w:rPr>
          <w:rFonts w:hint="eastAsia"/>
          <w:lang w:val="en-US" w:eastAsia="zh-CN"/>
        </w:rPr>
      </w:pPr>
      <w:r>
        <w:rPr>
          <w:rFonts w:hint="eastAsia" w:ascii="宋体" w:hAnsi="宋体" w:eastAsia="宋体" w:cs="宋体"/>
          <w:b/>
          <w:bCs/>
          <w:sz w:val="28"/>
          <w:szCs w:val="28"/>
        </w:rPr>
        <w:t>成立数字经济产业联盟。</w:t>
      </w:r>
      <w:r>
        <w:rPr>
          <w:rFonts w:hint="eastAsia" w:ascii="宋体" w:hAnsi="宋体" w:eastAsia="宋体" w:cs="宋体"/>
          <w:spacing w:val="-2"/>
          <w:kern w:val="2"/>
          <w:sz w:val="28"/>
          <w:szCs w:val="28"/>
          <w:lang w:val="en-US" w:eastAsia="zh-CN" w:bidi="ar-SA"/>
        </w:rPr>
        <w:t>联动龙头企业及孵化企业，充分发挥行业组织协调、行业培训、交流协作和资源共享方面的核心作用，促进跨区域创新创业资源的有效配置。积极开展企业创新加速营活动，聚焦人工智能和大数据技术在农产品加工、医疗健康等行业的应用，邀请行业龙头、协会组织分享行业洞察和研究经验，协助企业对接国内外技术和产业资源，推动企业快速、高质量增长。</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4"/>
        <w:bidi w:val="0"/>
        <w:jc w:val="center"/>
        <w:outlineLvl w:val="0"/>
        <w:rPr>
          <w:rFonts w:hint="eastAsia"/>
          <w:lang w:val="en-US" w:eastAsia="zh-CN"/>
        </w:rPr>
      </w:pPr>
      <w:bookmarkStart w:id="548" w:name="_Toc2334"/>
      <w:r>
        <w:rPr>
          <w:rFonts w:hint="eastAsia"/>
          <w:lang w:val="en-US" w:eastAsia="zh-CN"/>
        </w:rPr>
        <w:t>第十四章 完善数字经济保障体系</w:t>
      </w:r>
      <w:bookmarkEnd w:id="500"/>
      <w:bookmarkEnd w:id="501"/>
      <w:bookmarkEnd w:id="502"/>
      <w:bookmarkEnd w:id="503"/>
      <w:bookmarkEnd w:id="504"/>
      <w:bookmarkEnd w:id="505"/>
      <w:bookmarkEnd w:id="506"/>
      <w:bookmarkEnd w:id="548"/>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围绕打造“产业数字化转型示范县”的目标，通过组织、资金、人才、市场、环境及数据安全等六个方面，全方位保障数字经济的发展落地。</w:t>
      </w:r>
    </w:p>
    <w:p>
      <w:pPr>
        <w:pStyle w:val="5"/>
        <w:bidi w:val="0"/>
        <w:outlineLvl w:val="1"/>
        <w:rPr>
          <w:rFonts w:hint="eastAsia" w:asciiTheme="minorEastAsia" w:hAnsiTheme="minorEastAsia" w:eastAsiaTheme="minorEastAsia" w:cstheme="minorEastAsia"/>
          <w:bCs/>
          <w:szCs w:val="28"/>
          <w:lang w:val="en-US" w:eastAsia="zh-CN"/>
        </w:rPr>
      </w:pPr>
      <w:bookmarkStart w:id="549" w:name="_Toc26231"/>
      <w:bookmarkStart w:id="550" w:name="_Toc17769"/>
      <w:bookmarkStart w:id="551" w:name="_Toc12635"/>
      <w:bookmarkStart w:id="552" w:name="_Toc11424"/>
      <w:bookmarkStart w:id="553" w:name="_Toc11204"/>
      <w:bookmarkStart w:id="554" w:name="_Toc6260"/>
      <w:bookmarkStart w:id="555" w:name="_Toc876"/>
      <w:bookmarkStart w:id="556" w:name="_Toc24397"/>
      <w:r>
        <w:rPr>
          <w:rFonts w:hint="eastAsia" w:ascii="黑体" w:hAnsi="黑体" w:eastAsia="黑体" w:cs="黑体"/>
          <w:sz w:val="30"/>
          <w:szCs w:val="30"/>
          <w:lang w:val="en-US" w:eastAsia="zh-CN"/>
        </w:rPr>
        <w:t>14.1加强组织协调</w:t>
      </w:r>
      <w:bookmarkEnd w:id="549"/>
      <w:bookmarkEnd w:id="550"/>
      <w:bookmarkEnd w:id="551"/>
      <w:bookmarkEnd w:id="552"/>
      <w:bookmarkEnd w:id="553"/>
      <w:bookmarkEnd w:id="554"/>
      <w:bookmarkEnd w:id="555"/>
      <w:bookmarkEnd w:id="556"/>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建立紫阳县数据资源管理局，推动数字经济高效组织，统筹协调各级各部门力量，研究数字经济发展重大政策以解决重大问题、实施部署重大工程，形成全县上下协同推进数字经济发展的良好格局。成立数字经济发展领导小组，负责制定出台相关领域数字经济发展具体方案，围绕重点项目，做好工作部署和协调推进落实，加强数字经济统计监管工作，建立数字经济指标体系。加强规划实施评估，建立规划动态更新机制。各部门要从自身职能分工出发，认真贯彻紫阳县县委、紫阳县人民政府决策部署，强化工作协同推进，形成合力。各镇要加大对数字经济发展的组织推进力度，推动数字经济加快发展。</w:t>
      </w:r>
    </w:p>
    <w:p>
      <w:pPr>
        <w:pStyle w:val="5"/>
        <w:bidi w:val="0"/>
        <w:outlineLvl w:val="1"/>
        <w:rPr>
          <w:rFonts w:hint="eastAsia" w:ascii="黑体" w:hAnsi="黑体" w:eastAsia="黑体" w:cs="黑体"/>
          <w:sz w:val="30"/>
          <w:szCs w:val="30"/>
          <w:lang w:val="en-US" w:eastAsia="zh-CN"/>
        </w:rPr>
      </w:pPr>
      <w:bookmarkStart w:id="557" w:name="_Toc22878"/>
      <w:bookmarkStart w:id="558" w:name="_Toc13649"/>
      <w:bookmarkStart w:id="559" w:name="_Toc30199"/>
      <w:bookmarkStart w:id="560" w:name="_Toc23841"/>
      <w:bookmarkStart w:id="561" w:name="_Toc8758"/>
      <w:bookmarkStart w:id="562" w:name="_Toc29154"/>
      <w:bookmarkStart w:id="563" w:name="_Toc27810"/>
      <w:bookmarkStart w:id="564" w:name="_Toc9777"/>
      <w:r>
        <w:rPr>
          <w:rFonts w:hint="eastAsia" w:ascii="黑体" w:hAnsi="黑体" w:eastAsia="黑体" w:cs="黑体"/>
          <w:sz w:val="30"/>
          <w:szCs w:val="30"/>
          <w:lang w:val="en-US" w:eastAsia="zh-CN"/>
        </w:rPr>
        <w:t>14.2加大资金扶持</w:t>
      </w:r>
      <w:bookmarkEnd w:id="557"/>
      <w:bookmarkEnd w:id="558"/>
      <w:bookmarkEnd w:id="559"/>
      <w:bookmarkEnd w:id="560"/>
      <w:bookmarkEnd w:id="561"/>
      <w:bookmarkEnd w:id="562"/>
      <w:bookmarkEnd w:id="563"/>
      <w:bookmarkEnd w:id="564"/>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统筹各项资金，全县各级各部门要充分利用现有资金渠道，通过以奖代补、贴息、股权投资等方式，大力支持数字经济领域技术研发、成果转化和示范推广所需要的资金支持，引导带动实体经济企业开展数字化升级，增加农业数字化资金扶持。运用政府投资基金等方式，扩大财政资金撬动作用，吸引资本、技术、管理等资源参与数字经济发展。积极争取国家相关专项资金扶持，充分发挥现有税收优惠政策的引导作用，为企业发展提供多元化资本支持。</w:t>
      </w:r>
    </w:p>
    <w:p>
      <w:pPr>
        <w:pStyle w:val="5"/>
        <w:bidi w:val="0"/>
        <w:outlineLvl w:val="1"/>
        <w:rPr>
          <w:rFonts w:hint="eastAsia" w:asciiTheme="minorEastAsia" w:hAnsiTheme="minorEastAsia" w:eastAsiaTheme="minorEastAsia" w:cstheme="minorEastAsia"/>
          <w:bCs/>
          <w:szCs w:val="28"/>
          <w:lang w:val="en-US" w:eastAsia="zh-CN"/>
        </w:rPr>
      </w:pPr>
      <w:bookmarkStart w:id="565" w:name="_Toc20118"/>
      <w:bookmarkStart w:id="566" w:name="_Toc6969"/>
      <w:bookmarkStart w:id="567" w:name="_Toc1055"/>
      <w:bookmarkStart w:id="568" w:name="_Toc3477"/>
      <w:bookmarkStart w:id="569" w:name="_Toc20801"/>
      <w:bookmarkStart w:id="570" w:name="_Toc26157"/>
      <w:bookmarkStart w:id="571" w:name="_Toc20105"/>
      <w:bookmarkStart w:id="572" w:name="_Toc2652"/>
      <w:r>
        <w:rPr>
          <w:rFonts w:hint="eastAsia" w:ascii="黑体" w:hAnsi="黑体" w:eastAsia="黑体" w:cs="黑体"/>
          <w:sz w:val="30"/>
          <w:szCs w:val="30"/>
          <w:lang w:val="en-US" w:eastAsia="zh-CN"/>
        </w:rPr>
        <w:t>14.3加强人才建设</w:t>
      </w:r>
      <w:bookmarkEnd w:id="565"/>
      <w:bookmarkEnd w:id="566"/>
      <w:bookmarkEnd w:id="567"/>
      <w:bookmarkEnd w:id="568"/>
      <w:bookmarkEnd w:id="569"/>
      <w:bookmarkEnd w:id="570"/>
      <w:bookmarkEnd w:id="571"/>
      <w:bookmarkEnd w:id="572"/>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围绕数字技术创新、智能制造、互联网经济发展需求，依托高端人才引进政策，加大引进数字经济领域学科带头人才、技术领军人才和高级管理人才的力度。鼓励通过挂职兼职、技术咨询、项目合作等方式，汇聚相关技术性人才。加强传统劳动力数字技能培训，提升数字化素养。加大对党政干部、企事业高层管理人员的数字经济专题培训，提升数字化转型的领导。同时建立科学的人才评价激励制度，充分发挥人才的积极性、主动性。</w:t>
      </w:r>
    </w:p>
    <w:p>
      <w:pPr>
        <w:pStyle w:val="5"/>
        <w:bidi w:val="0"/>
        <w:outlineLvl w:val="1"/>
        <w:rPr>
          <w:rFonts w:hint="eastAsia" w:ascii="黑体" w:hAnsi="黑体" w:eastAsia="黑体" w:cs="黑体"/>
          <w:sz w:val="30"/>
          <w:szCs w:val="30"/>
          <w:lang w:val="en-US" w:eastAsia="zh-CN"/>
        </w:rPr>
      </w:pPr>
      <w:bookmarkStart w:id="573" w:name="_Toc18817"/>
      <w:bookmarkStart w:id="574" w:name="_Toc15666"/>
      <w:bookmarkStart w:id="575" w:name="_Toc13316"/>
      <w:bookmarkStart w:id="576" w:name="_Toc14952"/>
      <w:bookmarkStart w:id="577" w:name="_Toc21259"/>
      <w:bookmarkStart w:id="578" w:name="_Toc26533"/>
      <w:bookmarkStart w:id="579" w:name="_Toc1453"/>
      <w:bookmarkStart w:id="580" w:name="_Toc492"/>
      <w:r>
        <w:rPr>
          <w:rFonts w:hint="eastAsia" w:ascii="黑体" w:hAnsi="黑体" w:eastAsia="黑体" w:cs="黑体"/>
          <w:sz w:val="30"/>
          <w:szCs w:val="30"/>
          <w:lang w:val="en-US" w:eastAsia="zh-CN"/>
        </w:rPr>
        <w:t>14.4扩大市场需求</w:t>
      </w:r>
      <w:bookmarkEnd w:id="573"/>
      <w:bookmarkEnd w:id="574"/>
      <w:bookmarkEnd w:id="575"/>
      <w:bookmarkEnd w:id="576"/>
      <w:bookmarkEnd w:id="577"/>
      <w:bookmarkEnd w:id="578"/>
      <w:bookmarkEnd w:id="579"/>
      <w:bookmarkEnd w:id="580"/>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统筹现有资源，构建技术交流、数据共享、市场应用等领域的共建、共享、共赢新平台，以新动能引领数字经济创新发展，为经济增长培育新动力、开辟新空间。加强数字经济供给与市场需求对接，发挥政府应用、重大平台、重大项目对扩大升级数字经济市场需求的促进作用，鼓励企业运用大数据等手段准确把握市场需求，调整产品和服务供给。加速数字经济试点示范建设，充分发挥资源优势，先行先试，探索适应数字经济特点的项目措施，建立机制完善、产业齐备、辐射带动力强的市场模式。</w:t>
      </w:r>
    </w:p>
    <w:p>
      <w:pPr>
        <w:pStyle w:val="5"/>
        <w:bidi w:val="0"/>
        <w:outlineLvl w:val="1"/>
        <w:rPr>
          <w:rFonts w:hint="eastAsia" w:asciiTheme="minorEastAsia" w:hAnsiTheme="minorEastAsia" w:eastAsiaTheme="minorEastAsia" w:cstheme="minorEastAsia"/>
          <w:bCs/>
          <w:szCs w:val="28"/>
          <w:lang w:val="en-US" w:eastAsia="zh-CN"/>
        </w:rPr>
      </w:pPr>
      <w:bookmarkStart w:id="581" w:name="_Toc15729"/>
      <w:bookmarkStart w:id="582" w:name="_Toc3764"/>
      <w:bookmarkStart w:id="583" w:name="_Toc31418"/>
      <w:bookmarkStart w:id="584" w:name="_Toc26621"/>
      <w:bookmarkStart w:id="585" w:name="_Toc20717"/>
      <w:bookmarkStart w:id="586" w:name="_Toc15970"/>
      <w:bookmarkStart w:id="587" w:name="_Toc6909"/>
      <w:bookmarkStart w:id="588" w:name="_Toc28369"/>
      <w:r>
        <w:rPr>
          <w:rFonts w:hint="eastAsia" w:ascii="黑体" w:hAnsi="黑体" w:eastAsia="黑体" w:cs="黑体"/>
          <w:sz w:val="30"/>
          <w:szCs w:val="30"/>
          <w:lang w:val="en-US" w:eastAsia="zh-CN"/>
        </w:rPr>
        <w:t>14.5强化数据安全</w:t>
      </w:r>
      <w:bookmarkEnd w:id="581"/>
      <w:bookmarkEnd w:id="582"/>
      <w:bookmarkEnd w:id="583"/>
      <w:bookmarkEnd w:id="584"/>
      <w:bookmarkEnd w:id="585"/>
      <w:bookmarkEnd w:id="586"/>
      <w:bookmarkEnd w:id="587"/>
      <w:bookmarkEnd w:id="588"/>
    </w:p>
    <w:p>
      <w:pPr>
        <w:pStyle w:val="7"/>
        <w:keepNext w:val="0"/>
        <w:keepLines w:val="0"/>
        <w:pageBreakBefore w:val="0"/>
        <w:widowControl w:val="0"/>
        <w:numPr>
          <w:ilvl w:val="0"/>
          <w:numId w:val="0"/>
        </w:numPr>
        <w:kinsoku/>
        <w:wordWrap/>
        <w:overflowPunct/>
        <w:topLinePunct w:val="0"/>
        <w:autoSpaceDE/>
        <w:autoSpaceDN/>
        <w:bidi w:val="0"/>
        <w:adjustRightInd/>
        <w:snapToGrid/>
        <w:spacing w:before="80" w:after="0" w:line="360" w:lineRule="auto"/>
        <w:ind w:firstLine="560" w:firstLineChars="200"/>
        <w:jc w:val="both"/>
        <w:textAlignment w:val="auto"/>
        <w:rPr>
          <w:rFonts w:hint="eastAsia" w:asciiTheme="minorEastAsia" w:hAnsiTheme="minorEastAsia" w:eastAsiaTheme="minorEastAsia" w:cstheme="minorEastAsia"/>
          <w:kern w:val="0"/>
          <w:sz w:val="28"/>
          <w:szCs w:val="28"/>
          <w:lang w:val="en-US" w:eastAsia="zh-CN" w:bidi="ar-SA"/>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kern w:val="0"/>
          <w:sz w:val="28"/>
          <w:szCs w:val="28"/>
          <w:lang w:val="en-US" w:eastAsia="zh-CN" w:bidi="ar-SA"/>
        </w:rPr>
        <w:t>加强政府人员数据安全教育，树立数据安全意识，完善信息保密和网络安全管理制度与法律法规。建立健全数据安全保障体系，加强政府部门在数据资源的采集、存储、应用、开发和主权等方面的安全防护。推动数据资源安全技术研发和部署，加强数据安全生命周期管理和安全防护能力，构建安全可信的数据资源体系，推动建设数字经济监测平台，定期发布数字经济发展评估报告。同时政府应对县域内任何信息的产生、传播和交易活动，以及相关应用和实施，加强监管和督导，保证数据主权。</w:t>
      </w:r>
    </w:p>
    <w:p>
      <w:pPr>
        <w:pStyle w:val="4"/>
        <w:numPr>
          <w:ilvl w:val="0"/>
          <w:numId w:val="0"/>
        </w:numPr>
        <w:bidi w:val="0"/>
        <w:jc w:val="center"/>
        <w:outlineLvl w:val="0"/>
        <w:rPr>
          <w:rFonts w:hint="eastAsia" w:ascii="Arial" w:hAnsi="Arial" w:eastAsia="黑体" w:cstheme="minorBidi"/>
          <w:sz w:val="32"/>
          <w:szCs w:val="22"/>
          <w:lang w:val="en-US" w:eastAsia="zh-CN"/>
        </w:rPr>
      </w:pPr>
      <w:bookmarkStart w:id="589" w:name="_Toc26511"/>
      <w:bookmarkStart w:id="590" w:name="_Toc15286"/>
      <w:bookmarkStart w:id="591" w:name="_Toc8879"/>
      <w:bookmarkStart w:id="592" w:name="_Toc2817"/>
      <w:bookmarkStart w:id="593" w:name="_Toc23840"/>
      <w:bookmarkStart w:id="594" w:name="_Toc20970"/>
      <w:bookmarkStart w:id="595" w:name="_Toc4254"/>
      <w:bookmarkStart w:id="596" w:name="_Toc7034"/>
      <w:bookmarkStart w:id="597" w:name="_Toc22554"/>
      <w:bookmarkStart w:id="598" w:name="_Toc29929"/>
      <w:bookmarkStart w:id="599" w:name="_Toc20521"/>
      <w:r>
        <w:rPr>
          <w:rFonts w:hint="eastAsia" w:ascii="Arial" w:hAnsi="Arial" w:eastAsia="黑体" w:cstheme="minorBidi"/>
          <w:sz w:val="32"/>
          <w:szCs w:val="22"/>
          <w:lang w:val="en-US" w:eastAsia="zh-CN"/>
        </w:rPr>
        <w:t>第十五章 紫阳数字经济“十四五”发展规划项目库说明</w:t>
      </w:r>
      <w:bookmarkEnd w:id="589"/>
      <w:bookmarkEnd w:id="590"/>
      <w:bookmarkEnd w:id="591"/>
      <w:bookmarkEnd w:id="592"/>
      <w:bookmarkEnd w:id="593"/>
      <w:bookmarkEnd w:id="594"/>
      <w:bookmarkEnd w:id="595"/>
      <w:bookmarkEnd w:id="596"/>
      <w:bookmarkEnd w:id="597"/>
      <w:bookmarkEnd w:id="598"/>
      <w:bookmarkEnd w:id="599"/>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紫阳县数字经济“十四五”发展规划规划项目库按以下五大类别分类：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lang w:val="en-US" w:eastAsia="zh-CN"/>
        </w:rPr>
      </w:pPr>
      <w:bookmarkStart w:id="600" w:name="_Toc15481"/>
      <w:bookmarkStart w:id="601" w:name="_Toc21714"/>
      <w:r>
        <w:rPr>
          <w:rFonts w:hint="eastAsia" w:ascii="宋体" w:hAnsi="宋体" w:eastAsia="宋体" w:cs="宋体"/>
          <w:sz w:val="28"/>
          <w:szCs w:val="28"/>
          <w:lang w:val="en-US" w:eastAsia="zh-CN"/>
        </w:rPr>
        <w:t>1）</w:t>
      </w:r>
      <w:r>
        <w:rPr>
          <w:rFonts w:hint="eastAsia" w:ascii="宋体" w:hAnsi="宋体" w:eastAsia="宋体" w:cs="宋体"/>
          <w:b/>
          <w:bCs/>
          <w:sz w:val="28"/>
          <w:szCs w:val="28"/>
          <w:lang w:val="en-US" w:eastAsia="zh-CN"/>
        </w:rPr>
        <w:t>数字经济基础设施建设类</w:t>
      </w:r>
      <w:r>
        <w:rPr>
          <w:rFonts w:hint="eastAsia" w:ascii="宋体" w:hAnsi="宋体" w:eastAsia="宋体" w:cs="宋体"/>
          <w:sz w:val="28"/>
          <w:szCs w:val="28"/>
          <w:lang w:val="en-US" w:eastAsia="zh-CN"/>
        </w:rPr>
        <w:t>，投资估算约为人民币</w:t>
      </w:r>
      <w:r>
        <w:rPr>
          <w:rFonts w:hint="eastAsia" w:ascii="宋体" w:hAnsi="宋体" w:eastAsia="宋体" w:cs="宋体"/>
          <w:b/>
          <w:bCs/>
          <w:sz w:val="28"/>
          <w:szCs w:val="28"/>
          <w:lang w:val="en-US" w:eastAsia="zh-CN"/>
        </w:rPr>
        <w:t>59250</w:t>
      </w:r>
      <w:r>
        <w:rPr>
          <w:rFonts w:hint="eastAsia" w:ascii="宋体" w:hAnsi="宋体" w:eastAsia="宋体" w:cs="宋体"/>
          <w:sz w:val="28"/>
          <w:szCs w:val="28"/>
          <w:lang w:val="en-US" w:eastAsia="zh-CN"/>
        </w:rPr>
        <w:t>万元；</w:t>
      </w:r>
      <w:bookmarkEnd w:id="600"/>
      <w:bookmarkEnd w:id="601"/>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lang w:val="en-US" w:eastAsia="zh-CN"/>
        </w:rPr>
      </w:pPr>
      <w:bookmarkStart w:id="602" w:name="_Toc21431"/>
      <w:bookmarkStart w:id="603" w:name="_Toc3587"/>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经济发展类</w:t>
      </w:r>
      <w:r>
        <w:rPr>
          <w:rFonts w:hint="eastAsia" w:ascii="宋体" w:hAnsi="宋体" w:eastAsia="宋体" w:cs="宋体"/>
          <w:sz w:val="28"/>
          <w:szCs w:val="28"/>
          <w:lang w:val="en-US" w:eastAsia="zh-CN"/>
        </w:rPr>
        <w:t>，投资估算约为人民币</w:t>
      </w:r>
      <w:r>
        <w:rPr>
          <w:rFonts w:hint="eastAsia" w:ascii="宋体" w:hAnsi="宋体" w:eastAsia="宋体" w:cs="宋体"/>
          <w:b/>
          <w:bCs/>
          <w:sz w:val="28"/>
          <w:szCs w:val="28"/>
          <w:lang w:val="en-US" w:eastAsia="zh-CN"/>
        </w:rPr>
        <w:t>64550</w:t>
      </w:r>
      <w:r>
        <w:rPr>
          <w:rFonts w:hint="eastAsia" w:ascii="宋体" w:hAnsi="宋体" w:eastAsia="宋体" w:cs="宋体"/>
          <w:sz w:val="28"/>
          <w:szCs w:val="28"/>
          <w:lang w:val="en-US" w:eastAsia="zh-CN"/>
        </w:rPr>
        <w:t>万元；其中：</w:t>
      </w:r>
      <w:bookmarkEnd w:id="602"/>
      <w:bookmarkEnd w:id="603"/>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第一产业农业提质增效，投资估算约为人民币</w:t>
      </w:r>
      <w:r>
        <w:rPr>
          <w:rFonts w:hint="eastAsia" w:ascii="宋体" w:hAnsi="宋体" w:eastAsia="宋体" w:cs="宋体"/>
          <w:b/>
          <w:bCs/>
          <w:sz w:val="28"/>
          <w:szCs w:val="28"/>
          <w:lang w:val="en-US" w:eastAsia="zh-CN"/>
        </w:rPr>
        <w:t>20750</w:t>
      </w:r>
      <w:r>
        <w:rPr>
          <w:rFonts w:hint="eastAsia" w:ascii="宋体" w:hAnsi="宋体" w:eastAsia="宋体" w:cs="宋体"/>
          <w:sz w:val="28"/>
          <w:szCs w:val="28"/>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第二产业工业园区互联网，投资估算约为人民币</w:t>
      </w:r>
      <w:r>
        <w:rPr>
          <w:rFonts w:hint="eastAsia" w:ascii="宋体" w:hAnsi="宋体" w:cs="宋体"/>
          <w:b/>
          <w:bCs/>
          <w:sz w:val="28"/>
          <w:szCs w:val="28"/>
          <w:lang w:val="en-US" w:eastAsia="zh-CN"/>
        </w:rPr>
        <w:t>15000</w:t>
      </w:r>
      <w:r>
        <w:rPr>
          <w:rFonts w:hint="eastAsia" w:ascii="宋体" w:hAnsi="宋体" w:eastAsia="宋体" w:cs="宋体"/>
          <w:sz w:val="28"/>
          <w:szCs w:val="28"/>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第三产业现代服务业，投资估算约为人民币</w:t>
      </w:r>
      <w:r>
        <w:rPr>
          <w:rFonts w:hint="eastAsia" w:ascii="宋体" w:hAnsi="宋体" w:cs="宋体"/>
          <w:b/>
          <w:bCs/>
          <w:sz w:val="28"/>
          <w:szCs w:val="28"/>
          <w:lang w:val="en-US" w:eastAsia="zh-CN"/>
        </w:rPr>
        <w:t>28800</w:t>
      </w:r>
      <w:r>
        <w:rPr>
          <w:rFonts w:hint="eastAsia" w:ascii="宋体" w:hAnsi="宋体" w:eastAsia="宋体" w:cs="宋体"/>
          <w:sz w:val="28"/>
          <w:szCs w:val="28"/>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lang w:val="en-US" w:eastAsia="zh-CN"/>
        </w:rPr>
      </w:pPr>
      <w:bookmarkStart w:id="604" w:name="_Toc9138"/>
      <w:bookmarkStart w:id="605" w:name="_Toc29166"/>
      <w:r>
        <w:rPr>
          <w:rFonts w:hint="eastAsia" w:ascii="宋体" w:hAnsi="宋体" w:eastAsia="宋体" w:cs="宋体"/>
          <w:sz w:val="28"/>
          <w:szCs w:val="28"/>
          <w:lang w:val="en-US" w:eastAsia="zh-CN"/>
        </w:rPr>
        <w:t>3）</w:t>
      </w:r>
      <w:r>
        <w:rPr>
          <w:rFonts w:hint="eastAsia" w:ascii="宋体" w:hAnsi="宋体" w:eastAsia="宋体" w:cs="宋体"/>
          <w:b/>
          <w:bCs/>
          <w:sz w:val="28"/>
          <w:szCs w:val="28"/>
          <w:lang w:val="en-US" w:eastAsia="zh-CN"/>
        </w:rPr>
        <w:t>社会发展类（教育、医疗等）</w:t>
      </w:r>
      <w:r>
        <w:rPr>
          <w:rFonts w:hint="eastAsia" w:ascii="宋体" w:hAnsi="宋体" w:eastAsia="宋体" w:cs="宋体"/>
          <w:sz w:val="28"/>
          <w:szCs w:val="28"/>
          <w:lang w:val="en-US" w:eastAsia="zh-CN"/>
        </w:rPr>
        <w:t>，投资估算约为人民币</w:t>
      </w:r>
      <w:r>
        <w:rPr>
          <w:rFonts w:hint="eastAsia" w:ascii="宋体" w:hAnsi="宋体" w:eastAsia="宋体" w:cs="宋体"/>
          <w:b/>
          <w:bCs/>
          <w:sz w:val="28"/>
          <w:szCs w:val="28"/>
          <w:lang w:val="en-US" w:eastAsia="zh-CN"/>
        </w:rPr>
        <w:t>6</w:t>
      </w:r>
      <w:r>
        <w:rPr>
          <w:rFonts w:hint="eastAsia" w:ascii="宋体" w:hAnsi="宋体" w:cs="宋体"/>
          <w:b/>
          <w:bCs/>
          <w:sz w:val="28"/>
          <w:szCs w:val="28"/>
          <w:lang w:val="en-US" w:eastAsia="zh-CN"/>
        </w:rPr>
        <w:t>6300</w:t>
      </w:r>
      <w:r>
        <w:rPr>
          <w:rFonts w:hint="eastAsia" w:ascii="宋体" w:hAnsi="宋体" w:eastAsia="宋体" w:cs="宋体"/>
          <w:sz w:val="28"/>
          <w:szCs w:val="28"/>
          <w:lang w:val="en-US" w:eastAsia="zh-CN"/>
        </w:rPr>
        <w:t>万元；</w:t>
      </w:r>
      <w:bookmarkEnd w:id="604"/>
      <w:bookmarkEnd w:id="605"/>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lang w:val="en-US" w:eastAsia="zh-CN"/>
        </w:rPr>
      </w:pPr>
      <w:bookmarkStart w:id="606" w:name="_Toc24200"/>
      <w:bookmarkStart w:id="607" w:name="_Toc18930"/>
      <w:r>
        <w:rPr>
          <w:rFonts w:hint="eastAsia" w:ascii="宋体" w:hAnsi="宋体" w:eastAsia="宋体" w:cs="宋体"/>
          <w:sz w:val="28"/>
          <w:szCs w:val="28"/>
          <w:lang w:val="en-US" w:eastAsia="zh-CN"/>
        </w:rPr>
        <w:t>4）</w:t>
      </w:r>
      <w:r>
        <w:rPr>
          <w:rFonts w:hint="eastAsia" w:ascii="宋体" w:hAnsi="宋体" w:eastAsia="宋体" w:cs="宋体"/>
          <w:b/>
          <w:bCs/>
          <w:sz w:val="28"/>
          <w:szCs w:val="28"/>
          <w:lang w:val="en-US" w:eastAsia="zh-CN"/>
        </w:rPr>
        <w:t>社会综合治理类</w:t>
      </w:r>
      <w:r>
        <w:rPr>
          <w:rFonts w:hint="eastAsia" w:ascii="宋体" w:hAnsi="宋体" w:eastAsia="宋体" w:cs="宋体"/>
          <w:sz w:val="28"/>
          <w:szCs w:val="28"/>
          <w:lang w:val="en-US" w:eastAsia="zh-CN"/>
        </w:rPr>
        <w:t>，投资估算约为人民币</w:t>
      </w:r>
      <w:r>
        <w:rPr>
          <w:rFonts w:hint="eastAsia" w:ascii="宋体" w:hAnsi="宋体" w:cs="宋体"/>
          <w:b/>
          <w:bCs/>
          <w:sz w:val="28"/>
          <w:szCs w:val="28"/>
          <w:lang w:val="en-US" w:eastAsia="zh-CN"/>
        </w:rPr>
        <w:t>9000</w:t>
      </w:r>
      <w:r>
        <w:rPr>
          <w:rFonts w:hint="eastAsia" w:ascii="宋体" w:hAnsi="宋体" w:eastAsia="宋体" w:cs="宋体"/>
          <w:sz w:val="28"/>
          <w:szCs w:val="28"/>
          <w:lang w:val="en-US" w:eastAsia="zh-CN"/>
        </w:rPr>
        <w:t>万元；</w:t>
      </w:r>
      <w:bookmarkEnd w:id="606"/>
      <w:bookmarkEnd w:id="607"/>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lang w:val="en-US" w:eastAsia="zh-CN"/>
        </w:rPr>
      </w:pPr>
      <w:bookmarkStart w:id="608" w:name="_Toc20156"/>
      <w:bookmarkStart w:id="609" w:name="_Toc15145"/>
      <w:r>
        <w:rPr>
          <w:rFonts w:hint="eastAsia" w:ascii="宋体" w:hAnsi="宋体" w:eastAsia="宋体" w:cs="宋体"/>
          <w:sz w:val="28"/>
          <w:szCs w:val="28"/>
          <w:lang w:val="en-US" w:eastAsia="zh-CN"/>
        </w:rPr>
        <w:t>5）</w:t>
      </w:r>
      <w:r>
        <w:rPr>
          <w:rFonts w:hint="eastAsia" w:ascii="宋体" w:hAnsi="宋体" w:eastAsia="宋体" w:cs="宋体"/>
          <w:b/>
          <w:bCs/>
          <w:sz w:val="28"/>
          <w:szCs w:val="28"/>
          <w:lang w:val="en-US" w:eastAsia="zh-CN"/>
        </w:rPr>
        <w:t>生态资源数字应用类</w:t>
      </w:r>
      <w:r>
        <w:rPr>
          <w:rFonts w:hint="eastAsia" w:ascii="宋体" w:hAnsi="宋体" w:eastAsia="宋体" w:cs="宋体"/>
          <w:sz w:val="28"/>
          <w:szCs w:val="28"/>
          <w:lang w:val="en-US" w:eastAsia="zh-CN"/>
        </w:rPr>
        <w:t>，投资估算约为人民币</w:t>
      </w:r>
      <w:r>
        <w:rPr>
          <w:rFonts w:hint="eastAsia" w:ascii="宋体" w:hAnsi="宋体" w:cs="宋体"/>
          <w:b/>
          <w:bCs/>
          <w:sz w:val="28"/>
          <w:szCs w:val="28"/>
          <w:lang w:val="en-US" w:eastAsia="zh-CN"/>
        </w:rPr>
        <w:t>5200</w:t>
      </w:r>
      <w:r>
        <w:rPr>
          <w:rFonts w:hint="eastAsia" w:ascii="宋体" w:hAnsi="宋体" w:eastAsia="宋体" w:cs="宋体"/>
          <w:sz w:val="28"/>
          <w:szCs w:val="28"/>
          <w:lang w:val="en-US" w:eastAsia="zh-CN"/>
        </w:rPr>
        <w:t>万元；</w:t>
      </w:r>
      <w:bookmarkEnd w:id="608"/>
      <w:bookmarkEnd w:id="609"/>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sectPr>
          <w:footerReference r:id="rId11" w:type="first"/>
          <w:footerReference r:id="rId10" w:type="default"/>
          <w:pgSz w:w="11900" w:h="16840"/>
          <w:pgMar w:top="1440" w:right="1134" w:bottom="1440"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sz w:val="28"/>
          <w:szCs w:val="28"/>
          <w:lang w:val="en-US" w:eastAsia="zh-CN"/>
        </w:rPr>
        <w:t>“十四五”期间，紫阳县数字经济总投资人民币</w:t>
      </w:r>
      <w:r>
        <w:rPr>
          <w:rFonts w:hint="eastAsia" w:ascii="宋体" w:hAnsi="宋体" w:eastAsia="宋体" w:cs="宋体"/>
          <w:b/>
          <w:bCs/>
          <w:sz w:val="28"/>
          <w:szCs w:val="28"/>
          <w:lang w:val="en-US" w:eastAsia="zh-CN"/>
        </w:rPr>
        <w:t>204300</w:t>
      </w:r>
      <w:r>
        <w:rPr>
          <w:rFonts w:hint="eastAsia" w:ascii="宋体" w:hAnsi="宋体" w:eastAsia="宋体" w:cs="宋体"/>
          <w:sz w:val="28"/>
          <w:szCs w:val="28"/>
          <w:lang w:val="en-US" w:eastAsia="zh-CN"/>
        </w:rPr>
        <w:t>万元，年均投资人民币</w:t>
      </w:r>
      <w:r>
        <w:rPr>
          <w:rFonts w:hint="eastAsia" w:ascii="宋体" w:hAnsi="宋体" w:eastAsia="宋体" w:cs="宋体"/>
          <w:b/>
          <w:bCs/>
          <w:sz w:val="28"/>
          <w:szCs w:val="28"/>
          <w:lang w:val="en-US" w:eastAsia="zh-CN"/>
        </w:rPr>
        <w:t>40860</w:t>
      </w:r>
      <w:r>
        <w:rPr>
          <w:rFonts w:hint="eastAsia" w:ascii="宋体" w:hAnsi="宋体" w:eastAsia="宋体" w:cs="宋体"/>
          <w:sz w:val="28"/>
          <w:szCs w:val="28"/>
          <w:lang w:val="en-US" w:eastAsia="zh-CN"/>
        </w:rPr>
        <w:t>万元。</w:t>
      </w:r>
    </w:p>
    <w:p>
      <w:pPr>
        <w:pStyle w:val="4"/>
        <w:bidi w:val="0"/>
        <w:jc w:val="center"/>
        <w:rPr>
          <w:rFonts w:hint="eastAsia" w:ascii="黑体" w:hAnsi="黑体" w:eastAsia="黑体" w:cs="黑体"/>
          <w:sz w:val="30"/>
          <w:szCs w:val="30"/>
          <w:lang w:val="en-US" w:eastAsia="zh-CN"/>
        </w:rPr>
      </w:pPr>
      <w:bookmarkStart w:id="610" w:name="_Toc14789"/>
      <w:bookmarkStart w:id="611" w:name="_Toc11925"/>
      <w:bookmarkStart w:id="612" w:name="_Toc4464"/>
      <w:bookmarkStart w:id="613" w:name="_Toc29889"/>
      <w:bookmarkStart w:id="614" w:name="_Toc22051"/>
      <w:bookmarkStart w:id="615" w:name="_Toc24267"/>
      <w:bookmarkStart w:id="616" w:name="_Toc16682"/>
      <w:bookmarkStart w:id="617" w:name="_Toc26908"/>
      <w:bookmarkStart w:id="618" w:name="_Toc6715"/>
      <w:bookmarkStart w:id="619" w:name="_Toc28135"/>
      <w:bookmarkStart w:id="620" w:name="_Toc4256"/>
      <w:bookmarkStart w:id="621" w:name="_Toc1267"/>
      <w:r>
        <w:rPr>
          <w:rFonts w:hint="eastAsia" w:ascii="黑体" w:hAnsi="黑体" w:eastAsia="黑体" w:cs="黑体"/>
          <w:sz w:val="30"/>
          <w:szCs w:val="30"/>
          <w:lang w:val="en-US" w:eastAsia="zh-CN"/>
        </w:rPr>
        <w:t>附录</w:t>
      </w:r>
      <w:bookmarkEnd w:id="610"/>
      <w:bookmarkEnd w:id="611"/>
      <w:bookmarkEnd w:id="612"/>
      <w:bookmarkEnd w:id="613"/>
      <w:bookmarkEnd w:id="614"/>
      <w:bookmarkEnd w:id="615"/>
      <w:bookmarkEnd w:id="616"/>
      <w:bookmarkEnd w:id="617"/>
      <w:bookmarkEnd w:id="618"/>
      <w:bookmarkEnd w:id="619"/>
      <w:bookmarkEnd w:id="620"/>
    </w:p>
    <w:p>
      <w:pPr>
        <w:pStyle w:val="4"/>
        <w:numPr>
          <w:ilvl w:val="0"/>
          <w:numId w:val="2"/>
        </w:numPr>
        <w:bidi w:val="0"/>
        <w:outlineLvl w:val="0"/>
        <w:rPr>
          <w:rFonts w:hint="eastAsia" w:ascii="黑体" w:hAnsi="黑体" w:eastAsia="黑体" w:cs="黑体"/>
          <w:szCs w:val="30"/>
          <w:lang w:val="en-US" w:eastAsia="zh-CN"/>
        </w:rPr>
      </w:pPr>
      <w:bookmarkStart w:id="622" w:name="_Toc24695"/>
      <w:bookmarkStart w:id="623" w:name="_Toc32674"/>
      <w:bookmarkStart w:id="624" w:name="_Toc30074"/>
      <w:bookmarkStart w:id="625" w:name="_Toc6185"/>
      <w:bookmarkStart w:id="626" w:name="_Toc18438"/>
      <w:bookmarkStart w:id="627" w:name="_Toc6290"/>
      <w:bookmarkStart w:id="628" w:name="_Toc15104"/>
      <w:bookmarkStart w:id="629" w:name="_Toc921"/>
      <w:bookmarkStart w:id="630" w:name="_Toc25325"/>
      <w:r>
        <w:rPr>
          <w:rFonts w:hint="eastAsia" w:ascii="黑体" w:hAnsi="黑体" w:cs="黑体"/>
          <w:sz w:val="30"/>
          <w:szCs w:val="30"/>
          <w:lang w:val="en-US" w:eastAsia="zh-CN"/>
        </w:rPr>
        <w:t xml:space="preserve">  </w:t>
      </w:r>
      <w:bookmarkStart w:id="631" w:name="_Toc28431"/>
      <w:r>
        <w:rPr>
          <w:rFonts w:hint="eastAsia" w:ascii="黑体" w:hAnsi="黑体" w:eastAsia="黑体" w:cs="黑体"/>
          <w:sz w:val="30"/>
          <w:szCs w:val="30"/>
          <w:lang w:val="en-US" w:eastAsia="zh-CN"/>
        </w:rPr>
        <w:t>名词解释</w:t>
      </w:r>
      <w:bookmarkEnd w:id="622"/>
      <w:bookmarkEnd w:id="623"/>
      <w:bookmarkEnd w:id="624"/>
      <w:bookmarkEnd w:id="625"/>
      <w:bookmarkEnd w:id="626"/>
      <w:bookmarkEnd w:id="627"/>
      <w:bookmarkEnd w:id="628"/>
      <w:bookmarkEnd w:id="629"/>
      <w:bookmarkEnd w:id="630"/>
      <w:bookmarkEnd w:id="631"/>
    </w:p>
    <w:p>
      <w:pPr>
        <w:spacing w:before="312" w:beforeLines="100" w:after="312" w:afterLines="100" w:line="400" w:lineRule="exact"/>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①</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国民经济行业分类（GB/T 4754-2011）</w:t>
      </w:r>
      <w:r>
        <w:rPr>
          <w:rFonts w:hint="eastAsia" w:ascii="宋体" w:hAnsi="宋体" w:eastAsia="宋体" w:cs="宋体"/>
          <w:sz w:val="28"/>
          <w:szCs w:val="28"/>
          <w:lang w:eastAsia="zh-CN"/>
        </w:rPr>
        <w:t>：</w:t>
      </w:r>
    </w:p>
    <w:p>
      <w:pPr>
        <w:keepNext w:val="0"/>
        <w:keepLines w:val="0"/>
        <w:pageBreakBefore w:val="0"/>
        <w:widowControl/>
        <w:wordWrap/>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用途：</w:t>
      </w:r>
      <w:r>
        <w:rPr>
          <w:rFonts w:hint="eastAsia" w:ascii="宋体" w:hAnsi="宋体" w:eastAsia="宋体" w:cs="宋体"/>
          <w:sz w:val="24"/>
          <w:szCs w:val="24"/>
        </w:rPr>
        <w:t>本标准规定了全社会经济活动的分类与代码。本标准适用于在统计、计划、财政</w:t>
      </w:r>
      <w:r>
        <w:rPr>
          <w:rFonts w:hint="eastAsia" w:ascii="宋体" w:hAnsi="宋体" w:eastAsia="宋体" w:cs="宋体"/>
          <w:sz w:val="24"/>
          <w:szCs w:val="24"/>
          <w:lang w:eastAsia="zh-CN"/>
        </w:rPr>
        <w:t>、</w:t>
      </w:r>
      <w:r>
        <w:rPr>
          <w:rFonts w:hint="eastAsia" w:ascii="宋体" w:hAnsi="宋体" w:eastAsia="宋体" w:cs="宋体"/>
          <w:sz w:val="24"/>
          <w:szCs w:val="24"/>
        </w:rPr>
        <w:t>税收、工商等国家宏观管理中，对经济活动的分类，并用于信息处理和信息交换。</w:t>
      </w:r>
    </w:p>
    <w:p>
      <w:pPr>
        <w:keepNext w:val="0"/>
        <w:keepLines w:val="0"/>
        <w:pageBreakBefore w:val="0"/>
        <w:widowControl/>
        <w:wordWrap/>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编码方法和代码结构</w:t>
      </w:r>
      <w:r>
        <w:rPr>
          <w:rFonts w:hint="eastAsia" w:ascii="宋体" w:hAnsi="宋体" w:eastAsia="宋体" w:cs="宋体"/>
          <w:sz w:val="24"/>
          <w:szCs w:val="24"/>
          <w:lang w:eastAsia="zh-CN"/>
        </w:rPr>
        <w:t>：</w:t>
      </w:r>
    </w:p>
    <w:p>
      <w:pPr>
        <w:keepNext w:val="0"/>
        <w:keepLines w:val="0"/>
        <w:pageBreakBefore w:val="0"/>
        <w:widowControl/>
        <w:wordWrap/>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本标准采用线分类法和分层次编码方法，将国民经济行业划分为门类、大类、中类和小类四级。</w:t>
      </w:r>
    </w:p>
    <w:p>
      <w:pPr>
        <w:keepNext w:val="0"/>
        <w:keepLines w:val="0"/>
        <w:pageBreakBefore w:val="0"/>
        <w:widowControl/>
        <w:wordWrap/>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码由一位拉丁字母和四位阿拉伯数字组成。门类代码用一位拉丁字母表示，即用字母A、B、C……依次代表不同门类；大类代码用两位阿拉伯数字表示，打破门类界限，从01开始按顺序编码；中类代码用三位阿拉伯数字表示，前两位为大类代码，第三位为中类顺序代码；小类代码用四位阿拉伯数字表示，前三位为中类代码，第四位为小类顺序代码。</w:t>
      </w:r>
    </w:p>
    <w:p>
      <w:pPr>
        <w:keepNext w:val="0"/>
        <w:keepLines w:val="0"/>
        <w:pageBreakBefore w:val="0"/>
        <w:widowControl/>
        <w:wordWrap/>
        <w:topLinePunct w:val="0"/>
        <w:bidi w:val="0"/>
        <w:adjustRightInd/>
        <w:snapToGrid/>
        <w:spacing w:line="240" w:lineRule="auto"/>
        <w:ind w:firstLine="480"/>
        <w:textAlignment w:val="auto"/>
        <w:rPr>
          <w:rFonts w:hint="eastAsia"/>
        </w:rPr>
      </w:pPr>
      <w:r>
        <w:rPr>
          <w:rFonts w:hint="eastAsia" w:ascii="宋体" w:hAnsi="宋体" w:eastAsia="宋体" w:cs="宋体"/>
          <w:sz w:val="24"/>
          <w:szCs w:val="24"/>
        </w:rPr>
        <w:t>本标准的代码结构图如下：</w:t>
      </w:r>
    </w:p>
    <w:p>
      <w:pPr>
        <w:spacing w:line="380" w:lineRule="exac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  × </w:t>
      </w:r>
      <w:r>
        <w:rPr>
          <w:rFonts w:ascii="宋体" w:hAnsi="宋体"/>
          <w:sz w:val="24"/>
        </w:rPr>
        <w:t xml:space="preserve"> </w:t>
      </w:r>
      <w:r>
        <w:rPr>
          <w:rFonts w:hint="eastAsia" w:ascii="宋体" w:hAnsi="宋体"/>
          <w:sz w:val="24"/>
        </w:rPr>
        <w:t xml:space="preserve"> ×</w:t>
      </w:r>
    </w:p>
    <w:p>
      <w:pPr>
        <w:spacing w:line="380" w:lineRule="exact"/>
        <w:rPr>
          <w:sz w:val="24"/>
        </w:rPr>
      </w:pPr>
      <w:r>
        <w:rPr>
          <w:sz w:val="24"/>
        </w:rPr>
        <mc:AlternateContent>
          <mc:Choice Requires="wpg">
            <w:drawing>
              <wp:anchor distT="0" distB="0" distL="114300" distR="114300" simplePos="0" relativeHeight="251683840" behindDoc="0" locked="0" layoutInCell="1" allowOverlap="1">
                <wp:simplePos x="0" y="0"/>
                <wp:positionH relativeFrom="column">
                  <wp:posOffset>571500</wp:posOffset>
                </wp:positionH>
                <wp:positionV relativeFrom="paragraph">
                  <wp:posOffset>5080</wp:posOffset>
                </wp:positionV>
                <wp:extent cx="1863725" cy="1836420"/>
                <wp:effectExtent l="4445" t="0" r="17780" b="11430"/>
                <wp:wrapNone/>
                <wp:docPr id="37" name="组合 37"/>
                <wp:cNvGraphicFramePr/>
                <a:graphic xmlns:a="http://schemas.openxmlformats.org/drawingml/2006/main">
                  <a:graphicData uri="http://schemas.microsoft.com/office/word/2010/wordprocessingGroup">
                    <wpg:wgp>
                      <wpg:cNvGrpSpPr/>
                      <wpg:grpSpPr>
                        <a:xfrm>
                          <a:off x="0" y="0"/>
                          <a:ext cx="1863725" cy="1836420"/>
                          <a:chOff x="8604" y="29492"/>
                          <a:chExt cx="2935" cy="2892"/>
                        </a:xfrm>
                      </wpg:grpSpPr>
                      <wps:wsp>
                        <wps:cNvPr id="30" name="直接连接符 30"/>
                        <wps:cNvCnPr/>
                        <wps:spPr>
                          <a:xfrm>
                            <a:off x="10764" y="29500"/>
                            <a:ext cx="1" cy="60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10224" y="29492"/>
                            <a:ext cx="1" cy="1382"/>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a:off x="9474" y="29498"/>
                            <a:ext cx="1" cy="2104"/>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H="1">
                            <a:off x="8604" y="29492"/>
                            <a:ext cx="1" cy="2892"/>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10224" y="30874"/>
                            <a:ext cx="1315" cy="0"/>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9489" y="31596"/>
                            <a:ext cx="2050" cy="0"/>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8604" y="32384"/>
                            <a:ext cx="2935"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5pt;margin-top:0.4pt;height:144.6pt;width:146.75pt;z-index:251683840;mso-width-relative:page;mso-height-relative:page;" coordorigin="8604,29492" coordsize="2935,2892" o:gfxdata="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CUiMNV1gAAAAcBAAAPAAAAAAAAAAEAIAAAACIAAABkcnMvZG93bnJldi54bWxQSwEC&#10;FAAUAAAACACHTuJARDAFN0wDAACGEQAADgAAAAAAAAABACAAAAAlAQAAZHJzL2Uyb0RvYy54bWxQ&#10;SwUGAAAAAAYABgBZAQAA4wYAAAAA&#10;">
                <o:lock v:ext="edit" aspectratio="f"/>
                <v:line id="_x0000_s1026" o:spid="_x0000_s1026" o:spt="20" style="position:absolute;left:10764;top:29500;height:606;width: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0224;top:29492;height:1382;width: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474;top:29498;height:2104;width: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604;top:29492;flip:x;height:2892;width:1;"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224;top:30874;flip:y;height:0;width:1315;"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489;top:31596;flip:y;height:0;width:205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604;top:32384;height:0;width:2935;"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sz w:val="24"/>
        </w:rPr>
        <mc:AlternateContent>
          <mc:Choice Requires="wps">
            <w:drawing>
              <wp:anchor distT="0" distB="0" distL="114300" distR="114300" simplePos="0" relativeHeight="251682816" behindDoc="0" locked="0" layoutInCell="0" allowOverlap="1">
                <wp:simplePos x="0" y="0"/>
                <wp:positionH relativeFrom="column">
                  <wp:posOffset>930910</wp:posOffset>
                </wp:positionH>
                <wp:positionV relativeFrom="paragraph">
                  <wp:posOffset>10795</wp:posOffset>
                </wp:positionV>
                <wp:extent cx="40195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401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3pt;margin-top:0.85pt;height:0pt;width:31.65pt;z-index:251682816;mso-width-relative:page;mso-height-relative:page;" filled="f" stroked="t" coordsize="21600,21600" o:allowincell="f" o:gfxdata="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HtV3TAAAABwEAAA8AAAAAAAAAAQAgAAAAIgAAAGRycy9kb3ducmV2LnhtbFBLAQIUABQA&#10;AAAIAIdO4kDpjEZk9QEAAOUDAAAOAAAAAAAAAAEAIAAAACIBAABkcnMvZTJvRG9jLnhtbFBLBQYA&#10;AAAABgAGAFkBAACJ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0" allowOverlap="1">
                <wp:simplePos x="0" y="0"/>
                <wp:positionH relativeFrom="column">
                  <wp:posOffset>1828800</wp:posOffset>
                </wp:positionH>
                <wp:positionV relativeFrom="paragraph">
                  <wp:posOffset>5080</wp:posOffset>
                </wp:positionV>
                <wp:extent cx="2286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0.4pt;height:0pt;width:18pt;z-index:251676672;mso-width-relative:page;mso-height-relative:page;" filled="f" stroked="t" coordsize="21600,21600" o:allowincell="f" o:gfxdata="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bFpX0gAAAAUBAAAPAAAAAAAAAAEAIAAAACIAAABkcnMvZG93bnJldi54bWxQSwECFAAUAAAA&#10;CACHTuJAzjBkWfQBAADlAwAADgAAAAAAAAABACAAAAAh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0" allowOverlap="1">
                <wp:simplePos x="0" y="0"/>
                <wp:positionH relativeFrom="column">
                  <wp:posOffset>1485900</wp:posOffset>
                </wp:positionH>
                <wp:positionV relativeFrom="paragraph">
                  <wp:posOffset>5080</wp:posOffset>
                </wp:positionV>
                <wp:extent cx="22860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0.4pt;height:0pt;width:18pt;z-index:251675648;mso-width-relative:page;mso-height-relative:page;" filled="f" stroked="t" coordsize="21600,21600" o:allowincell="f" o:gfxdata="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a0nnTAAAABQEAAA8AAAAAAAAAAQAgAAAAIgAAAGRycy9kb3ducmV2LnhtbFBLAQIUABQA&#10;AAAIAIdO4kAPm98w9QEAAOUDAAAOAAAAAAAAAAEAIAAAACIBAABkcnMvZTJvRG9jLnhtbFBLBQYA&#10;AAAABgAGAFkBAACJ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0" allowOverlap="1">
                <wp:simplePos x="0" y="0"/>
                <wp:positionH relativeFrom="column">
                  <wp:posOffset>1600200</wp:posOffset>
                </wp:positionH>
                <wp:positionV relativeFrom="paragraph">
                  <wp:posOffset>5080</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0.4pt;height:0pt;width:0.05pt;z-index:251674624;mso-width-relative:page;mso-height-relative:page;" filled="f" stroked="t" coordsize="21600,21600" o:allowincell="f" o:gfxdata="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iJ550gAAAAUBAAAPAAAAAAAAAAEAIAAAACIAAABkcnMvZG93bnJldi54bWxQSwECFAAUAAAACACH&#10;TuJAVxb9d/EBAADiAwAADgAAAAAAAAABACAAAAAhAQAAZHJzL2Uyb0RvYy54bWxQSwUGAAAAAAYA&#10;BgBZAQAAh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2576" behindDoc="0" locked="0" layoutInCell="0" allowOverlap="1">
                <wp:simplePos x="0" y="0"/>
                <wp:positionH relativeFrom="column">
                  <wp:posOffset>457200</wp:posOffset>
                </wp:positionH>
                <wp:positionV relativeFrom="paragraph">
                  <wp:posOffset>5080</wp:posOffset>
                </wp:positionV>
                <wp:extent cx="2286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0.4pt;height:0pt;width:18pt;z-index:251672576;mso-width-relative:page;mso-height-relative:page;" filled="f" stroked="t" coordsize="21600,21600" o:allowincell="f" o:gfxdata="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LFLH0QAAAAQBAAAPAAAAAAAAAAEAIAAAACIAAABkcnMvZG93bnJldi54bWxQSwECFAAUAAAA&#10;CACHTuJAsQBop/UBAADlAwAADgAAAAAAAAABACAAAAAg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1552" behindDoc="0" locked="0" layoutInCell="0" allowOverlap="1">
                <wp:simplePos x="0" y="0"/>
                <wp:positionH relativeFrom="column">
                  <wp:posOffset>457200</wp:posOffset>
                </wp:positionH>
                <wp:positionV relativeFrom="paragraph">
                  <wp:posOffset>5080</wp:posOffset>
                </wp:positionV>
                <wp:extent cx="63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0.4pt;height:0pt;width:0.05pt;z-index:251671552;mso-width-relative:page;mso-height-relative:page;" filled="f" stroked="t" coordsize="21600,21600" o:allowincell="f" o:gfxdata="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LjX00QAAAAMBAAAPAAAAAAAAAAEAIAAAACIAAABkcnMvZG93bnJldi54bWxQSwECFAAUAAAACACH&#10;TuJAZxKPjPIBAADiAwAADgAAAAAAAAABACAAAAAgAQAAZHJzL2Uyb0RvYy54bWxQSwUGAAAAAAYA&#10;BgBZAQAAh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0528" behindDoc="0" locked="0" layoutInCell="0" allowOverlap="1">
                <wp:simplePos x="0" y="0"/>
                <wp:positionH relativeFrom="column">
                  <wp:posOffset>1028700</wp:posOffset>
                </wp:positionH>
                <wp:positionV relativeFrom="paragraph">
                  <wp:posOffset>5080</wp:posOffset>
                </wp:positionV>
                <wp:extent cx="63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4pt;height:0pt;width:0.05pt;z-index:251670528;mso-width-relative:page;mso-height-relative:page;" filled="f" stroked="t" coordsize="21600,21600" o:allowincell="f" o:gfxdata="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Mts50QAAAAUBAAAPAAAAAAAAAAEAIAAAACIAAABkcnMvZG93bnJldi54bWxQSwECFAAUAAAACACH&#10;TuJAzMMka/IBAADiAwAADgAAAAAAAAABACAAAAAgAQAAZHJzL2Uyb0RvYy54bWxQSwUGAAAAAAYA&#10;BgBZAQAAh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9504" behindDoc="0" locked="0" layoutInCell="0" allowOverlap="1">
                <wp:simplePos x="0" y="0"/>
                <wp:positionH relativeFrom="column">
                  <wp:posOffset>1028700</wp:posOffset>
                </wp:positionH>
                <wp:positionV relativeFrom="paragraph">
                  <wp:posOffset>5080</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4pt;height:0pt;width:0.05pt;z-index:251669504;mso-width-relative:page;mso-height-relative:page;" filled="f" stroked="t" coordsize="21600,21600" o:allowincell="f" o:gfxdata="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Mts50QAAAAUBAAAPAAAAAAAAAAEAIAAAACIAAABkcnMvZG93bnJldi54bWxQSwECFAAUAAAACACH&#10;TuJA/MdWkPIBAADiAwAADgAAAAAAAAABACAAAAAgAQAAZHJzL2Uyb0RvYy54bWxQSwUGAAAAAAYA&#10;BgBZAQAAh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0" allowOverlap="1">
                <wp:simplePos x="0" y="0"/>
                <wp:positionH relativeFrom="column">
                  <wp:posOffset>1028700</wp:posOffset>
                </wp:positionH>
                <wp:positionV relativeFrom="paragraph">
                  <wp:posOffset>5080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4pt;height:0pt;width:0.05pt;z-index:251668480;mso-width-relative:page;mso-height-relative:page;" filled="f" stroked="t" coordsize="21600,21600" o:allowincell="f" o:gfxdata="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Mts50QAAAAUBAAAPAAAAAAAAAAEAIAAAACIAAABkcnMvZG93bnJldi54bWxQSwECFAAUAAAACACH&#10;TuJAG+29UPIBAADiAwAADgAAAAAAAAABACAAAAAgAQAAZHJzL2Uyb0RvYy54bWxQSwUGAAAAAAYA&#10;BgBZAQAAh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4384" behindDoc="0" locked="0" layoutInCell="0" allowOverlap="1">
                <wp:simplePos x="0" y="0"/>
                <wp:positionH relativeFrom="column">
                  <wp:posOffset>571500</wp:posOffset>
                </wp:positionH>
                <wp:positionV relativeFrom="paragraph">
                  <wp:posOffset>22860</wp:posOffset>
                </wp:positionV>
                <wp:extent cx="63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8pt;height:0pt;width:0.05pt;z-index:251664384;mso-width-relative:page;mso-height-relative:page;" filled="f" stroked="t" coordsize="21600,21600" o:allowincell="f" o:gfxdata="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XgFn7TAAAABQEAAA8AAAAAAAAAAQAgAAAAIgAAAGRycy9kb3ducmV2LnhtbFBLAQIUABQAAAAI&#10;AIdO4kAr6c+r8gEAAOIDAAAOAAAAAAAAAAEAIAAAACIBAABkcnMvZTJvRG9jLnhtbFBLBQYAAAAA&#10;BgAGAFkBAACG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3360" behindDoc="0" locked="0" layoutInCell="0" allowOverlap="1">
                <wp:simplePos x="0" y="0"/>
                <wp:positionH relativeFrom="column">
                  <wp:posOffset>571500</wp:posOffset>
                </wp:positionH>
                <wp:positionV relativeFrom="paragraph">
                  <wp:posOffset>22860</wp:posOffset>
                </wp:positionV>
                <wp:extent cx="63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8pt;height:0pt;width:0.05pt;z-index:251663360;mso-width-relative:page;mso-height-relative:page;" filled="f" stroked="t" coordsize="21600,21600" o:allowincell="f" o:gfxdata="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XgFn7TAAAABQEAAA8AAAAAAAAAAQAgAAAAIgAAAGRycy9kb3ducmV2LnhtbFBLAQIUABQAAAAI&#10;AIdO4kDjKts68gEAAOIDAAAOAAAAAAAAAAEAIAAAACIBAABkcnMvZTJvRG9jLnhtbFBLBQYAAAAA&#10;BgAGAFkBAACG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0" allowOverlap="1">
                <wp:simplePos x="0" y="0"/>
                <wp:positionH relativeFrom="column">
                  <wp:posOffset>571500</wp:posOffset>
                </wp:positionH>
                <wp:positionV relativeFrom="paragraph">
                  <wp:posOffset>22860</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8pt;height:0pt;width:0.05pt;z-index:251662336;mso-width-relative:page;mso-height-relative:page;" filled="f" stroked="t" coordsize="21600,21600" o:allowincell="f" o:gfxdata="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XgFn7TAAAABQEAAA8AAAAAAAAAAQAgAAAAIgAAAGRycy9kb3ducmV2LnhtbFBLAQIUABQAAAAI&#10;AIdO4kA0BEIB8gEAAOIDAAAOAAAAAAAAAAEAIAAAACIBAABkcnMvZTJvRG9jLnhtbFBLBQYAAAAA&#10;BgAGAFkBAACGBQAAAAA=&#10;">
                <v:fill on="f" focussize="0,0"/>
                <v:stroke color="#000000" joinstyle="round"/>
                <v:imagedata o:title=""/>
                <o:lock v:ext="edit" aspectratio="f"/>
              </v:line>
            </w:pict>
          </mc:Fallback>
        </mc:AlternateContent>
      </w:r>
      <w:r>
        <w:rPr>
          <w:sz w:val="24"/>
        </w:rPr>
        <w:t xml:space="preserve">                        </w:t>
      </w:r>
    </w:p>
    <w:p>
      <w:pPr>
        <w:spacing w:line="380" w:lineRule="exact"/>
        <w:rPr>
          <w:rFonts w:hint="eastAsia"/>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4596765</wp:posOffset>
                </wp:positionH>
                <wp:positionV relativeFrom="paragraph">
                  <wp:posOffset>59690</wp:posOffset>
                </wp:positionV>
                <wp:extent cx="635" cy="842010"/>
                <wp:effectExtent l="4445" t="0" r="13970" b="15240"/>
                <wp:wrapNone/>
                <wp:docPr id="26" name="直接连接符 26"/>
                <wp:cNvGraphicFramePr/>
                <a:graphic xmlns:a="http://schemas.openxmlformats.org/drawingml/2006/main">
                  <a:graphicData uri="http://schemas.microsoft.com/office/word/2010/wordprocessingShape">
                    <wps:wsp>
                      <wps:cNvCnPr/>
                      <wps:spPr>
                        <a:xfrm>
                          <a:off x="0" y="0"/>
                          <a:ext cx="635" cy="842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1.95pt;margin-top:4.7pt;height:66.3pt;width:0.05pt;z-index:251677696;mso-width-relative:page;mso-height-relative:page;" filled="f" stroked="t" coordsize="21600,21600" o:gfxdata="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4Kv6LXAAAACQEAAA8AAAAAAAAAAQAgAAAAIgAAAGRycy9kb3ducmV2LnhtbFBLAQIU&#10;ABQAAAAIAIdO4kDMoGkE9AEAAOcDAAAOAAAAAAAAAAEAIAAAACY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157480</wp:posOffset>
                </wp:positionV>
                <wp:extent cx="49212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921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2.4pt;height:0pt;width:38.75pt;z-index:251678720;mso-width-relative:page;mso-height-relative:page;" filled="f" stroked="t" coordsize="21600,21600" o:gfxdata="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gxHFNYAAAAJAQAADwAAAAAAAAABACAAAAAiAAAAZHJzL2Rvd25yZXYueG1sUEsBAhQA&#10;FAAAAAgAh07iQLcOxs/0AQAA5QMAAA4AAAAAAAAAAQAgAAAAJQEAAGRycy9lMm9Eb2MueG1sUEsF&#10;BgAAAAAGAAYAWQEAAIsFAAAAAA==&#10;">
                <v:fill on="f" focussize="0,0"/>
                <v:stroke color="#000000" joinstyle="round"/>
                <v:imagedata o:title=""/>
                <o:lock v:ext="edit" aspectratio="f"/>
              </v:line>
            </w:pict>
          </mc:Fallback>
        </mc:AlternateContent>
      </w:r>
      <w:r>
        <w:rPr>
          <w:sz w:val="24"/>
        </w:rPr>
        <w:t xml:space="preserve">                        </w:t>
      </w:r>
      <w:r>
        <w:rPr>
          <w:rFonts w:hint="eastAsia"/>
          <w:sz w:val="24"/>
        </w:rPr>
        <w:t xml:space="preserve">        </w:t>
      </w:r>
      <w:r>
        <w:rPr>
          <w:rFonts w:hAnsi="宋体"/>
          <w:sz w:val="24"/>
        </w:rPr>
        <w:t>（数字）小类</w:t>
      </w:r>
      <w:r>
        <w:rPr>
          <w:rFonts w:hint="eastAsia"/>
          <w:sz w:val="24"/>
        </w:rPr>
        <w:t>顺序码</w:t>
      </w:r>
    </w:p>
    <w:p>
      <w:pPr>
        <w:spacing w:line="380" w:lineRule="exact"/>
        <w:ind w:firstLine="3920"/>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Ansi="宋体"/>
          <w:sz w:val="24"/>
        </w:rPr>
        <w:t>小类代码</w:t>
      </w:r>
    </w:p>
    <w:p>
      <w:pPr>
        <w:kinsoku w:val="0"/>
        <w:overflowPunct w:val="0"/>
        <w:autoSpaceDE w:val="0"/>
        <w:autoSpaceDN w:val="0"/>
        <w:spacing w:line="380" w:lineRule="exact"/>
        <w:ind w:firstLine="3060"/>
        <w:jc w:val="left"/>
        <w:rPr>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3901440</wp:posOffset>
                </wp:positionH>
                <wp:positionV relativeFrom="paragraph">
                  <wp:posOffset>71755</wp:posOffset>
                </wp:positionV>
                <wp:extent cx="635" cy="603250"/>
                <wp:effectExtent l="4445" t="0" r="13970" b="6350"/>
                <wp:wrapNone/>
                <wp:docPr id="8" name="直接连接符 8"/>
                <wp:cNvGraphicFramePr/>
                <a:graphic xmlns:a="http://schemas.openxmlformats.org/drawingml/2006/main">
                  <a:graphicData uri="http://schemas.microsoft.com/office/word/2010/wordprocessingShape">
                    <wps:wsp>
                      <wps:cNvCnPr/>
                      <wps:spPr>
                        <a:xfrm>
                          <a:off x="0" y="0"/>
                          <a:ext cx="635" cy="603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7.2pt;margin-top:5.65pt;height:47.5pt;width:0.05pt;z-index:251679744;mso-width-relative:page;mso-height-relative:page;" filled="f" stroked="t" coordsize="21600,21600" o:gfxdata="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TWRHXAAAACgEAAA8AAAAAAAAAAQAgAAAAIgAAAGRycy9kb3ducmV2LnhtbFBL&#10;AQIUABQAAAAIAIdO4kBm7LWI9wEAAOUDAAAOAAAAAAAAAAEAIAAAACYBAABkcnMvZTJvRG9jLnht&#10;bFBLBQYAAAAABgAGAFkBAACP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0" allowOverlap="1">
                <wp:simplePos x="0" y="0"/>
                <wp:positionH relativeFrom="column">
                  <wp:posOffset>3886200</wp:posOffset>
                </wp:positionH>
                <wp:positionV relativeFrom="paragraph">
                  <wp:posOffset>134620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pt;margin-top:10.6pt;height:0pt;width:0.05pt;z-index:251665408;mso-width-relative:page;mso-height-relative:page;" filled="f" stroked="t" coordsize="21600,21600" o:allowincell="f" o:gfxdata="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JtacbUAAAACQEAAA8AAAAAAAAAAQAgAAAAIgAAAGRycy9kb3ducmV2LnhtbFBLAQIUABQAAAAI&#10;AIdO4kCf1enm8QEAAOIDAAAOAAAAAAAAAAEAIAAAACMBAABkcnMvZTJvRG9jLnhtbFBLBQYAAAAA&#10;BgAGAFkBAACGBQAAAAA=&#10;">
                <v:fill on="f" focussize="0,0"/>
                <v:stroke color="#000000" joinstyle="round"/>
                <v:imagedata o:title=""/>
                <o:lock v:ext="edit" aspectratio="f"/>
              </v:line>
            </w:pict>
          </mc:Fallback>
        </mc:AlternateContent>
      </w:r>
      <w:r>
        <w:rPr>
          <w:rFonts w:hint="eastAsia" w:hAnsi="宋体"/>
          <w:sz w:val="24"/>
        </w:rPr>
        <w:t xml:space="preserve">       </w:t>
      </w:r>
      <w:r>
        <w:rPr>
          <w:rFonts w:hAnsi="宋体"/>
          <w:sz w:val="24"/>
        </w:rPr>
        <w:t>（数字）中类</w:t>
      </w:r>
      <w:r>
        <w:rPr>
          <w:rFonts w:hint="eastAsia" w:hAnsi="宋体"/>
          <w:sz w:val="24"/>
        </w:rPr>
        <w:t>顺序</w:t>
      </w:r>
      <w:r>
        <w:rPr>
          <w:rFonts w:hAnsi="宋体"/>
          <w:sz w:val="24"/>
        </w:rPr>
        <w:t>码</w:t>
      </w:r>
    </w:p>
    <w:p>
      <w:pPr>
        <w:spacing w:line="380" w:lineRule="exact"/>
        <w:ind w:firstLine="3920"/>
        <w:rPr>
          <w:sz w:val="24"/>
        </w:rPr>
      </w:pPr>
      <w:r>
        <w:rPr>
          <w:sz w:val="24"/>
        </w:rPr>
        <mc:AlternateContent>
          <mc:Choice Requires="wps">
            <w:drawing>
              <wp:anchor distT="0" distB="0" distL="114300" distR="114300" simplePos="0" relativeHeight="251667456" behindDoc="0" locked="0" layoutInCell="0" allowOverlap="1">
                <wp:simplePos x="0" y="0"/>
                <wp:positionH relativeFrom="column">
                  <wp:posOffset>1028700</wp:posOffset>
                </wp:positionH>
                <wp:positionV relativeFrom="paragraph">
                  <wp:posOffset>177800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4pt;height:0pt;width:0.05pt;z-index:251667456;mso-width-relative:page;mso-height-relative:page;" filled="f" stroked="t" coordsize="21600,21600" o:allowincell="f" o:gfxdata="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wfDB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0" allowOverlap="1">
                <wp:simplePos x="0" y="0"/>
                <wp:positionH relativeFrom="column">
                  <wp:posOffset>1028700</wp:posOffset>
                </wp:positionH>
                <wp:positionV relativeFrom="paragraph">
                  <wp:posOffset>177800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4pt;height:0pt;width:0.05pt;z-index:251666432;mso-width-relative:page;mso-height-relative:page;" filled="f" stroked="t" coordsize="21600,21600" o:allowincell="f" o:gfxdata="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sHwwdUAAAAJAQAADwAAAAAAAAABACAAAAAiAAAAZHJzL2Rvd25yZXYueG1sUEsBAhQAFAAA&#10;AAgAh07iQL7bfMvyAQAA4gMAAA4AAAAAAAAAAQAgAAAAJAEAAGRycy9lMm9Eb2MueG1sUEsFBgAA&#10;AAAGAAYAWQEAAIgFAAAAAA==&#10;">
                <v:fill on="f" focussize="0,0"/>
                <v:stroke color="#000000" joinstyle="round"/>
                <v:imagedata o:title=""/>
                <o:lock v:ext="edit" aspectratio="f"/>
              </v:line>
            </w:pict>
          </mc:Fallback>
        </mc:AlternateContent>
      </w:r>
      <w:r>
        <w:rPr>
          <w:sz w:val="24"/>
        </w:rPr>
        <w:t xml:space="preserve">              </w:t>
      </w:r>
      <w:r>
        <w:rPr>
          <w:rFonts w:hint="eastAsia"/>
          <w:sz w:val="24"/>
        </w:rPr>
        <w:t xml:space="preserve">     </w:t>
      </w:r>
      <w:r>
        <w:rPr>
          <w:rFonts w:hAnsi="宋体"/>
          <w:sz w:val="24"/>
        </w:rPr>
        <w:t>中类代码</w:t>
      </w:r>
      <w:r>
        <w:rPr>
          <w:sz w:val="24"/>
        </w:rPr>
        <w:t xml:space="preserve">  </w:t>
      </w:r>
    </w:p>
    <w:p>
      <w:pPr>
        <w:spacing w:line="380" w:lineRule="exact"/>
        <w:ind w:firstLine="3060"/>
        <w:rPr>
          <w:sz w:val="24"/>
        </w:rPr>
      </w:pPr>
      <w:r>
        <w:rPr>
          <w:sz w:val="24"/>
        </w:rPr>
        <mc:AlternateContent>
          <mc:Choice Requires="wps">
            <w:drawing>
              <wp:anchor distT="0" distB="0" distL="114300" distR="114300" simplePos="0" relativeHeight="251673600" behindDoc="0" locked="0" layoutInCell="0" allowOverlap="1">
                <wp:simplePos x="0" y="0"/>
                <wp:positionH relativeFrom="column">
                  <wp:posOffset>1028700</wp:posOffset>
                </wp:positionH>
                <wp:positionV relativeFrom="paragraph">
                  <wp:posOffset>121920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9.6pt;height:0pt;width:0.05pt;z-index:251673600;mso-width-relative:page;mso-height-relative:page;" filled="f" stroked="t" coordsize="21600,21600" o:allowincell="f" o:gfxdata="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ca1l9UAAAAJAQAADwAAAAAAAAABACAAAAAiAAAAZHJzL2Rvd25yZXYueG1sUEsBAhQAFAAA&#10;AAgAh07iQI7fDjDyAQAA4gMAAA4AAAAAAAAAAQAgAAAAJAEAAGRycy9lMm9Eb2MueG1sUEsFBgAA&#10;AAAGAAYAWQEAAIgFAAAAAA==&#10;">
                <v:fill on="f" focussize="0,0"/>
                <v:stroke color="#000000" joinstyle="round"/>
                <v:imagedata o:title=""/>
                <o:lock v:ext="edit" aspectratio="f"/>
              </v:line>
            </w:pict>
          </mc:Fallback>
        </mc:AlternateContent>
      </w:r>
      <w:r>
        <w:rPr>
          <w:rFonts w:hint="eastAsia"/>
          <w:sz w:val="24"/>
        </w:rPr>
        <w:t xml:space="preserve">       </w:t>
      </w:r>
      <w:r>
        <w:rPr>
          <w:rFonts w:hAnsi="宋体"/>
          <w:sz w:val="24"/>
        </w:rPr>
        <w:t>（数字）大类代码</w:t>
      </w:r>
      <w:r>
        <w:rPr>
          <w:sz w:val="24"/>
        </w:rPr>
        <w:t xml:space="preserve">     </w:t>
      </w:r>
    </w:p>
    <w:p>
      <w:pPr>
        <w:spacing w:line="380" w:lineRule="exact"/>
        <w:ind w:firstLine="3920"/>
        <w:rPr>
          <w:sz w:val="24"/>
        </w:rPr>
      </w:pPr>
    </w:p>
    <w:p>
      <w:pPr>
        <w:pStyle w:val="2"/>
        <w:ind w:firstLine="480"/>
        <w:rPr>
          <w:rFonts w:hint="eastAsia"/>
        </w:rPr>
      </w:pPr>
      <w:r>
        <w:rPr>
          <w:sz w:val="24"/>
        </w:rPr>
        <mc:AlternateContent>
          <mc:Choice Requires="wps">
            <w:drawing>
              <wp:anchor distT="0" distB="0" distL="114300" distR="114300" simplePos="0" relativeHeight="251681792" behindDoc="0" locked="0" layoutInCell="0" allowOverlap="1">
                <wp:simplePos x="0" y="0"/>
                <wp:positionH relativeFrom="column">
                  <wp:posOffset>2743200</wp:posOffset>
                </wp:positionH>
                <wp:positionV relativeFrom="paragraph">
                  <wp:posOffset>53340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4.2pt;height:0pt;width:0.05pt;z-index:251681792;mso-width-relative:page;mso-height-relative:page;" filled="f" stroked="t" coordsize="21600,21600" o:allowincell="f" o:gfxdata="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1xD+1AAAAAcBAAAPAAAAAAAAAAEAIAAAACIAAABkcnMvZG93bnJldi54bWxQSwECFAAUAAAA&#10;CACHTuJA3cnDvfIBAADiAwAADgAAAAAAAAABACAAAAAj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0768" behindDoc="0" locked="0" layoutInCell="0" allowOverlap="1">
                <wp:simplePos x="0" y="0"/>
                <wp:positionH relativeFrom="column">
                  <wp:posOffset>2628900</wp:posOffset>
                </wp:positionH>
                <wp:positionV relativeFrom="paragraph">
                  <wp:posOffset>53340</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4.2pt;height:0pt;width:0.05pt;z-index:251680768;mso-width-relative:page;mso-height-relative:page;" filled="f" stroked="t" coordsize="21600,21600" o:allowincell="f" o:gfxdata="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DBrXNMAAAAHAQAADwAAAAAAAAABACAAAAAiAAAAZHJzL2Rvd25yZXYueG1sUEsBAhQAFAAAAAgA&#10;h07iQO3NsUbxAQAA4gMAAA4AAAAAAAAAAQAgAAAAIgEAAGRycy9lMm9Eb2MueG1sUEsFBgAAAAAG&#10;AAYAWQEAAIUFAAAAAA==&#10;">
                <v:fill on="f" focussize="0,0"/>
                <v:stroke color="#000000" joinstyle="round"/>
                <v:imagedata o:title=""/>
                <o:lock v:ext="edit" aspectratio="f"/>
              </v:line>
            </w:pict>
          </mc:Fallback>
        </mc:AlternateContent>
      </w:r>
      <w:r>
        <w:rPr>
          <w:sz w:val="24"/>
        </w:rPr>
        <w:t xml:space="preserve"> </w:t>
      </w:r>
      <w:r>
        <w:rPr>
          <w:rFonts w:hint="eastAsia"/>
          <w:sz w:val="24"/>
        </w:rPr>
        <w:t xml:space="preserve">      </w:t>
      </w:r>
      <w:r>
        <w:rPr>
          <w:rFonts w:hint="eastAsia"/>
          <w:sz w:val="24"/>
          <w:lang w:val="en-US" w:eastAsia="zh-CN"/>
        </w:rPr>
        <w:t xml:space="preserve">                      </w:t>
      </w:r>
      <w:r>
        <w:rPr>
          <w:rFonts w:hAnsi="宋体"/>
          <w:sz w:val="24"/>
        </w:rPr>
        <w:t>（字母）门类代码</w:t>
      </w:r>
      <w:r>
        <w:rPr>
          <w:sz w:val="24"/>
        </w:rPr>
        <w:t xml:space="preserve">  </w:t>
      </w:r>
    </w:p>
    <w:p>
      <w:pPr>
        <w:keepNext w:val="0"/>
        <w:keepLines w:val="0"/>
        <w:pageBreakBefore w:val="0"/>
        <w:widowControl/>
        <w:wordWrap/>
        <w:topLinePunct w:val="0"/>
        <w:bidi w:val="0"/>
        <w:adjustRightInd/>
        <w:snapToGrid/>
        <w:spacing w:before="312" w:beforeLines="100" w:after="312" w:afterLines="100" w:line="360" w:lineRule="auto"/>
        <w:ind w:firstLine="723" w:firstLineChars="300"/>
        <w:jc w:val="both"/>
        <w:textAlignment w:val="auto"/>
        <w:rPr>
          <w:rFonts w:hint="eastAsia" w:ascii="宋体" w:hAnsi="宋体" w:eastAsia="宋体" w:cs="宋体"/>
          <w:b/>
          <w:bCs/>
          <w:i w:val="0"/>
          <w:caps w:val="0"/>
          <w:color w:val="333333"/>
          <w:spacing w:val="0"/>
          <w:sz w:val="24"/>
          <w:szCs w:val="24"/>
          <w:shd w:val="clear" w:color="auto" w:fill="FFFFFF"/>
          <w:lang w:eastAsia="zh-CN"/>
        </w:rPr>
      </w:pPr>
      <w:r>
        <w:rPr>
          <w:rFonts w:hint="eastAsia" w:ascii="宋体" w:hAnsi="宋体" w:eastAsia="宋体" w:cs="宋体"/>
          <w:b/>
          <w:bCs/>
          <w:i w:val="0"/>
          <w:caps w:val="0"/>
          <w:color w:val="333333"/>
          <w:spacing w:val="0"/>
          <w:sz w:val="24"/>
          <w:szCs w:val="24"/>
          <w:shd w:val="clear" w:color="auto" w:fill="FFFFFF"/>
        </w:rPr>
        <w:t>国民经济行业分类与代码（GB/4754-2011），国民经济行业分类。 A 农、林、牧、渔业； 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r>
        <w:rPr>
          <w:rFonts w:hint="eastAsia" w:ascii="宋体" w:hAnsi="宋体" w:eastAsia="宋体" w:cs="宋体"/>
          <w:b/>
          <w:bCs/>
          <w:i w:val="0"/>
          <w:caps w:val="0"/>
          <w:color w:val="333333"/>
          <w:spacing w:val="0"/>
          <w:sz w:val="24"/>
          <w:szCs w:val="24"/>
          <w:shd w:val="clear" w:color="auto" w:fill="FFFFFF"/>
          <w:lang w:eastAsia="zh-CN"/>
        </w:rPr>
        <w:t>。</w:t>
      </w:r>
    </w:p>
    <w:p>
      <w:pPr>
        <w:bidi w:val="0"/>
        <w:rPr>
          <w:rFonts w:hint="eastAsia" w:ascii="宋体" w:hAnsi="宋体" w:eastAsia="宋体" w:cs="宋体"/>
          <w:b/>
          <w:bCs/>
          <w:i w:val="0"/>
          <w:caps w:val="0"/>
          <w:color w:val="333333"/>
          <w:spacing w:val="0"/>
          <w:sz w:val="24"/>
          <w:szCs w:val="24"/>
          <w:shd w:val="clear" w:color="auto" w:fill="FFFFFF"/>
          <w:lang w:val="en-US" w:eastAsia="zh-CN"/>
        </w:rPr>
      </w:pPr>
      <w:r>
        <w:rPr>
          <w:rFonts w:hint="eastAsia"/>
          <w:lang w:val="en-US" w:eastAsia="zh-CN"/>
        </w:rPr>
        <w:t xml:space="preserve">   </w:t>
      </w:r>
      <w:r>
        <w:rPr>
          <w:rFonts w:hint="eastAsia" w:ascii="宋体" w:hAnsi="宋体" w:eastAsia="宋体" w:cs="宋体"/>
          <w:b/>
          <w:bCs/>
          <w:i w:val="0"/>
          <w:caps w:val="0"/>
          <w:color w:val="333333"/>
          <w:spacing w:val="0"/>
          <w:sz w:val="24"/>
          <w:szCs w:val="24"/>
          <w:shd w:val="clear" w:color="auto" w:fill="FFFFFF"/>
        </w:rPr>
        <w:t>国民经济行业分类与代码（GB/4754-2011）</w:t>
      </w:r>
      <w:r>
        <w:rPr>
          <w:rFonts w:hint="eastAsia" w:ascii="宋体" w:hAnsi="宋体" w:eastAsia="宋体" w:cs="宋体"/>
          <w:b/>
          <w:bCs/>
          <w:i w:val="0"/>
          <w:caps w:val="0"/>
          <w:color w:val="333333"/>
          <w:spacing w:val="0"/>
          <w:sz w:val="24"/>
          <w:szCs w:val="24"/>
          <w:shd w:val="clear" w:color="auto" w:fill="FFFFFF"/>
          <w:lang w:val="en-US" w:eastAsia="zh-CN"/>
        </w:rPr>
        <w:t>共分为20个门类、96个大类、960个中类、9600个小类。</w:t>
      </w:r>
    </w:p>
    <w:p>
      <w:pPr>
        <w:pStyle w:val="2"/>
        <w:rPr>
          <w:rFonts w:hint="eastAsia" w:ascii="宋体" w:hAnsi="宋体" w:eastAsia="宋体" w:cs="宋体"/>
          <w:b/>
          <w:bCs/>
          <w:i w:val="0"/>
          <w:caps w:val="0"/>
          <w:color w:val="333333"/>
          <w:spacing w:val="0"/>
          <w:sz w:val="24"/>
          <w:szCs w:val="24"/>
          <w:shd w:val="clear" w:color="auto" w:fill="FFFFFF"/>
          <w:lang w:val="en-US" w:eastAsia="zh-CN"/>
        </w:rPr>
        <w:sectPr>
          <w:headerReference r:id="rId13" w:type="first"/>
          <w:footerReference r:id="rId15" w:type="first"/>
          <w:headerReference r:id="rId12" w:type="default"/>
          <w:footerReference r:id="rId14" w:type="default"/>
          <w:pgSz w:w="11900" w:h="16840"/>
          <w:pgMar w:top="1440" w:right="1134" w:bottom="1440"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bookmarkEnd w:id="621"/>
    <w:tbl>
      <w:tblPr>
        <w:tblStyle w:val="19"/>
        <w:tblW w:w="15560" w:type="dxa"/>
        <w:jc w:val="center"/>
        <w:shd w:val="clear" w:color="auto" w:fill="auto"/>
        <w:tblLayout w:type="fixed"/>
        <w:tblCellMar>
          <w:top w:w="0" w:type="dxa"/>
          <w:left w:w="0" w:type="dxa"/>
          <w:bottom w:w="0" w:type="dxa"/>
          <w:right w:w="0" w:type="dxa"/>
        </w:tblCellMar>
      </w:tblPr>
      <w:tblGrid>
        <w:gridCol w:w="762"/>
        <w:gridCol w:w="652"/>
        <w:gridCol w:w="1199"/>
        <w:gridCol w:w="1042"/>
        <w:gridCol w:w="611"/>
        <w:gridCol w:w="3583"/>
        <w:gridCol w:w="952"/>
        <w:gridCol w:w="991"/>
        <w:gridCol w:w="840"/>
        <w:gridCol w:w="794"/>
        <w:gridCol w:w="750"/>
        <w:gridCol w:w="732"/>
        <w:gridCol w:w="658"/>
        <w:gridCol w:w="818"/>
        <w:gridCol w:w="1176"/>
      </w:tblGrid>
      <w:tr>
        <w:tblPrEx>
          <w:shd w:val="clear" w:color="auto" w:fill="auto"/>
          <w:tblCellMar>
            <w:top w:w="0" w:type="dxa"/>
            <w:left w:w="0" w:type="dxa"/>
            <w:bottom w:w="0" w:type="dxa"/>
            <w:right w:w="0" w:type="dxa"/>
          </w:tblCellMar>
        </w:tblPrEx>
        <w:trPr>
          <w:trHeight w:val="615" w:hRule="atLeast"/>
          <w:jc w:val="center"/>
        </w:trPr>
        <w:tc>
          <w:tcPr>
            <w:tcW w:w="14384" w:type="dxa"/>
            <w:gridSpan w:val="14"/>
            <w:tcBorders>
              <w:top w:val="nil"/>
              <w:left w:val="nil"/>
              <w:bottom w:val="nil"/>
              <w:right w:val="nil"/>
            </w:tcBorders>
            <w:shd w:val="clear" w:color="auto" w:fill="auto"/>
            <w:tcMar>
              <w:top w:w="15" w:type="dxa"/>
              <w:left w:w="15" w:type="dxa"/>
              <w:right w:w="15" w:type="dxa"/>
            </w:tcMar>
            <w:vAlign w:val="center"/>
          </w:tcPr>
          <w:p>
            <w:pPr>
              <w:pStyle w:val="4"/>
              <w:numPr>
                <w:ilvl w:val="0"/>
                <w:numId w:val="2"/>
              </w:numPr>
              <w:bidi w:val="0"/>
              <w:rPr>
                <w:rFonts w:hint="eastAsia" w:ascii="宋体" w:hAnsi="宋体" w:eastAsia="宋体" w:cs="宋体"/>
                <w:i w:val="0"/>
                <w:color w:val="000000"/>
                <w:kern w:val="0"/>
                <w:szCs w:val="28"/>
                <w:u w:val="none"/>
                <w:lang w:val="en-US" w:eastAsia="zh-CN" w:bidi="ar"/>
              </w:rPr>
            </w:pPr>
            <w:bookmarkStart w:id="632" w:name="_Toc23947"/>
            <w:bookmarkStart w:id="633" w:name="_Toc5286"/>
            <w:bookmarkStart w:id="634" w:name="_Toc25573"/>
            <w:bookmarkStart w:id="635" w:name="_Toc23088"/>
            <w:bookmarkStart w:id="636" w:name="_Toc21216"/>
            <w:bookmarkStart w:id="637" w:name="_Toc8690"/>
            <w:bookmarkStart w:id="638" w:name="_Toc19138"/>
            <w:r>
              <w:rPr>
                <w:rFonts w:hint="eastAsia"/>
                <w:lang w:val="en-US" w:eastAsia="zh-CN"/>
              </w:rPr>
              <w:t>附表</w:t>
            </w:r>
            <w:bookmarkEnd w:id="632"/>
            <w:bookmarkEnd w:id="633"/>
            <w:bookmarkEnd w:id="634"/>
            <w:bookmarkEnd w:id="635"/>
            <w:bookmarkEnd w:id="636"/>
            <w:bookmarkEnd w:id="637"/>
            <w:bookmarkEnd w:id="638"/>
          </w:p>
          <w:p>
            <w:pPr>
              <w:pStyle w:val="4"/>
              <w:bidi w:val="0"/>
              <w:jc w:val="center"/>
              <w:rPr>
                <w:rFonts w:hint="eastAsia"/>
              </w:rPr>
            </w:pPr>
            <w:bookmarkStart w:id="639" w:name="_Toc25277"/>
            <w:bookmarkStart w:id="640" w:name="_Toc21671"/>
            <w:bookmarkStart w:id="641" w:name="_Toc29280"/>
            <w:bookmarkStart w:id="642" w:name="_Toc27973"/>
            <w:bookmarkStart w:id="643" w:name="_Toc10954"/>
            <w:bookmarkStart w:id="644" w:name="_Toc8739"/>
            <w:bookmarkStart w:id="645" w:name="_Toc27937"/>
            <w:bookmarkStart w:id="646" w:name="_Toc17499"/>
            <w:bookmarkStart w:id="647" w:name="_GoBack"/>
            <w:r>
              <w:rPr>
                <w:rFonts w:hint="eastAsia"/>
                <w:lang w:val="en-US" w:eastAsia="zh-CN"/>
              </w:rPr>
              <w:t>紫阳县数字经济“十四五”发展规划重点建设项目表</w:t>
            </w:r>
            <w:bookmarkEnd w:id="639"/>
            <w:bookmarkEnd w:id="640"/>
            <w:bookmarkEnd w:id="641"/>
            <w:bookmarkEnd w:id="642"/>
            <w:bookmarkEnd w:id="643"/>
            <w:bookmarkEnd w:id="644"/>
            <w:bookmarkEnd w:id="645"/>
            <w:bookmarkEnd w:id="646"/>
            <w:bookmarkEnd w:id="647"/>
          </w:p>
        </w:tc>
        <w:tc>
          <w:tcPr>
            <w:tcW w:w="117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45" w:hRule="atLeast"/>
          <w:jc w:val="center"/>
        </w:trPr>
        <w:tc>
          <w:tcPr>
            <w:tcW w:w="1556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25"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号</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类别</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地点</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建设性质</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建设内容及规模</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建设起止年限</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总投资</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2021-2025年计划</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责任单位</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配合单位</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责任镇</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615" w:hRule="atLeast"/>
          <w:jc w:val="center"/>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年度投资</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主要建设内容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479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数字经济基础设施类建设项目（总投资59250万元）</w:t>
            </w:r>
          </w:p>
        </w:tc>
      </w:tr>
      <w:tr>
        <w:tblPrEx>
          <w:shd w:val="clear" w:color="auto" w:fill="auto"/>
          <w:tblCellMar>
            <w:top w:w="0" w:type="dxa"/>
            <w:left w:w="0" w:type="dxa"/>
            <w:bottom w:w="0" w:type="dxa"/>
            <w:right w:w="0" w:type="dxa"/>
          </w:tblCellMar>
        </w:tblPrEx>
        <w:trPr>
          <w:trHeight w:val="20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智慧交通系统建设项目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监控、监测、交通流量分布优化等技术，完善公安、城管、公路等监控体系和信息网络系统，建立以交通引导、应急指挥、智能出行、出租车、公交车、客运车、物流管理等系统为重点的、统一的智能化城市交通综合管理和服务系统建设，实现交通信息的充分共享、公路交通状况的实时监控及动态管理。</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智慧水利建设项目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智慧河湖视频监控工程，新建县级河长制信息化数据处理中心，整合全县各类视频监控资源，建成集河长、水利、环保、气象、水文等信息资源为一体的河湖智慧视频监控系统和全县水行政执法监管平台，实现河湖监管和水行政执法信息化。</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紫阳县公共视频监控联网共享平台项目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各镇及相关村新建公共视频监控联网共享平台，整合社会资源，强化乡村治安监控体系。完善各镇村重点部位、重点部门监控探头和网络接入等设施设备，实现“空中有监控、地面有巡逻、重点部位有技防”的防控网络。</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13850.00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2770.00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各镇村</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紫阳有17个镇，175个行政村，按照每个镇100万元，每个村50万元计算，重点村总数的一般计算</w:t>
            </w:r>
          </w:p>
        </w:tc>
      </w:tr>
      <w:tr>
        <w:tblPrEx>
          <w:shd w:val="clear" w:color="auto" w:fill="auto"/>
          <w:tblCellMar>
            <w:top w:w="0" w:type="dxa"/>
            <w:left w:w="0" w:type="dxa"/>
            <w:bottom w:w="0" w:type="dxa"/>
            <w:right w:w="0" w:type="dxa"/>
          </w:tblCellMar>
        </w:tblPrEx>
        <w:trPr>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紫阳县智慧城市建设项目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相关镇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实施县城基础设施数字化、网络化、智能化改造，布设交通视频监控、环境水质监测、远程监控等感知系统，建设数字社会、数字政府，打造城市“智慧大脑”。</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县住建局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智慧应急建设项目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建设智慧应急指挥信息管理系统、应急指挥大厅、自然灾害综合监测预警系统。</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应急管理局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工业互联网平台建设项目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蒿坪工业园区</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建设企业上云、政务上云、产业上云平台，实现多样化应用。建设产品可溯源系统，矿山安全互联网体系，安全监控系统，促使企业工业化、信息化“两化”融合。</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经贸局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蒿坪工业园区管委会</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紫阳县县域信息网络基础设施建设</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涉及紫阳县境内县、镇、村（社区）、园区等，覆盖紫阳县全部的国土空间，保障任何时间与地点的接入</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1）5G移动通信网建设及优化；                                  2）光纤通信网优化及升级；                                    3）北斗全球定位系统接入设施建设；                             </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16400.00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3280.00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央企中国电信、中国移动、中国联通、中国广电驻紫阳分公司及铁塔公司驻紫阳单位</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县自然资源与规划局、县住建局、县经贸局等</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各镇村</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网络基础设施</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紫阳有17个镇，175个行政村，约需要建设5G基站200个，每个按25万计算</w:t>
            </w:r>
          </w:p>
        </w:tc>
      </w:tr>
      <w:tr>
        <w:tblPrEx>
          <w:shd w:val="clear" w:color="auto" w:fill="auto"/>
          <w:tblCellMar>
            <w:top w:w="0" w:type="dxa"/>
            <w:left w:w="0" w:type="dxa"/>
            <w:bottom w:w="0" w:type="dxa"/>
            <w:right w:w="0" w:type="dxa"/>
          </w:tblCellMar>
        </w:tblPrEx>
        <w:trPr>
          <w:trHeight w:val="17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县级大数据及容灾备份平台</w:t>
            </w:r>
          </w:p>
        </w:tc>
        <w:tc>
          <w:tcPr>
            <w:tcW w:w="10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单独建设，选址分别在县城与县域副中心蒿坪或向阳镇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覆盖县、镇、社区（街道办）的大数据中心，含机房、办公用房、大型数据库服务器、绿化广场、高稳定电源与冷却水池等</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1200.00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县住建局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经贸局</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建立全县统一的大数据中心，防患于未然。</w:t>
            </w:r>
          </w:p>
        </w:tc>
      </w:tr>
      <w:tr>
        <w:tblPrEx>
          <w:shd w:val="clear" w:color="auto" w:fill="auto"/>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59250.00 </w:t>
            </w:r>
          </w:p>
        </w:tc>
        <w:tc>
          <w:tcPr>
            <w:tcW w:w="840"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jc w:val="center"/>
        </w:trPr>
        <w:tc>
          <w:tcPr>
            <w:tcW w:w="76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4798" w:type="dxa"/>
            <w:gridSpan w:val="1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经济发展类（总投资64550万元)</w:t>
            </w:r>
          </w:p>
        </w:tc>
      </w:tr>
      <w:tr>
        <w:tblPrEx>
          <w:shd w:val="clear" w:color="auto" w:fill="auto"/>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9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第一产业：农业产业振兴工程</w:t>
            </w:r>
          </w:p>
        </w:tc>
      </w:tr>
      <w:tr>
        <w:tblPrEx>
          <w:shd w:val="clear" w:color="auto" w:fill="auto"/>
          <w:tblCellMar>
            <w:top w:w="0" w:type="dxa"/>
            <w:left w:w="0" w:type="dxa"/>
            <w:bottom w:w="0" w:type="dxa"/>
            <w:right w:w="0" w:type="dxa"/>
          </w:tblCellMar>
        </w:tblPrEx>
        <w:trPr>
          <w:trHeight w:val="21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紫阳县农产品品牌质量提升项目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企业开展富硒产品原产地、地理标志和绿色食品、有机食品、ISO认证，引导企业加强科技创新，推广新技术，研发新产品，建成县农产品质量安全追溯及检验检测体系，完善现代化农业执法体系，提升农业综合执法大队办公场所设施设备水平，建设紫阳农业执法指挥调度中心，在17个镇各建1个标准化农业执法监管站。</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溯源系统设备与软件开发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农业农村局                          市场监管局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电商办</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农业社会化服务体系建设项目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Style w:val="101"/>
                <w:lang w:val="en-US" w:eastAsia="zh-CN" w:bidi="ar"/>
              </w:rPr>
              <w:t>建设农业社会化服务平台，引进各类社会化服务组织，构建社会化服务体系，开展土地托管、农资、植保、农机、农技等服务，到</w:t>
            </w:r>
            <w:r>
              <w:rPr>
                <w:rFonts w:hint="eastAsia" w:ascii="宋体" w:hAnsi="宋体" w:eastAsia="宋体" w:cs="宋体"/>
                <w:i w:val="0"/>
                <w:color w:val="000000"/>
                <w:kern w:val="0"/>
                <w:sz w:val="20"/>
                <w:szCs w:val="20"/>
                <w:u w:val="none"/>
                <w:lang w:val="en-US" w:eastAsia="zh-CN" w:bidi="ar"/>
              </w:rPr>
              <w:t>2025</w:t>
            </w:r>
            <w:r>
              <w:rPr>
                <w:rStyle w:val="101"/>
                <w:lang w:val="en-US" w:eastAsia="zh-CN" w:bidi="ar"/>
              </w:rPr>
              <w:t>年，县农业社会化服务组织达到</w:t>
            </w:r>
            <w:r>
              <w:rPr>
                <w:rFonts w:hint="eastAsia" w:ascii="宋体" w:hAnsi="宋体" w:eastAsia="宋体" w:cs="宋体"/>
                <w:i w:val="0"/>
                <w:color w:val="000000"/>
                <w:kern w:val="0"/>
                <w:sz w:val="20"/>
                <w:szCs w:val="20"/>
                <w:u w:val="none"/>
                <w:lang w:val="en-US" w:eastAsia="zh-CN" w:bidi="ar"/>
              </w:rPr>
              <w:t>15</w:t>
            </w:r>
            <w:r>
              <w:rPr>
                <w:rStyle w:val="101"/>
                <w:lang w:val="en-US" w:eastAsia="zh-CN" w:bidi="ar"/>
              </w:rPr>
              <w:t>家以上。</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101"/>
                <w:lang w:val="en-US" w:eastAsia="zh-CN" w:bidi="ar"/>
              </w:rPr>
              <w:t>农业农村局</w:t>
            </w:r>
            <w:r>
              <w:rPr>
                <w:rFonts w:hint="eastAsia" w:ascii="宋体" w:hAnsi="宋体" w:eastAsia="宋体" w:cs="宋体"/>
                <w:i w:val="0"/>
                <w:color w:val="000000"/>
                <w:kern w:val="0"/>
                <w:sz w:val="20"/>
                <w:szCs w:val="20"/>
                <w:u w:val="none"/>
                <w:lang w:val="en-US" w:eastAsia="zh-CN" w:bidi="ar"/>
              </w:rPr>
              <w:br w:type="textWrapping"/>
            </w:r>
            <w:r>
              <w:rPr>
                <w:rStyle w:val="101"/>
                <w:lang w:val="en-US" w:eastAsia="zh-CN" w:bidi="ar"/>
              </w:rPr>
              <w:t>电商办</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智慧农业建设项目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pStyle w:val="98"/>
              <w:keepNext w:val="0"/>
              <w:keepLines w:val="0"/>
              <w:widowControl w:val="0"/>
              <w:shd w:val="clear" w:color="auto" w:fill="auto"/>
              <w:bidi w:val="0"/>
              <w:spacing w:before="0" w:after="0" w:line="240" w:lineRule="auto"/>
              <w:ind w:left="0" w:right="0" w:firstLine="0"/>
              <w:jc w:val="both"/>
              <w:rPr>
                <w:rFonts w:hint="eastAsia" w:ascii="宋体" w:hAnsi="宋体" w:eastAsia="宋体" w:cs="宋体"/>
                <w:i w:val="0"/>
                <w:color w:val="000000"/>
                <w:sz w:val="18"/>
                <w:szCs w:val="18"/>
                <w:u w:val="none"/>
                <w:shd w:val="clear"/>
                <w:lang w:val="en-US" w:eastAsia="zh-CN" w:bidi="ar-SA"/>
              </w:rPr>
            </w:pPr>
            <w:r>
              <w:rPr>
                <w:rFonts w:hint="eastAsia" w:ascii="宋体" w:hAnsi="宋体" w:eastAsia="宋体" w:cs="宋体"/>
                <w:i w:val="0"/>
                <w:color w:val="000000"/>
                <w:sz w:val="18"/>
                <w:szCs w:val="18"/>
                <w:u w:val="none"/>
                <w:lang w:eastAsia="zh-CN"/>
              </w:rPr>
              <w:t>新建智慧农业</w:t>
            </w:r>
            <w:r>
              <w:rPr>
                <w:rFonts w:hint="eastAsia" w:ascii="宋体" w:hAnsi="宋体" w:eastAsia="宋体" w:cs="宋体"/>
                <w:i w:val="0"/>
                <w:color w:val="000000"/>
                <w:sz w:val="18"/>
                <w:szCs w:val="18"/>
                <w:u w:val="none"/>
                <w:lang w:val="en-US" w:eastAsia="zh-CN"/>
              </w:rPr>
              <w:t>大数据中心</w:t>
            </w:r>
            <w:r>
              <w:rPr>
                <w:rFonts w:hint="eastAsia" w:ascii="宋体" w:hAnsi="宋体" w:eastAsia="宋体" w:cs="宋体"/>
                <w:i w:val="0"/>
                <w:color w:val="000000"/>
                <w:sz w:val="18"/>
                <w:szCs w:val="18"/>
                <w:u w:val="none"/>
                <w:lang w:eastAsia="zh-CN"/>
              </w:rPr>
              <w:t>、智慧农业系统，</w:t>
            </w:r>
            <w:r>
              <w:rPr>
                <w:rFonts w:hint="eastAsia" w:ascii="宋体" w:hAnsi="宋体" w:eastAsia="宋体" w:cs="宋体"/>
                <w:i w:val="0"/>
                <w:color w:val="000000"/>
                <w:sz w:val="18"/>
                <w:szCs w:val="18"/>
                <w:u w:val="none"/>
                <w:shd w:val="clear"/>
                <w:lang w:val="en-US" w:eastAsia="zh-CN" w:bidi="ar-SA"/>
              </w:rPr>
              <w:t>构建涵盖农业经济、产业结构、农机、农户、农田、林地、水利等农业大数据资源库。建设涉农部门数据整合汇交接入管理系统，统一管理农业农村、林业、水务、文广旅、供销、气象等行业平台接入服务,提供数据共享交换管理与监控、资源请求与发布等服务，并提供</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shd w:val="clear"/>
                <w:lang w:val="en-US" w:eastAsia="zh-CN" w:bidi="ar-SA"/>
              </w:rPr>
              <w:t>数据资源的抽取、清洗、加工、转换等服务。</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1200.00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县农业与农村局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特色养殖业发展与环保管控</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对紫阳县特色养殖业利用数字技术建立远程监控、排泄物实时数据采集与预警机制，使生态优势转化为经济优势。</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1750.00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350.00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高山中养殖经济肉禽、河水养殖进行远程管控。</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生态环境局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农业农村局</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按每镇2个计算，全县35个，每个投资50万，约万</w:t>
            </w:r>
          </w:p>
        </w:tc>
      </w:tr>
      <w:tr>
        <w:tblPrEx>
          <w:shd w:val="clear" w:color="auto" w:fill="auto"/>
          <w:tblCellMar>
            <w:top w:w="0" w:type="dxa"/>
            <w:left w:w="0" w:type="dxa"/>
            <w:bottom w:w="0" w:type="dxa"/>
            <w:right w:w="0" w:type="dxa"/>
          </w:tblCellMar>
        </w:tblPrEx>
        <w:trPr>
          <w:trHeight w:val="30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“互联网+”农产品出村进城工程试点县创建项目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互联网+”农产品出村进城工程的推进主体；统筹规划建设农产品产地初加工服务站点，开展农产品分等分级、预冷仓储、包装等服务；完善县乡村三级物流体系，提高县域内冷链物流连通率和覆盖率；构建基于互联网的供应链管理模式，推动运营主体通过互联网技术和市场化手段，引导带动产业链上下游各类主体，以订单农业等方式有效对接和带动广大小农户，执行统一的标准化生产技术规程，形成协同高效、利益共享的优质特色农产品供应链体系；建立适应农产品网络销售的运营服务体系。</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2021-2023</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发改局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财政局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经贸局</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39" w:hRule="atLeast"/>
          <w:jc w:val="center"/>
        </w:trPr>
        <w:tc>
          <w:tcPr>
            <w:tcW w:w="76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20750.00 </w:t>
            </w:r>
          </w:p>
        </w:tc>
        <w:tc>
          <w:tcPr>
            <w:tcW w:w="84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第二产业</w:t>
            </w:r>
          </w:p>
        </w:tc>
        <w:tc>
          <w:tcPr>
            <w:tcW w:w="11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紫阳飞地工业园区工业互联网升级</w:t>
            </w:r>
          </w:p>
        </w:tc>
        <w:tc>
          <w:tcPr>
            <w:tcW w:w="104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恒口示范区</w:t>
            </w:r>
          </w:p>
        </w:tc>
        <w:tc>
          <w:tcPr>
            <w:tcW w:w="6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工业按园区化聚集，对现有工业园区进行互联网升级改造，对园区的生产经营活动进行信息化管理，工业互联网技术要求，做到所有生产环节均有准确数据存档。</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园区管委会</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县发改局、经贸局</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紫阳蒿坪工业园区工业互联网升级</w:t>
            </w:r>
          </w:p>
        </w:tc>
        <w:tc>
          <w:tcPr>
            <w:tcW w:w="10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蒿坪镇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15000.00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第三产业</w:t>
            </w: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现场直播带货演播室建设</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在紫阳县的著名地标产品原产地、旅游景点等网红打卡地建立直播平台以及直播所需基础设施。</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县文化旅游局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网络基础设施</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餐饮农家乐、野奢及民宿管控</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对紫阳县富有特色的农家乐、野奢及民宿进行信息化管理，可以利用北斗导航系统进行位置查询，通过信息数据可以获取农家乐、野奢及民宿基础信息介绍以及闲置状态，以便随时预定。</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县文化旅游局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信息平台及现场管控设备</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覆盖镇、村（社区）、园区的无人值守智能物流转运站</w:t>
            </w:r>
          </w:p>
        </w:tc>
        <w:tc>
          <w:tcPr>
            <w:tcW w:w="10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涉及紫阳县境内县、镇、村（社区）、园区等</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根据县情，按照镇村体系在车站、码头与社区布局移动式无人值守物流站。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3500.00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700.00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县交通运输局</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紫阳县有175个行政村，每个村按1个移动无人值守物流站计算，每个按20万投资，3500万元。</w:t>
            </w:r>
          </w:p>
        </w:tc>
      </w:tr>
      <w:tr>
        <w:tblPrEx>
          <w:tblCellMar>
            <w:top w:w="0" w:type="dxa"/>
            <w:left w:w="0" w:type="dxa"/>
            <w:bottom w:w="0" w:type="dxa"/>
            <w:right w:w="0" w:type="dxa"/>
          </w:tblCellMar>
        </w:tblPrEx>
        <w:trPr>
          <w:trHeight w:val="12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低成本小微创业平台</w:t>
            </w:r>
          </w:p>
        </w:tc>
        <w:tc>
          <w:tcPr>
            <w:tcW w:w="10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县域建立小微企业服务平台，可以提高扶持政策及其实施的知晓度、透明度和精准度。解决企业、社会、政府信息不对称问题，建立小微企业发展信息互联互通机制，通过数据分析、信息公示等功能，推动大众创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县人社局</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9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数字经济创新示范园</w:t>
            </w:r>
          </w:p>
        </w:tc>
        <w:tc>
          <w:tcPr>
            <w:tcW w:w="104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改建、扩建或新建</w:t>
            </w:r>
          </w:p>
        </w:tc>
        <w:tc>
          <w:tcPr>
            <w:tcW w:w="3583"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县域特色数字经济实体示范培育基地，在政府的扶持下有潜力做强做大</w:t>
            </w:r>
          </w:p>
        </w:tc>
        <w:tc>
          <w:tcPr>
            <w:tcW w:w="9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800.00 </w:t>
            </w:r>
          </w:p>
        </w:tc>
        <w:tc>
          <w:tcPr>
            <w:tcW w:w="7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县经贸局</w:t>
            </w:r>
          </w:p>
        </w:tc>
        <w:tc>
          <w:tcPr>
            <w:tcW w:w="7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特色服务业网上展示平台</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紫阳县各县域</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紫阳县特色服务行业的技术人员进行标准化培训，建立特色服务行业信息化平台，包括报名服务、线上教育（及时发布技能视频及相关课程）、线下学习（创业就业服务中心提供场所以及相关资料政策的介绍）、就业分析四大模块，提高当地就业，加快经济发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能带动当地经济发展并能扩大就业的特色服务业进行标准化培训。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县人社局</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大型分布式信息化平台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数字创意产业发展支撑平台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根据县地理位置产业发展优势选择合适的地理位置，建立数字创意创业服务园，为数字创意产业的发展提供支撑体系。</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县文旅局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4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康养产业数字化提升改造</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根据全县养老、健康、医疗产业的信息标准化、服务标准化发展进程，对紫阳县的康养产业进行系统的划分，利用大数据平台，打造康养大数据服务平台，推动现代互联网工具对养老、医疗、旅游、卫生等产业升级改造，为康阳产业导入新动能。  </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县卫生健康委员会、统计局等</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紫阳县全域智慧旅游建设项目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项目具体实施内容：旅游数据中心，新建游客服务中心软件设施、景区监控指挥中心、旅游大数据平台、旅游综合监管平台、旅游公共服务平台、旅游营销服务平台、公共短信服务平台等；</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文旅广电局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旅游集团公司</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智慧健康养老服务项目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充分利用数字技术和智能健康养老产品，创新服务模式，为民众提供新型健康养老服务，主要包括慢性病管理、居家健康养老、个性化健康管理、互联网健康咨询、生活照护、养老机构信息化等六大类。</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卫健局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高素质康养服务人才培训体系建设项目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紫阳县职教中心建设，开展现代康养服务人才综合培训。开设康复、营养、保健、心理、社工、健康管理等相关专业，培养康复养老护理、中医按摩保健、药剂管理、心理疏导等专业人才，构建以职业教育为主体、应用型人才和理论型人才相互衔接的康养服务人才培养体系，形成多层次康养服务人才梯队。</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教体科技局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jc w:val="center"/>
        </w:trPr>
        <w:tc>
          <w:tcPr>
            <w:tcW w:w="76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28800.00 </w:t>
            </w:r>
          </w:p>
        </w:tc>
        <w:tc>
          <w:tcPr>
            <w:tcW w:w="84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2" w:hRule="atLeast"/>
          <w:jc w:val="center"/>
        </w:trPr>
        <w:tc>
          <w:tcPr>
            <w:tcW w:w="76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14798" w:type="dxa"/>
            <w:gridSpan w:val="1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社会发展类（总投资66300万元）</w:t>
            </w:r>
          </w:p>
        </w:tc>
      </w:tr>
      <w:tr>
        <w:tblPrEx>
          <w:tblCellMar>
            <w:top w:w="0" w:type="dxa"/>
            <w:left w:w="0" w:type="dxa"/>
            <w:bottom w:w="0" w:type="dxa"/>
            <w:right w:w="0" w:type="dxa"/>
          </w:tblCellMar>
        </w:tblPrEx>
        <w:trPr>
          <w:trHeight w:val="14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教育信息化提升项目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一体化的“互联网+教育”服务体系，建设入学无纸化报名系统，打通户籍、社保、房产、租赁、居住证、计生等信息，实现入学报名“最多跑一次"，探索智慧教室建设新模式，支持建设在线智能教室、虚实互动实验室等智能化教学环境。</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19800.00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教体科技局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5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rPr>
              <w:t>智慧</w:t>
            </w:r>
            <w:r>
              <w:rPr>
                <w:rFonts w:hint="eastAsia" w:ascii="宋体" w:hAnsi="宋体" w:eastAsia="宋体" w:cs="宋体"/>
                <w:i w:val="0"/>
                <w:color w:val="000000"/>
                <w:sz w:val="18"/>
                <w:szCs w:val="18"/>
                <w:u w:val="none"/>
                <w:lang w:eastAsia="zh-CN"/>
              </w:rPr>
              <w:t>医疗</w:t>
            </w:r>
            <w:r>
              <w:rPr>
                <w:rFonts w:hint="eastAsia" w:ascii="宋体" w:hAnsi="宋体" w:eastAsia="宋体" w:cs="宋体"/>
                <w:i w:val="0"/>
                <w:color w:val="000000"/>
                <w:sz w:val="18"/>
                <w:szCs w:val="18"/>
                <w:u w:val="none"/>
                <w:lang w:val="en-US" w:eastAsia="zh-CN"/>
              </w:rPr>
              <w:t>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构建</w:t>
            </w:r>
            <w:r>
              <w:rPr>
                <w:rFonts w:hint="eastAsia" w:ascii="宋体" w:hAnsi="宋体" w:eastAsia="宋体" w:cs="宋体"/>
                <w:i w:val="0"/>
                <w:color w:val="000000"/>
                <w:sz w:val="18"/>
                <w:szCs w:val="18"/>
                <w:u w:val="none"/>
              </w:rPr>
              <w:t xml:space="preserve">全民健康信息平台，整合医院、公共卫生和生育健康服务等信息系统，搭建 </w:t>
            </w:r>
            <w:r>
              <w:rPr>
                <w:rFonts w:hint="eastAsia" w:ascii="宋体" w:hAnsi="宋体" w:eastAsia="宋体" w:cs="宋体"/>
                <w:i w:val="0"/>
                <w:color w:val="000000"/>
                <w:sz w:val="18"/>
                <w:szCs w:val="18"/>
                <w:u w:val="none"/>
                <w:lang w:val="zh-CN" w:eastAsia="zh-CN"/>
              </w:rPr>
              <w:t>“</w:t>
            </w:r>
            <w:r>
              <w:rPr>
                <w:rFonts w:hint="eastAsia" w:ascii="宋体" w:hAnsi="宋体" w:eastAsia="宋体" w:cs="宋体"/>
                <w:i w:val="0"/>
                <w:color w:val="000000"/>
                <w:sz w:val="18"/>
                <w:szCs w:val="18"/>
                <w:u w:val="none"/>
              </w:rPr>
              <w:t>智慧健康网”，实现检查检验结果、用药处方、健康档案、预防接种等信息的线上查询，以及预约挂号、生育证备案管理、健康教育等信息惠民服务。建立完善远程医疗服务体系，以</w:t>
            </w: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级医院牵头，构筑覆盖县、镇（乡、街道）、村（社区）</w:t>
            </w:r>
            <w:r>
              <w:rPr>
                <w:rFonts w:hint="eastAsia" w:ascii="宋体" w:hAnsi="宋体" w:eastAsia="宋体" w:cs="宋体"/>
                <w:i w:val="0"/>
                <w:color w:val="000000"/>
                <w:sz w:val="18"/>
                <w:szCs w:val="18"/>
                <w:u w:val="none"/>
                <w:lang w:eastAsia="zh-CN"/>
              </w:rPr>
              <w:t>三</w:t>
            </w:r>
            <w:r>
              <w:rPr>
                <w:rFonts w:hint="eastAsia" w:ascii="宋体" w:hAnsi="宋体" w:eastAsia="宋体" w:cs="宋体"/>
                <w:i w:val="0"/>
                <w:color w:val="000000"/>
                <w:sz w:val="18"/>
                <w:szCs w:val="18"/>
                <w:u w:val="none"/>
              </w:rPr>
              <w:t xml:space="preserve">级远程医疗服务体系，提升基层医疗机构服务能力，解决基层医疗技术能力不足和医疗资源不公平的问题。 </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46500.00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卫健局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88" w:hRule="atLeast"/>
          <w:jc w:val="center"/>
        </w:trPr>
        <w:tc>
          <w:tcPr>
            <w:tcW w:w="762" w:type="dxa"/>
            <w:tcBorders>
              <w:top w:val="single" w:color="000000" w:sz="4" w:space="0"/>
              <w:left w:val="single" w:color="000000" w:sz="4" w:space="0"/>
              <w:bottom w:val="single" w:color="000000" w:sz="12"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66300.00 </w:t>
            </w:r>
          </w:p>
        </w:tc>
        <w:tc>
          <w:tcPr>
            <w:tcW w:w="84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jc w:val="center"/>
        </w:trPr>
        <w:tc>
          <w:tcPr>
            <w:tcW w:w="76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14798" w:type="dxa"/>
            <w:gridSpan w:val="1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社会综合治理类（总投资9000万元）</w:t>
            </w:r>
          </w:p>
        </w:tc>
      </w:tr>
      <w:tr>
        <w:tblPrEx>
          <w:shd w:val="clear" w:color="auto" w:fill="auto"/>
          <w:tblCellMar>
            <w:top w:w="0" w:type="dxa"/>
            <w:left w:w="0" w:type="dxa"/>
            <w:bottom w:w="0" w:type="dxa"/>
            <w:right w:w="0" w:type="dxa"/>
          </w:tblCellMar>
        </w:tblPrEx>
        <w:trPr>
          <w:trHeight w:val="8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城市数字化综合信息管理平台项目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数字化管理一体化平台，包括城市管理、排水防涝、应急抢险、污水监测、项目管理、垃圾转运等子模块。</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应急管理局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紫阳县救灾应急体系建设项目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完善应急体制机制，新建网络信息化的应急救灾指挥系统，标定事故已发生地点进行实时监控。</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4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政务服务提升工程</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升级</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务服务提升三项工程：一是标准化建设工程。提升基础设施建设和政务服务运行管理标准，规范政务服务场所建设，完善服务设施配套，统一政务服务标准，提高政务服务水平，实现“高标准”政务服务。二是便民服务网点建设工程。推动县城便民服务网点和村（社区）智慧便民服务平台建设，将自助终端便民服务向县城交通便利区、人员密集区等场所延伸，合理布局24小时自助服务网点。依托社区居委会延伸政务服务平台，增设便民服务功能，改善服务条件，打造“高品质、高效能、高满意度”的便民服务体系。三是“互联网+政务服务”工程。持续推进网上政务服务平台建设，健全完善网上政务移动客户端、政务公开、网上中介服务、在线支付、政务服务“好差评”、智慧考勤等系统，实现便民服务、公共服务、互动交流、效能投诉、绩效管理等系统一体化建设。</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9000.00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p>
        </w:tc>
        <w:tc>
          <w:tcPr>
            <w:tcW w:w="1479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生态资源类项目（总投资5200万元）</w:t>
            </w:r>
          </w:p>
        </w:tc>
      </w:tr>
      <w:tr>
        <w:tblPrEx>
          <w:shd w:val="clear" w:color="auto" w:fill="auto"/>
          <w:tblCellMar>
            <w:top w:w="0" w:type="dxa"/>
            <w:left w:w="0" w:type="dxa"/>
            <w:bottom w:w="0" w:type="dxa"/>
            <w:right w:w="0" w:type="dxa"/>
          </w:tblCellMar>
        </w:tblPrEx>
        <w:trPr>
          <w:trHeight w:val="11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智慧林业生态管理项目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sz w:val="18"/>
                <w:szCs w:val="18"/>
                <w:u w:val="none"/>
                <w:lang w:val="en-US" w:eastAsia="zh-CN"/>
              </w:rPr>
              <w:t>建设智慧林业生态管理平台，含智慧林业运用系统、智慧林业数据库、智慧林业基础设施（网络通信建设、森林防火指挥中心、森防监控云台、红外探测器等）。</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生态保护区域网上公示与查询</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建立紫阳县综合生态保护区信息数据库门户网站，用户根据自己的动态位置，在网站上可查询详细生态保护区基础数据以及国家规定政策。</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县生态环境局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紫阳资源虚拟现实查询</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建立闲置资源公示数据系统，分为闲置房屋、土地、林地等模块，以及数据资源管理模块。对闲置的房屋、设备、土地、林地等进行实时公示，物有所用物有所值。通过手机、公共场所的大屏均可方便获取。</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完成建设任务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县住建局、林业局等</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各镇人民政府</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3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紫阳灾害在线监测及预警应急平台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对紫阳县域的地质灾害区域、江河水势、森林防火等恶劣天气等自然灾害进行监测及预警。</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现场监测设备、传输设备及预警救灾平台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县应急局</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9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5200.00 </w:t>
            </w:r>
          </w:p>
        </w:tc>
        <w:tc>
          <w:tcPr>
            <w:tcW w:w="8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204300.00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20"/>
                <w:szCs w:val="20"/>
                <w:u w:val="none"/>
                <w:lang w:val="en-US" w:eastAsia="zh-CN" w:bidi="ar"/>
              </w:rPr>
              <w:t xml:space="preserve">40860.00 </w:t>
            </w:r>
          </w:p>
        </w:tc>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4"/>
        <w:bidi w:val="0"/>
        <w:jc w:val="both"/>
        <w:outlineLvl w:val="9"/>
        <w:rPr>
          <w:rFonts w:hint="eastAsia" w:asciiTheme="minorEastAsia" w:hAnsiTheme="minorEastAsia" w:eastAsiaTheme="minorEastAsia" w:cstheme="minorEastAsia"/>
          <w:kern w:val="0"/>
          <w:sz w:val="21"/>
          <w:szCs w:val="21"/>
          <w:lang w:val="en-US" w:eastAsia="zh-CN" w:bidi="ar-SA"/>
        </w:rPr>
      </w:pPr>
    </w:p>
    <w:sectPr>
      <w:headerReference r:id="rId16" w:type="default"/>
      <w:footerReference r:id="rId17" w:type="default"/>
      <w:pgSz w:w="16783" w:h="11850" w:orient="landscape"/>
      <w:pgMar w:top="1134" w:right="1157" w:bottom="1134" w:left="115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column">
                <wp:posOffset>-230505</wp:posOffset>
              </wp:positionH>
              <wp:positionV relativeFrom="paragraph">
                <wp:posOffset>-8255</wp:posOffset>
              </wp:positionV>
              <wp:extent cx="6599555" cy="0"/>
              <wp:effectExtent l="0" t="0" r="0" b="0"/>
              <wp:wrapNone/>
              <wp:docPr id="38" name="直接连接符 38"/>
              <wp:cNvGraphicFramePr/>
              <a:graphic xmlns:a="http://schemas.openxmlformats.org/drawingml/2006/main">
                <a:graphicData uri="http://schemas.microsoft.com/office/word/2010/wordprocessingShape">
                  <wps:wsp>
                    <wps:cNvCnPr/>
                    <wps:spPr>
                      <a:xfrm>
                        <a:off x="489585" y="9790430"/>
                        <a:ext cx="6599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5pt;margin-top:-0.65pt;height:0pt;width:519.65pt;z-index:251663360;mso-width-relative:page;mso-height-relative:page;" filled="f" stroked="t" coordsize="21600,21600" o:gfxdata="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Jyji1QAAAAoBAAAPAAAAAAAAAAEAIAAAACIAAABkcnMvZG93bnJldi54bWxQSwECFAAUAAAA&#10;CACHTuJAfOeOhvEBAAC+AwAADgAAAAAAAAABACAAAAAkAQAAZHJzL2Uyb0RvYy54bWxQSwUGAAAA&#10;AAYABgBZAQAAhwUAAAAA&#10;">
              <v:fill on="f" focussize="0,0"/>
              <v:stroke weight="0.5pt" color="#000000 [3213]" miterlimit="8"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535"/>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6750685" cy="0"/>
              <wp:effectExtent l="0" t="0" r="0" b="0"/>
              <wp:wrapNone/>
              <wp:docPr id="1" name="直接连接符 1"/>
              <wp:cNvGraphicFramePr/>
              <a:graphic xmlns:a="http://schemas.openxmlformats.org/drawingml/2006/main">
                <a:graphicData uri="http://schemas.microsoft.com/office/word/2010/wordprocessingShape">
                  <wps:wsp>
                    <wps:cNvCnPr/>
                    <wps:spPr>
                      <a:xfrm>
                        <a:off x="515620" y="9786620"/>
                        <a:ext cx="6750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35pt;margin-top:-0.85pt;height:0pt;width:531.55pt;z-index:251661312;mso-width-relative:page;mso-height-relative:page;" filled="f" stroked="t" coordsize="21600,21600" o:gfxdata="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WuJG1gAAAAoBAAAPAAAAAAAAAAEAIAAAACIAAABkcnMvZG93bnJldi54bWxQSwECFAAUAAAACACH&#10;TuJAn/0xRO0BAAC8AwAADgAAAAAAAAABACAAAAAlAQAAZHJzL2Uyb0RvYy54bWxQSwUGAAAAAAYA&#10;BgBZAQAAhAUAAAAA&#10;">
              <v:fill on="f" focussize="0,0"/>
              <v:stroke weight="0.5pt" color="#000000 [3213]" miterlimit="8" joinstyle="miter"/>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535"/>
        <w:tab w:val="clear" w:pos="4153"/>
      </w:tabs>
      <w:jc w:val="cente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column">
                <wp:posOffset>-296545</wp:posOffset>
              </wp:positionH>
              <wp:positionV relativeFrom="paragraph">
                <wp:posOffset>-10795</wp:posOffset>
              </wp:positionV>
              <wp:extent cx="6750685" cy="0"/>
              <wp:effectExtent l="0" t="0" r="0" b="0"/>
              <wp:wrapNone/>
              <wp:docPr id="45" name="直接连接符 45"/>
              <wp:cNvGraphicFramePr/>
              <a:graphic xmlns:a="http://schemas.openxmlformats.org/drawingml/2006/main">
                <a:graphicData uri="http://schemas.microsoft.com/office/word/2010/wordprocessingShape">
                  <wps:wsp>
                    <wps:cNvCnPr/>
                    <wps:spPr>
                      <a:xfrm>
                        <a:off x="515620" y="9786620"/>
                        <a:ext cx="6750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35pt;margin-top:-0.85pt;height:0pt;width:531.55pt;z-index:251684864;mso-width-relative:page;mso-height-relative:page;" filled="f" stroked="t" coordsize="21600,21600" o:gfxdata="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WuJG1gAAAAoBAAAPAAAAAAAAAAEAIAAAACIAAABkcnMvZG93bnJldi54bWxQSwECFAAUAAAA&#10;CACHTuJABId47fABAAC+AwAADgAAAAAAAAABACAAAAAlAQAAZHJzL2Uyb0RvYy54bWxQSwUGAAAA&#10;AAYABgBZAQAAhwUAAAAA&#10;">
              <v:fill on="f" focussize="0,0"/>
              <v:stroke weight="0.5pt" color="#000000 [3213]" miterlimit="8" joinstyle="miter"/>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column">
                <wp:posOffset>-230505</wp:posOffset>
              </wp:positionH>
              <wp:positionV relativeFrom="paragraph">
                <wp:posOffset>-8255</wp:posOffset>
              </wp:positionV>
              <wp:extent cx="6599555" cy="0"/>
              <wp:effectExtent l="0" t="0" r="0" b="0"/>
              <wp:wrapNone/>
              <wp:docPr id="46" name="直接连接符 46"/>
              <wp:cNvGraphicFramePr/>
              <a:graphic xmlns:a="http://schemas.openxmlformats.org/drawingml/2006/main">
                <a:graphicData uri="http://schemas.microsoft.com/office/word/2010/wordprocessingShape">
                  <wps:wsp>
                    <wps:cNvCnPr/>
                    <wps:spPr>
                      <a:xfrm>
                        <a:off x="489585" y="9790430"/>
                        <a:ext cx="6599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5pt;margin-top:-0.65pt;height:0pt;width:519.65pt;z-index:251686912;mso-width-relative:page;mso-height-relative:page;" filled="f" stroked="t" coordsize="21600,21600" o:gfxdata="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nKOLVAAAACgEAAA8AAAAAAAAAAQAgAAAAIgAAAGRycy9kb3ducmV2LnhtbFBLAQIUABQAAAAI&#10;AIdO4kC5eKq98AEAAL4DAAAOAAAAAAAAAAEAIAAAACQBAABkcnMvZTJvRG9jLnhtbFBLBQYAAAAA&#10;BgAGAFkBAACGBQAAAAA=&#10;">
              <v:fill on="f" focussize="0,0"/>
              <v:stroke weight="0.5pt" color="#000000 [3213]" miterlimit="8" joinstyle="miter"/>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535"/>
        <w:tab w:val="clear" w:pos="4153"/>
      </w:tabs>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-296545</wp:posOffset>
              </wp:positionH>
              <wp:positionV relativeFrom="paragraph">
                <wp:posOffset>-10795</wp:posOffset>
              </wp:positionV>
              <wp:extent cx="6750685" cy="0"/>
              <wp:effectExtent l="0" t="0" r="0" b="0"/>
              <wp:wrapNone/>
              <wp:docPr id="40" name="直接连接符 40"/>
              <wp:cNvGraphicFramePr/>
              <a:graphic xmlns:a="http://schemas.openxmlformats.org/drawingml/2006/main">
                <a:graphicData uri="http://schemas.microsoft.com/office/word/2010/wordprocessingShape">
                  <wps:wsp>
                    <wps:cNvCnPr/>
                    <wps:spPr>
                      <a:xfrm>
                        <a:off x="515620" y="9786620"/>
                        <a:ext cx="6750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35pt;margin-top:-0.85pt;height:0pt;width:531.55pt;z-index:251670528;mso-width-relative:page;mso-height-relative:page;" filled="f" stroked="t" coordsize="21600,21600" o:gfxdata="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WuJG1gAAAAoBAAAPAAAAAAAAAAEAIAAAACIAAABkcnMvZG93bnJldi54bWxQSwECFAAUAAAA&#10;CACHTuJA5CJF7fABAAC+AwAADgAAAAAAAAABACAAAAAlAQAAZHJzL2Uyb0RvYy54bWxQSwUGAAAA&#10;AAYABgBZAQAAhwUAAAAA&#10;">
              <v:fill on="f" focussize="0,0"/>
              <v:stroke weight="0.5pt" color="#000000 [3213]" miterlimit="8" joinstyle="miter"/>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column">
                <wp:posOffset>-230505</wp:posOffset>
              </wp:positionH>
              <wp:positionV relativeFrom="paragraph">
                <wp:posOffset>-8255</wp:posOffset>
              </wp:positionV>
              <wp:extent cx="6599555" cy="0"/>
              <wp:effectExtent l="0" t="0" r="0" b="0"/>
              <wp:wrapNone/>
              <wp:docPr id="43" name="直接连接符 43"/>
              <wp:cNvGraphicFramePr/>
              <a:graphic xmlns:a="http://schemas.openxmlformats.org/drawingml/2006/main">
                <a:graphicData uri="http://schemas.microsoft.com/office/word/2010/wordprocessingShape">
                  <wps:wsp>
                    <wps:cNvCnPr/>
                    <wps:spPr>
                      <a:xfrm>
                        <a:off x="489585" y="9790430"/>
                        <a:ext cx="6599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5pt;margin-top:-0.65pt;height:0pt;width:519.65pt;z-index:251682816;mso-width-relative:page;mso-height-relative:page;" filled="f" stroked="t" coordsize="21600,21600" o:gfxdata="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nKOLVAAAACgEAAA8AAAAAAAAAAQAgAAAAIgAAAGRycy9kb3ducmV2LnhtbFBLAQIUABQAAAAI&#10;AIdO4kBZ3Ze98AEAAL4DAAAOAAAAAAAAAAEAIAAAACQBAABkcnMvZTJvRG9jLnhtbFBLBQYAAAAA&#10;BgAGAFkBAACGBQAAAAA=&#10;">
              <v:fill on="f" focussize="0,0"/>
              <v:stroke weight="0.5pt" color="#000000 [3213]" miterlimit="8" joinstyle="miter"/>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-422910</wp:posOffset>
              </wp:positionH>
              <wp:positionV relativeFrom="paragraph">
                <wp:posOffset>-10795</wp:posOffset>
              </wp:positionV>
              <wp:extent cx="9700260" cy="0"/>
              <wp:effectExtent l="0" t="0" r="0" b="0"/>
              <wp:wrapNone/>
              <wp:docPr id="2" name="直接连接符 2"/>
              <wp:cNvGraphicFramePr/>
              <a:graphic xmlns:a="http://schemas.openxmlformats.org/drawingml/2006/main">
                <a:graphicData uri="http://schemas.microsoft.com/office/word/2010/wordprocessingShape">
                  <wps:wsp>
                    <wps:cNvCnPr/>
                    <wps:spPr>
                      <a:xfrm>
                        <a:off x="515620" y="9786620"/>
                        <a:ext cx="9700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3pt;margin-top:-0.85pt;height:0pt;width:763.8pt;z-index:251662336;mso-width-relative:page;mso-height-relative:page;" filled="f" stroked="t" coordsize="21600,21600" o:gfxdata="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nkrUdcAAAAKAQAADwAAAAAAAAABACAAAAAiAAAAZHJzL2Rvd25yZXYueG1sUEsBAhQAFAAAAAgA&#10;h07iQC6GneHtAQAAvAMAAA4AAAAAAAAAAQAgAAAAJgEAAGRycy9lMm9Eb2MueG1sUEsFBgAAAAAG&#10;AAYAWQEAAIUFAAAAAA==&#10;">
              <v:fill on="f" focussize="0,0"/>
              <v:stroke weight="0.5pt" color="#000000 [3213]"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adjustRightInd/>
      <w:snapToGrid/>
      <w:spacing w:before="80" w:after="0" w:line="360" w:lineRule="auto"/>
      <w:ind w:left="0" w:leftChars="0" w:firstLine="0" w:firstLineChars="0"/>
      <w:jc w:val="center"/>
      <w:rPr>
        <w:b w:val="0"/>
        <w:b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bottom w:val="single" w:color="auto" w:sz="4" w:space="0"/>
      </w:pBdr>
      <w:adjustRightInd/>
      <w:snapToGrid/>
      <w:spacing w:before="80" w:after="0" w:line="360" w:lineRule="auto"/>
      <w:ind w:left="0" w:leftChars="0" w:firstLine="0" w:firstLineChars="0"/>
      <w:jc w:val="center"/>
    </w:pPr>
    <w:r>
      <w:rPr>
        <w:rFonts w:hint="eastAsia" w:asciiTheme="minorEastAsia" w:hAnsiTheme="minorEastAsia" w:eastAsiaTheme="minorEastAsia" w:cstheme="minorEastAsia"/>
        <w:b w:val="0"/>
        <w:bCs w:val="0"/>
        <w:kern w:val="0"/>
        <w:sz w:val="22"/>
        <w:szCs w:val="22"/>
        <w:lang w:val="en-US" w:eastAsia="zh-CN" w:bidi="ar-SA"/>
      </w:rPr>
      <w:t>《紫阳县“十四五”数字经济发展规划》（2021-2025年）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bottom w:val="single" w:color="000000" w:sz="4" w:space="0"/>
      </w:pBdr>
      <w:adjustRightInd/>
      <w:snapToGrid/>
      <w:spacing w:before="80" w:after="0" w:line="360" w:lineRule="auto"/>
      <w:ind w:left="0" w:leftChars="0" w:firstLine="0" w:firstLineChars="0"/>
      <w:jc w:val="center"/>
      <w:rPr>
        <w:b w:val="0"/>
        <w:bCs w:val="0"/>
      </w:rPr>
    </w:pPr>
    <w:r>
      <w:rPr>
        <w:rFonts w:hint="eastAsia" w:asciiTheme="minorEastAsia" w:hAnsiTheme="minorEastAsia" w:eastAsiaTheme="minorEastAsia" w:cstheme="minorEastAsia"/>
        <w:b w:val="0"/>
        <w:bCs w:val="0"/>
        <w:kern w:val="0"/>
        <w:sz w:val="22"/>
        <w:szCs w:val="22"/>
        <w:lang w:val="en-US" w:eastAsia="zh-CN" w:bidi="ar-SA"/>
      </w:rPr>
      <w:t>《紫阳县“十四五”数字经济发展规划》（2021-2025年）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bottom w:val="single" w:color="000000" w:sz="4" w:space="0"/>
      </w:pBdr>
      <w:adjustRightInd/>
      <w:snapToGrid/>
      <w:spacing w:before="80" w:after="0" w:line="360" w:lineRule="auto"/>
      <w:ind w:left="0" w:leftChars="0" w:firstLine="0" w:firstLineChars="0"/>
      <w:jc w:val="center"/>
      <w:rPr>
        <w:b w:val="0"/>
        <w:bCs w:val="0"/>
      </w:rPr>
    </w:pPr>
    <w:r>
      <w:rPr>
        <w:rFonts w:hint="eastAsia" w:asciiTheme="minorEastAsia" w:hAnsiTheme="minorEastAsia" w:eastAsiaTheme="minorEastAsia" w:cstheme="minorEastAsia"/>
        <w:b w:val="0"/>
        <w:bCs w:val="0"/>
        <w:kern w:val="0"/>
        <w:sz w:val="22"/>
        <w:szCs w:val="22"/>
        <w:lang w:val="en-US" w:eastAsia="zh-CN" w:bidi="ar-SA"/>
      </w:rPr>
      <w:t>附  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bottom w:val="single" w:color="auto" w:sz="4" w:space="0"/>
      </w:pBdr>
      <w:adjustRightInd/>
      <w:snapToGrid/>
      <w:spacing w:before="80" w:after="0" w:line="360" w:lineRule="auto"/>
      <w:ind w:left="0" w:leftChars="0" w:firstLine="0" w:firstLineChars="0"/>
      <w:jc w:val="center"/>
      <w:rPr>
        <w:rFonts w:hint="eastAsia" w:eastAsia="微软雅黑"/>
        <w:lang w:val="en-US" w:eastAsia="zh-CN"/>
      </w:rPr>
    </w:pPr>
    <w:r>
      <w:rPr>
        <w:rFonts w:hint="eastAsia"/>
        <w:b/>
        <w:bCs/>
        <w:lang w:val="en-US" w:eastAsia="zh-CN"/>
      </w:rPr>
      <w:t>附  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紫阳县数字经济“十四五”发展规划重点建设项目表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68AF"/>
    <w:multiLevelType w:val="singleLevel"/>
    <w:tmpl w:val="DCB768AF"/>
    <w:lvl w:ilvl="0" w:tentative="0">
      <w:start w:val="1"/>
      <w:numFmt w:val="chineseCounting"/>
      <w:suff w:val="nothing"/>
      <w:lvlText w:val="%1、"/>
      <w:lvlJc w:val="left"/>
      <w:rPr>
        <w:rFonts w:hint="eastAsia"/>
      </w:rPr>
    </w:lvl>
  </w:abstractNum>
  <w:abstractNum w:abstractNumId="1">
    <w:nsid w:val="E734BDF4"/>
    <w:multiLevelType w:val="singleLevel"/>
    <w:tmpl w:val="E734BDF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172A27"/>
    <w:rsid w:val="007E4F45"/>
    <w:rsid w:val="00994543"/>
    <w:rsid w:val="01010D7E"/>
    <w:rsid w:val="010517C6"/>
    <w:rsid w:val="01305521"/>
    <w:rsid w:val="0135539A"/>
    <w:rsid w:val="01395137"/>
    <w:rsid w:val="0155283A"/>
    <w:rsid w:val="0158644A"/>
    <w:rsid w:val="015B135D"/>
    <w:rsid w:val="01815D18"/>
    <w:rsid w:val="01C23676"/>
    <w:rsid w:val="021D6BC0"/>
    <w:rsid w:val="02684FBC"/>
    <w:rsid w:val="02C33C87"/>
    <w:rsid w:val="02CF67A5"/>
    <w:rsid w:val="02E344AD"/>
    <w:rsid w:val="02EE7F97"/>
    <w:rsid w:val="031D0F3E"/>
    <w:rsid w:val="03226054"/>
    <w:rsid w:val="033805B3"/>
    <w:rsid w:val="034B2599"/>
    <w:rsid w:val="03586533"/>
    <w:rsid w:val="03802E80"/>
    <w:rsid w:val="040C69B0"/>
    <w:rsid w:val="040F4B2A"/>
    <w:rsid w:val="0412066D"/>
    <w:rsid w:val="04A32680"/>
    <w:rsid w:val="04BB76D4"/>
    <w:rsid w:val="05015984"/>
    <w:rsid w:val="05185D8B"/>
    <w:rsid w:val="0575177B"/>
    <w:rsid w:val="05927D37"/>
    <w:rsid w:val="0604012B"/>
    <w:rsid w:val="06370675"/>
    <w:rsid w:val="067B124D"/>
    <w:rsid w:val="06C04582"/>
    <w:rsid w:val="06EA1729"/>
    <w:rsid w:val="07036869"/>
    <w:rsid w:val="070C5D26"/>
    <w:rsid w:val="07A3484E"/>
    <w:rsid w:val="07B8322D"/>
    <w:rsid w:val="07BA32D4"/>
    <w:rsid w:val="07D5191D"/>
    <w:rsid w:val="07FB535A"/>
    <w:rsid w:val="080E0270"/>
    <w:rsid w:val="08157D9C"/>
    <w:rsid w:val="086148FE"/>
    <w:rsid w:val="08C67F78"/>
    <w:rsid w:val="093D6A6E"/>
    <w:rsid w:val="0968646D"/>
    <w:rsid w:val="09864737"/>
    <w:rsid w:val="09AB2AC7"/>
    <w:rsid w:val="09B12666"/>
    <w:rsid w:val="09DF1E4A"/>
    <w:rsid w:val="09E3641C"/>
    <w:rsid w:val="09E73D1C"/>
    <w:rsid w:val="0A117006"/>
    <w:rsid w:val="0A9A51A6"/>
    <w:rsid w:val="0AB115A1"/>
    <w:rsid w:val="0ACA6E97"/>
    <w:rsid w:val="0AE33EE2"/>
    <w:rsid w:val="0B21344E"/>
    <w:rsid w:val="0B2276D1"/>
    <w:rsid w:val="0B6477F4"/>
    <w:rsid w:val="0B6A63B1"/>
    <w:rsid w:val="0B92571E"/>
    <w:rsid w:val="0B972686"/>
    <w:rsid w:val="0BEF111C"/>
    <w:rsid w:val="0C04307B"/>
    <w:rsid w:val="0C464156"/>
    <w:rsid w:val="0C9E4DD2"/>
    <w:rsid w:val="0CA412B1"/>
    <w:rsid w:val="0CE1213C"/>
    <w:rsid w:val="0CFF4C9F"/>
    <w:rsid w:val="0D0F23D0"/>
    <w:rsid w:val="0D3743BC"/>
    <w:rsid w:val="0D602160"/>
    <w:rsid w:val="0D6E1BF8"/>
    <w:rsid w:val="0D8129ED"/>
    <w:rsid w:val="0D8F560B"/>
    <w:rsid w:val="0D9304D3"/>
    <w:rsid w:val="0DCC65FF"/>
    <w:rsid w:val="0DFB4049"/>
    <w:rsid w:val="0E103366"/>
    <w:rsid w:val="0E211282"/>
    <w:rsid w:val="0E296FDE"/>
    <w:rsid w:val="0E49650F"/>
    <w:rsid w:val="0E7A5B5E"/>
    <w:rsid w:val="0E877D5E"/>
    <w:rsid w:val="0EA02E49"/>
    <w:rsid w:val="0EBD1D69"/>
    <w:rsid w:val="0EE3370F"/>
    <w:rsid w:val="0EFE0415"/>
    <w:rsid w:val="0F1F66C0"/>
    <w:rsid w:val="0F592DF9"/>
    <w:rsid w:val="0F7D6C2B"/>
    <w:rsid w:val="0F88092A"/>
    <w:rsid w:val="0FB65F8E"/>
    <w:rsid w:val="0FD458FA"/>
    <w:rsid w:val="0FF075BA"/>
    <w:rsid w:val="0FF87CC7"/>
    <w:rsid w:val="0FFD00DC"/>
    <w:rsid w:val="10022AF6"/>
    <w:rsid w:val="101330B1"/>
    <w:rsid w:val="10223778"/>
    <w:rsid w:val="10306018"/>
    <w:rsid w:val="105260DF"/>
    <w:rsid w:val="106E7154"/>
    <w:rsid w:val="1079110E"/>
    <w:rsid w:val="109C4B78"/>
    <w:rsid w:val="10BA779D"/>
    <w:rsid w:val="10C523DC"/>
    <w:rsid w:val="10F354C3"/>
    <w:rsid w:val="111E2988"/>
    <w:rsid w:val="11384112"/>
    <w:rsid w:val="12CD3059"/>
    <w:rsid w:val="130B08CF"/>
    <w:rsid w:val="130E4030"/>
    <w:rsid w:val="131C2DE3"/>
    <w:rsid w:val="133B7842"/>
    <w:rsid w:val="139C177A"/>
    <w:rsid w:val="13A17D3E"/>
    <w:rsid w:val="13B90F8E"/>
    <w:rsid w:val="14055AE9"/>
    <w:rsid w:val="14055E5A"/>
    <w:rsid w:val="140D5877"/>
    <w:rsid w:val="14324BD9"/>
    <w:rsid w:val="14527F22"/>
    <w:rsid w:val="15085A08"/>
    <w:rsid w:val="15085A99"/>
    <w:rsid w:val="153275C4"/>
    <w:rsid w:val="153C7F90"/>
    <w:rsid w:val="156B3644"/>
    <w:rsid w:val="156C6162"/>
    <w:rsid w:val="15C721F7"/>
    <w:rsid w:val="16035C5B"/>
    <w:rsid w:val="167441B5"/>
    <w:rsid w:val="16846CCC"/>
    <w:rsid w:val="16850BE4"/>
    <w:rsid w:val="16CF0D28"/>
    <w:rsid w:val="17232C3A"/>
    <w:rsid w:val="1744769E"/>
    <w:rsid w:val="17E31D7B"/>
    <w:rsid w:val="18735DD9"/>
    <w:rsid w:val="18942E26"/>
    <w:rsid w:val="18A27185"/>
    <w:rsid w:val="18BE2BE4"/>
    <w:rsid w:val="18C37A6C"/>
    <w:rsid w:val="18DB158A"/>
    <w:rsid w:val="18FD65A6"/>
    <w:rsid w:val="19241506"/>
    <w:rsid w:val="19333575"/>
    <w:rsid w:val="198A4892"/>
    <w:rsid w:val="19A00320"/>
    <w:rsid w:val="19E85BF1"/>
    <w:rsid w:val="19FE6053"/>
    <w:rsid w:val="1A57390E"/>
    <w:rsid w:val="1A685D7C"/>
    <w:rsid w:val="1A8E04D3"/>
    <w:rsid w:val="1A954E14"/>
    <w:rsid w:val="1AAC39D4"/>
    <w:rsid w:val="1AF33D66"/>
    <w:rsid w:val="1B3F7780"/>
    <w:rsid w:val="1B581070"/>
    <w:rsid w:val="1B5C73FC"/>
    <w:rsid w:val="1B5F465F"/>
    <w:rsid w:val="1B81665B"/>
    <w:rsid w:val="1C3639D0"/>
    <w:rsid w:val="1C730FE1"/>
    <w:rsid w:val="1CD9769D"/>
    <w:rsid w:val="1CE00017"/>
    <w:rsid w:val="1CF60940"/>
    <w:rsid w:val="1D0175DB"/>
    <w:rsid w:val="1D0E0845"/>
    <w:rsid w:val="1D1763A0"/>
    <w:rsid w:val="1D425BC5"/>
    <w:rsid w:val="1DE82CE6"/>
    <w:rsid w:val="1DF51CA1"/>
    <w:rsid w:val="1E171F34"/>
    <w:rsid w:val="1E7B16B1"/>
    <w:rsid w:val="1EAA50B5"/>
    <w:rsid w:val="1ED94846"/>
    <w:rsid w:val="1EE04D44"/>
    <w:rsid w:val="1EEC7CA0"/>
    <w:rsid w:val="1F666D9A"/>
    <w:rsid w:val="1F6C5A77"/>
    <w:rsid w:val="201A7B7B"/>
    <w:rsid w:val="20212257"/>
    <w:rsid w:val="203C2C99"/>
    <w:rsid w:val="204F663B"/>
    <w:rsid w:val="20571710"/>
    <w:rsid w:val="20A40EDF"/>
    <w:rsid w:val="20B806F3"/>
    <w:rsid w:val="20BE0E0B"/>
    <w:rsid w:val="20FB133D"/>
    <w:rsid w:val="21481A3F"/>
    <w:rsid w:val="215A5483"/>
    <w:rsid w:val="21676D4A"/>
    <w:rsid w:val="217A76B9"/>
    <w:rsid w:val="21911290"/>
    <w:rsid w:val="21AC115E"/>
    <w:rsid w:val="21EC7DA7"/>
    <w:rsid w:val="221A3ACA"/>
    <w:rsid w:val="22266E90"/>
    <w:rsid w:val="22BB0DB6"/>
    <w:rsid w:val="22BB649E"/>
    <w:rsid w:val="22E75E15"/>
    <w:rsid w:val="22E920FB"/>
    <w:rsid w:val="23404AED"/>
    <w:rsid w:val="23417CC0"/>
    <w:rsid w:val="23555A43"/>
    <w:rsid w:val="238622B3"/>
    <w:rsid w:val="240556FD"/>
    <w:rsid w:val="24073DA0"/>
    <w:rsid w:val="241302EB"/>
    <w:rsid w:val="241C52CC"/>
    <w:rsid w:val="242E3E42"/>
    <w:rsid w:val="243630BC"/>
    <w:rsid w:val="245641D2"/>
    <w:rsid w:val="245C6583"/>
    <w:rsid w:val="24947CBB"/>
    <w:rsid w:val="24CE2309"/>
    <w:rsid w:val="24F93F01"/>
    <w:rsid w:val="25137D35"/>
    <w:rsid w:val="253334EB"/>
    <w:rsid w:val="254625C2"/>
    <w:rsid w:val="254952DD"/>
    <w:rsid w:val="254D4381"/>
    <w:rsid w:val="254F27B7"/>
    <w:rsid w:val="25E665F3"/>
    <w:rsid w:val="26032633"/>
    <w:rsid w:val="260A2F51"/>
    <w:rsid w:val="262D414B"/>
    <w:rsid w:val="266149BA"/>
    <w:rsid w:val="267979D1"/>
    <w:rsid w:val="267A3BA9"/>
    <w:rsid w:val="27262421"/>
    <w:rsid w:val="27392B38"/>
    <w:rsid w:val="2739424A"/>
    <w:rsid w:val="27423E71"/>
    <w:rsid w:val="27674CAD"/>
    <w:rsid w:val="27695972"/>
    <w:rsid w:val="27A339F2"/>
    <w:rsid w:val="27AC4C4A"/>
    <w:rsid w:val="27CC4492"/>
    <w:rsid w:val="27D04A41"/>
    <w:rsid w:val="27DB167E"/>
    <w:rsid w:val="284377AE"/>
    <w:rsid w:val="289E0195"/>
    <w:rsid w:val="28A7568A"/>
    <w:rsid w:val="28B07C31"/>
    <w:rsid w:val="28CB7608"/>
    <w:rsid w:val="291856A5"/>
    <w:rsid w:val="296171F7"/>
    <w:rsid w:val="297432A3"/>
    <w:rsid w:val="29A83371"/>
    <w:rsid w:val="29B33424"/>
    <w:rsid w:val="2A755E5F"/>
    <w:rsid w:val="2AC60801"/>
    <w:rsid w:val="2B0F1F83"/>
    <w:rsid w:val="2B203777"/>
    <w:rsid w:val="2BA65F82"/>
    <w:rsid w:val="2BBB6666"/>
    <w:rsid w:val="2BF1291E"/>
    <w:rsid w:val="2BF75536"/>
    <w:rsid w:val="2C0D5C8B"/>
    <w:rsid w:val="2C7C1176"/>
    <w:rsid w:val="2C7C1F80"/>
    <w:rsid w:val="2C853A1B"/>
    <w:rsid w:val="2C921D29"/>
    <w:rsid w:val="2D36456E"/>
    <w:rsid w:val="2D4E2404"/>
    <w:rsid w:val="2D853B6B"/>
    <w:rsid w:val="2D9F268D"/>
    <w:rsid w:val="2DB21267"/>
    <w:rsid w:val="2DC64FF7"/>
    <w:rsid w:val="2E0616B3"/>
    <w:rsid w:val="2E20325C"/>
    <w:rsid w:val="2E2516F8"/>
    <w:rsid w:val="2E413F77"/>
    <w:rsid w:val="2E77553A"/>
    <w:rsid w:val="2ECD4BAA"/>
    <w:rsid w:val="2ED130AA"/>
    <w:rsid w:val="2F304583"/>
    <w:rsid w:val="2F587A71"/>
    <w:rsid w:val="2F6F0932"/>
    <w:rsid w:val="2F6F5832"/>
    <w:rsid w:val="2FC133E6"/>
    <w:rsid w:val="2FD248A3"/>
    <w:rsid w:val="2FDE371E"/>
    <w:rsid w:val="2FE6738C"/>
    <w:rsid w:val="3015677F"/>
    <w:rsid w:val="302D68BB"/>
    <w:rsid w:val="302E1DC0"/>
    <w:rsid w:val="303875D5"/>
    <w:rsid w:val="304200A3"/>
    <w:rsid w:val="30496BC7"/>
    <w:rsid w:val="307C5066"/>
    <w:rsid w:val="309632CB"/>
    <w:rsid w:val="30A511DF"/>
    <w:rsid w:val="30FA46E4"/>
    <w:rsid w:val="3129368D"/>
    <w:rsid w:val="3167413D"/>
    <w:rsid w:val="318C6454"/>
    <w:rsid w:val="320B755F"/>
    <w:rsid w:val="32CD02C7"/>
    <w:rsid w:val="32D01249"/>
    <w:rsid w:val="33064322"/>
    <w:rsid w:val="330F4E62"/>
    <w:rsid w:val="3319794A"/>
    <w:rsid w:val="338641BF"/>
    <w:rsid w:val="338E17EE"/>
    <w:rsid w:val="33A53F18"/>
    <w:rsid w:val="33BA5A90"/>
    <w:rsid w:val="33C41FE8"/>
    <w:rsid w:val="33E86965"/>
    <w:rsid w:val="33FF299F"/>
    <w:rsid w:val="341B31F0"/>
    <w:rsid w:val="34813AFB"/>
    <w:rsid w:val="348C511E"/>
    <w:rsid w:val="349D4C0B"/>
    <w:rsid w:val="34B8755F"/>
    <w:rsid w:val="34D65C9E"/>
    <w:rsid w:val="34F17AAD"/>
    <w:rsid w:val="35364AB4"/>
    <w:rsid w:val="356625DB"/>
    <w:rsid w:val="357F2BE2"/>
    <w:rsid w:val="35D24A91"/>
    <w:rsid w:val="362520F0"/>
    <w:rsid w:val="36372C07"/>
    <w:rsid w:val="36564AAF"/>
    <w:rsid w:val="36775CED"/>
    <w:rsid w:val="368E304C"/>
    <w:rsid w:val="372D2902"/>
    <w:rsid w:val="375E63BD"/>
    <w:rsid w:val="37B3182C"/>
    <w:rsid w:val="37D613F4"/>
    <w:rsid w:val="37DD28E7"/>
    <w:rsid w:val="37F82185"/>
    <w:rsid w:val="38133B72"/>
    <w:rsid w:val="38532921"/>
    <w:rsid w:val="38684720"/>
    <w:rsid w:val="38703B21"/>
    <w:rsid w:val="38825409"/>
    <w:rsid w:val="38BB7420"/>
    <w:rsid w:val="38C4408B"/>
    <w:rsid w:val="38E45919"/>
    <w:rsid w:val="3960317D"/>
    <w:rsid w:val="39A0745A"/>
    <w:rsid w:val="39AF6358"/>
    <w:rsid w:val="39B440BB"/>
    <w:rsid w:val="39DB7270"/>
    <w:rsid w:val="39DE5420"/>
    <w:rsid w:val="39E4024F"/>
    <w:rsid w:val="3A0268DC"/>
    <w:rsid w:val="3A1E7658"/>
    <w:rsid w:val="3A8C65C1"/>
    <w:rsid w:val="3AAB7D97"/>
    <w:rsid w:val="3AD036F1"/>
    <w:rsid w:val="3AE64BC0"/>
    <w:rsid w:val="3B0C5972"/>
    <w:rsid w:val="3B58577C"/>
    <w:rsid w:val="3B6623AE"/>
    <w:rsid w:val="3B95243F"/>
    <w:rsid w:val="3BD95E86"/>
    <w:rsid w:val="3C317040"/>
    <w:rsid w:val="3C3B7647"/>
    <w:rsid w:val="3C401DF5"/>
    <w:rsid w:val="3C436147"/>
    <w:rsid w:val="3C5F6BC2"/>
    <w:rsid w:val="3C867442"/>
    <w:rsid w:val="3CAF650D"/>
    <w:rsid w:val="3D13227B"/>
    <w:rsid w:val="3D4525C5"/>
    <w:rsid w:val="3D5E1C3C"/>
    <w:rsid w:val="3D7604E1"/>
    <w:rsid w:val="3DA12F0A"/>
    <w:rsid w:val="3DAF0D1F"/>
    <w:rsid w:val="3DC92683"/>
    <w:rsid w:val="3E243D92"/>
    <w:rsid w:val="3E2B5B35"/>
    <w:rsid w:val="3E4A1A8E"/>
    <w:rsid w:val="3E747762"/>
    <w:rsid w:val="3E9C505B"/>
    <w:rsid w:val="3EB06F14"/>
    <w:rsid w:val="3EEC281A"/>
    <w:rsid w:val="3F3C4254"/>
    <w:rsid w:val="3F854E23"/>
    <w:rsid w:val="3F914AE3"/>
    <w:rsid w:val="3FB36EFF"/>
    <w:rsid w:val="40880E10"/>
    <w:rsid w:val="408D75AA"/>
    <w:rsid w:val="40985093"/>
    <w:rsid w:val="40AB1390"/>
    <w:rsid w:val="40B91C88"/>
    <w:rsid w:val="40E51061"/>
    <w:rsid w:val="41100CA2"/>
    <w:rsid w:val="411661B7"/>
    <w:rsid w:val="411777D0"/>
    <w:rsid w:val="411C151C"/>
    <w:rsid w:val="413134B4"/>
    <w:rsid w:val="413F4D2F"/>
    <w:rsid w:val="41A77C95"/>
    <w:rsid w:val="42053651"/>
    <w:rsid w:val="42205DB3"/>
    <w:rsid w:val="42610D89"/>
    <w:rsid w:val="428561EA"/>
    <w:rsid w:val="429961D2"/>
    <w:rsid w:val="42A76C14"/>
    <w:rsid w:val="431A72B2"/>
    <w:rsid w:val="4343238B"/>
    <w:rsid w:val="434E1251"/>
    <w:rsid w:val="43962684"/>
    <w:rsid w:val="442711E2"/>
    <w:rsid w:val="443D3228"/>
    <w:rsid w:val="44404DAD"/>
    <w:rsid w:val="44417F8A"/>
    <w:rsid w:val="44B61294"/>
    <w:rsid w:val="450C246E"/>
    <w:rsid w:val="450E24F7"/>
    <w:rsid w:val="4528370D"/>
    <w:rsid w:val="45556FEC"/>
    <w:rsid w:val="45615853"/>
    <w:rsid w:val="45724D15"/>
    <w:rsid w:val="45751086"/>
    <w:rsid w:val="45B431F3"/>
    <w:rsid w:val="45EB2DCE"/>
    <w:rsid w:val="462A7083"/>
    <w:rsid w:val="465767A6"/>
    <w:rsid w:val="46686781"/>
    <w:rsid w:val="468D7309"/>
    <w:rsid w:val="46C67AFE"/>
    <w:rsid w:val="46CD415B"/>
    <w:rsid w:val="472918C2"/>
    <w:rsid w:val="478A4B1A"/>
    <w:rsid w:val="47E31860"/>
    <w:rsid w:val="48962B45"/>
    <w:rsid w:val="48D85FA3"/>
    <w:rsid w:val="49260D7F"/>
    <w:rsid w:val="49320167"/>
    <w:rsid w:val="49493C76"/>
    <w:rsid w:val="49512C57"/>
    <w:rsid w:val="495930F4"/>
    <w:rsid w:val="497A3852"/>
    <w:rsid w:val="49A12900"/>
    <w:rsid w:val="49D26C31"/>
    <w:rsid w:val="49F22499"/>
    <w:rsid w:val="49F431DD"/>
    <w:rsid w:val="4A2F6D5B"/>
    <w:rsid w:val="4A656FD1"/>
    <w:rsid w:val="4A7A2953"/>
    <w:rsid w:val="4A9865D8"/>
    <w:rsid w:val="4AD9446D"/>
    <w:rsid w:val="4AE52F91"/>
    <w:rsid w:val="4B051136"/>
    <w:rsid w:val="4B156531"/>
    <w:rsid w:val="4B613F80"/>
    <w:rsid w:val="4B6B2A07"/>
    <w:rsid w:val="4B7C2472"/>
    <w:rsid w:val="4BAC3FDA"/>
    <w:rsid w:val="4BB546CD"/>
    <w:rsid w:val="4BB86DD0"/>
    <w:rsid w:val="4C2D7A00"/>
    <w:rsid w:val="4C7040D8"/>
    <w:rsid w:val="4C817A9F"/>
    <w:rsid w:val="4C8B154B"/>
    <w:rsid w:val="4C933F74"/>
    <w:rsid w:val="4CAC5C7C"/>
    <w:rsid w:val="4CC26C6E"/>
    <w:rsid w:val="4D0576CF"/>
    <w:rsid w:val="4D1D13A8"/>
    <w:rsid w:val="4D925386"/>
    <w:rsid w:val="4DE82D4C"/>
    <w:rsid w:val="4E015826"/>
    <w:rsid w:val="4E0B61C1"/>
    <w:rsid w:val="4E231DC6"/>
    <w:rsid w:val="4E707A82"/>
    <w:rsid w:val="4E9350DC"/>
    <w:rsid w:val="4EB759DE"/>
    <w:rsid w:val="4EF91A53"/>
    <w:rsid w:val="4F362A0D"/>
    <w:rsid w:val="4F522DF9"/>
    <w:rsid w:val="4F754660"/>
    <w:rsid w:val="4F7C31E9"/>
    <w:rsid w:val="4F7E0B01"/>
    <w:rsid w:val="4F805CE1"/>
    <w:rsid w:val="4F8210B2"/>
    <w:rsid w:val="4FA9208E"/>
    <w:rsid w:val="4FFF7C44"/>
    <w:rsid w:val="505C0CAC"/>
    <w:rsid w:val="50C64A19"/>
    <w:rsid w:val="50EA567E"/>
    <w:rsid w:val="50FD0F14"/>
    <w:rsid w:val="51065092"/>
    <w:rsid w:val="5137629E"/>
    <w:rsid w:val="51453C96"/>
    <w:rsid w:val="515C1361"/>
    <w:rsid w:val="516F6F59"/>
    <w:rsid w:val="5172584D"/>
    <w:rsid w:val="51955A1A"/>
    <w:rsid w:val="519B0A77"/>
    <w:rsid w:val="51F31C41"/>
    <w:rsid w:val="521346E9"/>
    <w:rsid w:val="52421784"/>
    <w:rsid w:val="5259069E"/>
    <w:rsid w:val="525C11BF"/>
    <w:rsid w:val="5278738E"/>
    <w:rsid w:val="52A661A9"/>
    <w:rsid w:val="53141915"/>
    <w:rsid w:val="53260703"/>
    <w:rsid w:val="5331092D"/>
    <w:rsid w:val="53477537"/>
    <w:rsid w:val="536477CA"/>
    <w:rsid w:val="53802BE2"/>
    <w:rsid w:val="53CD735E"/>
    <w:rsid w:val="53D55B03"/>
    <w:rsid w:val="53D5686B"/>
    <w:rsid w:val="53DB263A"/>
    <w:rsid w:val="53E1140A"/>
    <w:rsid w:val="53FC2C66"/>
    <w:rsid w:val="54165EDA"/>
    <w:rsid w:val="542C029E"/>
    <w:rsid w:val="542D1ED7"/>
    <w:rsid w:val="545A067A"/>
    <w:rsid w:val="546B40FA"/>
    <w:rsid w:val="548929AB"/>
    <w:rsid w:val="54BC2B00"/>
    <w:rsid w:val="550972F1"/>
    <w:rsid w:val="55111C28"/>
    <w:rsid w:val="5546503C"/>
    <w:rsid w:val="55650F3B"/>
    <w:rsid w:val="55776966"/>
    <w:rsid w:val="55A403CC"/>
    <w:rsid w:val="55EA7FF4"/>
    <w:rsid w:val="560E7850"/>
    <w:rsid w:val="56120CDB"/>
    <w:rsid w:val="56762E52"/>
    <w:rsid w:val="56991E81"/>
    <w:rsid w:val="56D442C8"/>
    <w:rsid w:val="56F6403A"/>
    <w:rsid w:val="57EC4030"/>
    <w:rsid w:val="57F86EB9"/>
    <w:rsid w:val="586E6903"/>
    <w:rsid w:val="58AE5BD2"/>
    <w:rsid w:val="58B95E26"/>
    <w:rsid w:val="59830785"/>
    <w:rsid w:val="598A4BEC"/>
    <w:rsid w:val="59B52A4F"/>
    <w:rsid w:val="59E628AC"/>
    <w:rsid w:val="59EC1DB5"/>
    <w:rsid w:val="59FB039E"/>
    <w:rsid w:val="59FD1A1B"/>
    <w:rsid w:val="59FF02F8"/>
    <w:rsid w:val="5A194A62"/>
    <w:rsid w:val="5A3A64DF"/>
    <w:rsid w:val="5A3D1F64"/>
    <w:rsid w:val="5A4917CD"/>
    <w:rsid w:val="5A4F74FD"/>
    <w:rsid w:val="5A520056"/>
    <w:rsid w:val="5A7D4D2A"/>
    <w:rsid w:val="5A9068F8"/>
    <w:rsid w:val="5AA41851"/>
    <w:rsid w:val="5AE52274"/>
    <w:rsid w:val="5B0D4B0D"/>
    <w:rsid w:val="5B0E435E"/>
    <w:rsid w:val="5B180492"/>
    <w:rsid w:val="5B427376"/>
    <w:rsid w:val="5B6123DB"/>
    <w:rsid w:val="5B64334D"/>
    <w:rsid w:val="5B931179"/>
    <w:rsid w:val="5BC806A2"/>
    <w:rsid w:val="5BE02F34"/>
    <w:rsid w:val="5C066AD7"/>
    <w:rsid w:val="5C0A7E29"/>
    <w:rsid w:val="5C10203F"/>
    <w:rsid w:val="5C4F162B"/>
    <w:rsid w:val="5C6547AD"/>
    <w:rsid w:val="5C735AD2"/>
    <w:rsid w:val="5CD55524"/>
    <w:rsid w:val="5CE10BF1"/>
    <w:rsid w:val="5D0E74B9"/>
    <w:rsid w:val="5D4667F8"/>
    <w:rsid w:val="5D5465FE"/>
    <w:rsid w:val="5DAC1234"/>
    <w:rsid w:val="5DC6198B"/>
    <w:rsid w:val="5E40680C"/>
    <w:rsid w:val="5E853922"/>
    <w:rsid w:val="5EC523F6"/>
    <w:rsid w:val="5F0F3D5E"/>
    <w:rsid w:val="5F27531C"/>
    <w:rsid w:val="5F2D7961"/>
    <w:rsid w:val="5F7D0316"/>
    <w:rsid w:val="5FA14516"/>
    <w:rsid w:val="5FE11751"/>
    <w:rsid w:val="5FFE2ECB"/>
    <w:rsid w:val="60190A78"/>
    <w:rsid w:val="602B2655"/>
    <w:rsid w:val="60365686"/>
    <w:rsid w:val="60556AAF"/>
    <w:rsid w:val="60B07BB2"/>
    <w:rsid w:val="611F7B2B"/>
    <w:rsid w:val="61691162"/>
    <w:rsid w:val="61A25DC0"/>
    <w:rsid w:val="61A579DB"/>
    <w:rsid w:val="61D569B5"/>
    <w:rsid w:val="625450EB"/>
    <w:rsid w:val="626B6262"/>
    <w:rsid w:val="627C07B7"/>
    <w:rsid w:val="62B61AD2"/>
    <w:rsid w:val="62EF38A9"/>
    <w:rsid w:val="63041AF8"/>
    <w:rsid w:val="638161EA"/>
    <w:rsid w:val="64002ED4"/>
    <w:rsid w:val="64157BC5"/>
    <w:rsid w:val="64D83DDC"/>
    <w:rsid w:val="64FE7F2E"/>
    <w:rsid w:val="65047ADB"/>
    <w:rsid w:val="65180063"/>
    <w:rsid w:val="65282064"/>
    <w:rsid w:val="655C47A9"/>
    <w:rsid w:val="65731025"/>
    <w:rsid w:val="65A33CA6"/>
    <w:rsid w:val="65B602CB"/>
    <w:rsid w:val="65E225C6"/>
    <w:rsid w:val="66373352"/>
    <w:rsid w:val="66576275"/>
    <w:rsid w:val="666B6F15"/>
    <w:rsid w:val="668D2907"/>
    <w:rsid w:val="66A52E17"/>
    <w:rsid w:val="67007680"/>
    <w:rsid w:val="674621B3"/>
    <w:rsid w:val="6752584C"/>
    <w:rsid w:val="67C73218"/>
    <w:rsid w:val="68296ADA"/>
    <w:rsid w:val="68345235"/>
    <w:rsid w:val="68581ED4"/>
    <w:rsid w:val="686063DC"/>
    <w:rsid w:val="68A114DA"/>
    <w:rsid w:val="68CD7130"/>
    <w:rsid w:val="692C354D"/>
    <w:rsid w:val="695E1918"/>
    <w:rsid w:val="698060D0"/>
    <w:rsid w:val="69A93267"/>
    <w:rsid w:val="69AB765C"/>
    <w:rsid w:val="6A7B4F8A"/>
    <w:rsid w:val="6AAB26BD"/>
    <w:rsid w:val="6AAC31A6"/>
    <w:rsid w:val="6AD67B6D"/>
    <w:rsid w:val="6AE265FC"/>
    <w:rsid w:val="6AEB5B6B"/>
    <w:rsid w:val="6B170C59"/>
    <w:rsid w:val="6B377F48"/>
    <w:rsid w:val="6B7179CC"/>
    <w:rsid w:val="6B9575BB"/>
    <w:rsid w:val="6BE5322B"/>
    <w:rsid w:val="6C112B58"/>
    <w:rsid w:val="6C4B44F3"/>
    <w:rsid w:val="6C9928D5"/>
    <w:rsid w:val="6CC33FEC"/>
    <w:rsid w:val="6CDE031D"/>
    <w:rsid w:val="6D022E4E"/>
    <w:rsid w:val="6D050BD9"/>
    <w:rsid w:val="6D187134"/>
    <w:rsid w:val="6D2865F7"/>
    <w:rsid w:val="6D573444"/>
    <w:rsid w:val="6D633EB9"/>
    <w:rsid w:val="6D877F4D"/>
    <w:rsid w:val="6DAF43B1"/>
    <w:rsid w:val="6DB82735"/>
    <w:rsid w:val="6E47206B"/>
    <w:rsid w:val="6E475CD2"/>
    <w:rsid w:val="6E897586"/>
    <w:rsid w:val="6ED37C9C"/>
    <w:rsid w:val="6F0D6117"/>
    <w:rsid w:val="6F562716"/>
    <w:rsid w:val="6F752C2C"/>
    <w:rsid w:val="6F7A2F6D"/>
    <w:rsid w:val="6F9B0FAF"/>
    <w:rsid w:val="6FCC2F6F"/>
    <w:rsid w:val="6FD2438D"/>
    <w:rsid w:val="6FDB2D86"/>
    <w:rsid w:val="70090A11"/>
    <w:rsid w:val="70415322"/>
    <w:rsid w:val="705333A2"/>
    <w:rsid w:val="70873FA2"/>
    <w:rsid w:val="70BD56EC"/>
    <w:rsid w:val="70BE522D"/>
    <w:rsid w:val="70E957C5"/>
    <w:rsid w:val="70F45AF5"/>
    <w:rsid w:val="70FE2BB0"/>
    <w:rsid w:val="71073554"/>
    <w:rsid w:val="71C538A2"/>
    <w:rsid w:val="71C94420"/>
    <w:rsid w:val="721C2DF1"/>
    <w:rsid w:val="721D57FA"/>
    <w:rsid w:val="72323FA8"/>
    <w:rsid w:val="72483FD9"/>
    <w:rsid w:val="725C4852"/>
    <w:rsid w:val="726F344F"/>
    <w:rsid w:val="72802C74"/>
    <w:rsid w:val="728372F8"/>
    <w:rsid w:val="72AE7030"/>
    <w:rsid w:val="72E12A36"/>
    <w:rsid w:val="73001835"/>
    <w:rsid w:val="73AF57CA"/>
    <w:rsid w:val="73B7500E"/>
    <w:rsid w:val="73E64F08"/>
    <w:rsid w:val="743B060B"/>
    <w:rsid w:val="74555DB1"/>
    <w:rsid w:val="74575D8B"/>
    <w:rsid w:val="74607EC8"/>
    <w:rsid w:val="74A71F2D"/>
    <w:rsid w:val="74BB6F77"/>
    <w:rsid w:val="74F05B74"/>
    <w:rsid w:val="753A2404"/>
    <w:rsid w:val="75472CD8"/>
    <w:rsid w:val="755B0A01"/>
    <w:rsid w:val="755D35E7"/>
    <w:rsid w:val="7570388C"/>
    <w:rsid w:val="757A4B0F"/>
    <w:rsid w:val="75AE699B"/>
    <w:rsid w:val="75DA4B14"/>
    <w:rsid w:val="7633534B"/>
    <w:rsid w:val="76484092"/>
    <w:rsid w:val="768027FB"/>
    <w:rsid w:val="769F4EB6"/>
    <w:rsid w:val="76A75747"/>
    <w:rsid w:val="76C22367"/>
    <w:rsid w:val="76C668E6"/>
    <w:rsid w:val="76DD35CE"/>
    <w:rsid w:val="76E84918"/>
    <w:rsid w:val="76F118EC"/>
    <w:rsid w:val="7725316C"/>
    <w:rsid w:val="77842C25"/>
    <w:rsid w:val="77A44758"/>
    <w:rsid w:val="77A82C34"/>
    <w:rsid w:val="77AA68A0"/>
    <w:rsid w:val="77AE3C8A"/>
    <w:rsid w:val="77BE617E"/>
    <w:rsid w:val="78045E85"/>
    <w:rsid w:val="780A1AA5"/>
    <w:rsid w:val="78157CB4"/>
    <w:rsid w:val="78302BB8"/>
    <w:rsid w:val="788C1C35"/>
    <w:rsid w:val="7916571A"/>
    <w:rsid w:val="7950410F"/>
    <w:rsid w:val="79982C64"/>
    <w:rsid w:val="7A1551F2"/>
    <w:rsid w:val="7A7613B8"/>
    <w:rsid w:val="7A9B0559"/>
    <w:rsid w:val="7AB12DB3"/>
    <w:rsid w:val="7ABF6B0A"/>
    <w:rsid w:val="7AED5408"/>
    <w:rsid w:val="7AEE1083"/>
    <w:rsid w:val="7B1E0CDE"/>
    <w:rsid w:val="7B4452FC"/>
    <w:rsid w:val="7BC750FA"/>
    <w:rsid w:val="7BCA2AA0"/>
    <w:rsid w:val="7BCB1F71"/>
    <w:rsid w:val="7BDE2C0B"/>
    <w:rsid w:val="7BF74546"/>
    <w:rsid w:val="7C112C81"/>
    <w:rsid w:val="7C2F3CD2"/>
    <w:rsid w:val="7C424A74"/>
    <w:rsid w:val="7C940A01"/>
    <w:rsid w:val="7CB2096B"/>
    <w:rsid w:val="7CC265B1"/>
    <w:rsid w:val="7CF65CA8"/>
    <w:rsid w:val="7D2B03B0"/>
    <w:rsid w:val="7D2F1B1D"/>
    <w:rsid w:val="7D4E5DC6"/>
    <w:rsid w:val="7D4F0C0A"/>
    <w:rsid w:val="7D602374"/>
    <w:rsid w:val="7D72630F"/>
    <w:rsid w:val="7DC153E3"/>
    <w:rsid w:val="7DC35FCC"/>
    <w:rsid w:val="7ED40D7C"/>
    <w:rsid w:val="7ED83BD0"/>
    <w:rsid w:val="7ED86FEC"/>
    <w:rsid w:val="7EFF2246"/>
    <w:rsid w:val="7F0F0A6F"/>
    <w:rsid w:val="7F11387E"/>
    <w:rsid w:val="7F451454"/>
    <w:rsid w:val="7F596C3C"/>
    <w:rsid w:val="7F744889"/>
    <w:rsid w:val="7F943C20"/>
    <w:rsid w:val="7FFB04CB"/>
    <w:rsid w:val="7FFD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3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62"/>
    <w:unhideWhenUsed/>
    <w:qFormat/>
    <w:uiPriority w:val="0"/>
    <w:pPr>
      <w:keepNext/>
      <w:keepLines/>
      <w:spacing w:before="280" w:beforeLines="0" w:beforeAutospacing="0" w:after="290" w:afterLines="0" w:afterAutospacing="0" w:line="312" w:lineRule="auto"/>
      <w:ind w:firstLine="0" w:firstLineChars="0"/>
      <w:outlineLvl w:val="3"/>
    </w:pPr>
    <w:rPr>
      <w:rFonts w:ascii="Arial" w:hAnsi="Arial"/>
      <w:b/>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rFonts w:ascii="Calibri" w:hAnsi="Calibri" w:cs="Calibri"/>
      <w:sz w:val="16"/>
      <w:szCs w:val="16"/>
    </w:rPr>
  </w:style>
  <w:style w:type="paragraph" w:styleId="7">
    <w:name w:val="Normal Indent"/>
    <w:basedOn w:val="1"/>
    <w:link w:val="91"/>
    <w:qFormat/>
    <w:uiPriority w:val="0"/>
    <w:pPr>
      <w:spacing w:line="300" w:lineRule="auto"/>
      <w:ind w:firstLine="420" w:firstLineChars="200"/>
    </w:pPr>
    <w:rPr>
      <w:rFonts w:ascii="Times New Roman"/>
      <w:kern w:val="2"/>
      <w:sz w:val="21"/>
      <w:szCs w:val="24"/>
    </w:rPr>
  </w:style>
  <w:style w:type="paragraph" w:styleId="8">
    <w:name w:val="annotation text"/>
    <w:basedOn w:val="1"/>
    <w:qFormat/>
    <w:uiPriority w:val="0"/>
    <w:pPr>
      <w:jc w:val="left"/>
    </w:pPr>
  </w:style>
  <w:style w:type="paragraph" w:styleId="9">
    <w:name w:val="Body Text"/>
    <w:basedOn w:val="1"/>
    <w:next w:val="10"/>
    <w:link w:val="70"/>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toc 9"/>
    <w:basedOn w:val="1"/>
    <w:next w:val="1"/>
    <w:unhideWhenUsed/>
    <w:qFormat/>
    <w:uiPriority w:val="39"/>
    <w:pPr>
      <w:ind w:left="3360" w:leftChars="160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qFormat/>
    <w:uiPriority w:val="0"/>
    <w:pPr>
      <w:widowControl w:val="0"/>
      <w:jc w:val="both"/>
    </w:pPr>
    <w:rPr>
      <w:rFonts w:hint="default" w:hAnsi="Courier New" w:cs="Courier New"/>
      <w:kern w:val="2"/>
      <w:sz w:val="21"/>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adjustRightInd w:val="0"/>
      <w:snapToGrid w:val="0"/>
      <w:spacing w:before="0" w:beforeAutospacing="1" w:after="0" w:afterAutospacing="1"/>
      <w:ind w:left="0" w:right="0"/>
      <w:jc w:val="left"/>
    </w:pPr>
    <w:rPr>
      <w:rFonts w:ascii="Tahoma" w:hAnsi="Tahoma" w:eastAsia="微软雅黑" w:cstheme="minorBidi"/>
      <w:kern w:val="0"/>
      <w:sz w:val="24"/>
      <w:szCs w:val="22"/>
      <w:lang w:val="en-US" w:eastAsia="zh-CN" w:bidi="ar"/>
    </w:rPr>
  </w:style>
  <w:style w:type="paragraph" w:styleId="18">
    <w:name w:val="Body Text First Indent"/>
    <w:basedOn w:val="9"/>
    <w:next w:val="1"/>
    <w:link w:val="61"/>
    <w:unhideWhenUsed/>
    <w:qFormat/>
    <w:uiPriority w:val="99"/>
    <w:pPr>
      <w:ind w:firstLine="420" w:firstLineChars="100"/>
    </w:pPr>
    <w:rPr>
      <w:rFonts w:ascii="Times New Roman" w:hAnsi="Times New Roman"/>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333333"/>
      <w:u w:val="none"/>
    </w:rPr>
  </w:style>
  <w:style w:type="character" w:styleId="29">
    <w:name w:val="HTML Code"/>
    <w:basedOn w:val="21"/>
    <w:qFormat/>
    <w:uiPriority w:val="0"/>
    <w:rPr>
      <w:rFonts w:hint="default" w:ascii="serif" w:hAnsi="serif" w:eastAsia="serif" w:cs="serif"/>
      <w:sz w:val="21"/>
      <w:szCs w:val="21"/>
    </w:rPr>
  </w:style>
  <w:style w:type="character" w:styleId="30">
    <w:name w:val="HTML Cite"/>
    <w:basedOn w:val="21"/>
    <w:qFormat/>
    <w:uiPriority w:val="0"/>
  </w:style>
  <w:style w:type="character" w:styleId="31">
    <w:name w:val="HTML Keyboard"/>
    <w:basedOn w:val="21"/>
    <w:qFormat/>
    <w:uiPriority w:val="0"/>
    <w:rPr>
      <w:rFonts w:hint="default" w:ascii="serif" w:hAnsi="serif" w:eastAsia="serif" w:cs="serif"/>
      <w:sz w:val="21"/>
      <w:szCs w:val="21"/>
    </w:rPr>
  </w:style>
  <w:style w:type="character" w:styleId="32">
    <w:name w:val="HTML Sample"/>
    <w:basedOn w:val="21"/>
    <w:qFormat/>
    <w:uiPriority w:val="0"/>
    <w:rPr>
      <w:rFonts w:ascii="serif" w:hAnsi="serif" w:eastAsia="serif" w:cs="serif"/>
      <w:sz w:val="21"/>
      <w:szCs w:val="21"/>
    </w:rPr>
  </w:style>
  <w:style w:type="character" w:customStyle="1" w:styleId="33">
    <w:name w:val="标题 1 Char"/>
    <w:link w:val="3"/>
    <w:qFormat/>
    <w:uiPriority w:val="0"/>
    <w:rPr>
      <w:b/>
      <w:kern w:val="44"/>
      <w:sz w:val="44"/>
    </w:rPr>
  </w:style>
  <w:style w:type="character" w:customStyle="1" w:styleId="34">
    <w:name w:val="标题 2 Char"/>
    <w:link w:val="4"/>
    <w:qFormat/>
    <w:uiPriority w:val="0"/>
    <w:rPr>
      <w:rFonts w:ascii="Arial" w:hAnsi="Arial" w:eastAsia="黑体"/>
      <w:b/>
      <w:sz w:val="32"/>
    </w:rPr>
  </w:style>
  <w:style w:type="character" w:customStyle="1" w:styleId="35">
    <w:name w:val="标题 3 Char"/>
    <w:link w:val="5"/>
    <w:qFormat/>
    <w:uiPriority w:val="0"/>
    <w:rPr>
      <w:b/>
      <w:sz w:val="32"/>
    </w:rPr>
  </w:style>
  <w:style w:type="paragraph" w:customStyle="1" w:styleId="36">
    <w:name w:val="List Paragraph"/>
    <w:basedOn w:val="1"/>
    <w:qFormat/>
    <w:uiPriority w:val="34"/>
    <w:pPr>
      <w:ind w:firstLine="42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character" w:customStyle="1" w:styleId="39">
    <w:name w:val="bsharetext"/>
    <w:basedOn w:val="21"/>
    <w:qFormat/>
    <w:uiPriority w:val="0"/>
  </w:style>
  <w:style w:type="character" w:customStyle="1" w:styleId="40">
    <w:name w:val="shenhe"/>
    <w:basedOn w:val="21"/>
    <w:qFormat/>
    <w:uiPriority w:val="0"/>
    <w:rPr>
      <w:color w:val="007E09"/>
    </w:rPr>
  </w:style>
  <w:style w:type="character" w:customStyle="1" w:styleId="41">
    <w:name w:val="jiaoluo"/>
    <w:basedOn w:val="21"/>
    <w:qFormat/>
    <w:uiPriority w:val="0"/>
  </w:style>
  <w:style w:type="character" w:customStyle="1" w:styleId="42">
    <w:name w:val="chak"/>
    <w:basedOn w:val="21"/>
    <w:qFormat/>
    <w:uiPriority w:val="0"/>
    <w:rPr>
      <w:b/>
    </w:rPr>
  </w:style>
  <w:style w:type="character" w:customStyle="1" w:styleId="43">
    <w:name w:val="fenj"/>
    <w:basedOn w:val="21"/>
    <w:qFormat/>
    <w:uiPriority w:val="0"/>
  </w:style>
  <w:style w:type="character" w:customStyle="1" w:styleId="44">
    <w:name w:val="xuh"/>
    <w:basedOn w:val="21"/>
    <w:qFormat/>
    <w:uiPriority w:val="0"/>
  </w:style>
  <w:style w:type="character" w:customStyle="1" w:styleId="45">
    <w:name w:val="shij"/>
    <w:basedOn w:val="21"/>
    <w:qFormat/>
    <w:uiPriority w:val="0"/>
  </w:style>
  <w:style w:type="character" w:customStyle="1" w:styleId="46">
    <w:name w:val="dengji"/>
    <w:basedOn w:val="21"/>
    <w:qFormat/>
    <w:uiPriority w:val="0"/>
  </w:style>
  <w:style w:type="character" w:customStyle="1" w:styleId="47">
    <w:name w:val="dengji1"/>
    <w:basedOn w:val="21"/>
    <w:qFormat/>
    <w:uiPriority w:val="0"/>
  </w:style>
  <w:style w:type="character" w:customStyle="1" w:styleId="48">
    <w:name w:val="hfzt"/>
    <w:basedOn w:val="21"/>
    <w:qFormat/>
    <w:uiPriority w:val="0"/>
    <w:rPr>
      <w:color w:val="666666"/>
    </w:rPr>
  </w:style>
  <w:style w:type="character" w:customStyle="1" w:styleId="49">
    <w:name w:val="zuo"/>
    <w:basedOn w:val="21"/>
    <w:qFormat/>
    <w:uiPriority w:val="0"/>
  </w:style>
  <w:style w:type="character" w:customStyle="1" w:styleId="50">
    <w:name w:val="you"/>
    <w:basedOn w:val="21"/>
    <w:qFormat/>
    <w:uiPriority w:val="0"/>
  </w:style>
  <w:style w:type="character" w:customStyle="1" w:styleId="51">
    <w:name w:val="quanp"/>
    <w:basedOn w:val="21"/>
    <w:qFormat/>
    <w:uiPriority w:val="0"/>
    <w:rPr>
      <w:color w:val="FFFFFF"/>
      <w:shd w:val="clear" w:fill="7CB8FE"/>
    </w:rPr>
  </w:style>
  <w:style w:type="character" w:customStyle="1" w:styleId="52">
    <w:name w:val="quanp2"/>
    <w:basedOn w:val="21"/>
    <w:qFormat/>
    <w:uiPriority w:val="0"/>
    <w:rPr>
      <w:color w:val="FFFFFF"/>
      <w:sz w:val="0"/>
      <w:szCs w:val="0"/>
      <w:shd w:val="clear" w:fill="7CB8FE"/>
    </w:rPr>
  </w:style>
  <w:style w:type="character" w:customStyle="1" w:styleId="53">
    <w:name w:val="slbm"/>
    <w:basedOn w:val="21"/>
    <w:qFormat/>
    <w:uiPriority w:val="0"/>
    <w:rPr>
      <w:color w:val="666666"/>
    </w:rPr>
  </w:style>
  <w:style w:type="character" w:customStyle="1" w:styleId="54">
    <w:name w:val="slbm1"/>
    <w:basedOn w:val="21"/>
    <w:qFormat/>
    <w:uiPriority w:val="0"/>
    <w:rPr>
      <w:color w:val="666666"/>
    </w:rPr>
  </w:style>
  <w:style w:type="character" w:customStyle="1" w:styleId="55">
    <w:name w:val="wcl"/>
    <w:basedOn w:val="21"/>
    <w:qFormat/>
    <w:uiPriority w:val="0"/>
    <w:rPr>
      <w:color w:val="D80505"/>
    </w:rPr>
  </w:style>
  <w:style w:type="character" w:customStyle="1" w:styleId="56">
    <w:name w:val="chljeg"/>
    <w:basedOn w:val="21"/>
    <w:qFormat/>
    <w:uiPriority w:val="0"/>
    <w:rPr>
      <w:color w:val="E70000"/>
    </w:rPr>
  </w:style>
  <w:style w:type="character" w:customStyle="1" w:styleId="57">
    <w:name w:val="jxz"/>
    <w:basedOn w:val="21"/>
    <w:qFormat/>
    <w:uiPriority w:val="0"/>
    <w:rPr>
      <w:color w:val="00B211"/>
      <w:shd w:val="clear" w:fill="E5E5E5"/>
    </w:rPr>
  </w:style>
  <w:style w:type="character" w:customStyle="1" w:styleId="58">
    <w:name w:val="yjs"/>
    <w:basedOn w:val="21"/>
    <w:qFormat/>
    <w:uiPriority w:val="0"/>
    <w:rPr>
      <w:color w:val="999999"/>
    </w:rPr>
  </w:style>
  <w:style w:type="character" w:customStyle="1" w:styleId="59">
    <w:name w:val="yjs1"/>
    <w:basedOn w:val="21"/>
    <w:qFormat/>
    <w:uiPriority w:val="0"/>
    <w:rPr>
      <w:color w:val="00B211"/>
      <w:shd w:val="clear" w:fill="E5E5E5"/>
    </w:rPr>
  </w:style>
  <w:style w:type="character" w:customStyle="1" w:styleId="60">
    <w:name w:val="jiaoluo2"/>
    <w:basedOn w:val="21"/>
    <w:qFormat/>
    <w:uiPriority w:val="0"/>
  </w:style>
  <w:style w:type="character" w:customStyle="1" w:styleId="61">
    <w:name w:val="正文首行缩进 Char"/>
    <w:link w:val="18"/>
    <w:qFormat/>
    <w:uiPriority w:val="99"/>
    <w:rPr>
      <w:rFonts w:ascii="Times New Roman" w:hAnsi="Times New Roman"/>
      <w:sz w:val="18"/>
      <w:szCs w:val="18"/>
    </w:rPr>
  </w:style>
  <w:style w:type="character" w:customStyle="1" w:styleId="62">
    <w:name w:val="标题 4 Char"/>
    <w:link w:val="6"/>
    <w:qFormat/>
    <w:uiPriority w:val="0"/>
    <w:rPr>
      <w:rFonts w:ascii="Arial" w:hAnsi="Arial"/>
      <w:b/>
    </w:rPr>
  </w:style>
  <w:style w:type="character" w:customStyle="1" w:styleId="63">
    <w:name w:val="font31"/>
    <w:basedOn w:val="21"/>
    <w:qFormat/>
    <w:uiPriority w:val="0"/>
    <w:rPr>
      <w:rFonts w:hint="eastAsia" w:ascii="宋体" w:hAnsi="宋体" w:eastAsia="宋体" w:cs="宋体"/>
      <w:b/>
      <w:color w:val="000000"/>
      <w:sz w:val="16"/>
      <w:szCs w:val="16"/>
      <w:u w:val="none"/>
    </w:rPr>
  </w:style>
  <w:style w:type="character" w:customStyle="1" w:styleId="64">
    <w:name w:val="font61"/>
    <w:basedOn w:val="21"/>
    <w:qFormat/>
    <w:uiPriority w:val="0"/>
    <w:rPr>
      <w:rFonts w:ascii="Arial" w:hAnsi="Arial" w:cs="Arial"/>
      <w:b/>
      <w:color w:val="000000"/>
      <w:sz w:val="16"/>
      <w:szCs w:val="16"/>
      <w:u w:val="none"/>
    </w:rPr>
  </w:style>
  <w:style w:type="character" w:customStyle="1" w:styleId="65">
    <w:name w:val="font91"/>
    <w:basedOn w:val="21"/>
    <w:qFormat/>
    <w:uiPriority w:val="0"/>
    <w:rPr>
      <w:rFonts w:hint="eastAsia" w:ascii="宋体" w:hAnsi="宋体" w:eastAsia="宋体" w:cs="宋体"/>
      <w:b/>
      <w:color w:val="333333"/>
      <w:sz w:val="16"/>
      <w:szCs w:val="16"/>
      <w:u w:val="none"/>
    </w:rPr>
  </w:style>
  <w:style w:type="character" w:customStyle="1" w:styleId="66">
    <w:name w:val="font101"/>
    <w:basedOn w:val="21"/>
    <w:qFormat/>
    <w:uiPriority w:val="0"/>
    <w:rPr>
      <w:rFonts w:ascii="Verdana" w:hAnsi="Verdana" w:cs="Verdana"/>
      <w:b/>
      <w:color w:val="333333"/>
      <w:sz w:val="16"/>
      <w:szCs w:val="16"/>
      <w:u w:val="none"/>
    </w:rPr>
  </w:style>
  <w:style w:type="character" w:customStyle="1" w:styleId="67">
    <w:name w:val="font71"/>
    <w:basedOn w:val="21"/>
    <w:qFormat/>
    <w:uiPriority w:val="0"/>
    <w:rPr>
      <w:rFonts w:ascii="Arial" w:hAnsi="Arial" w:cs="Arial"/>
      <w:b/>
      <w:color w:val="000000"/>
      <w:sz w:val="16"/>
      <w:szCs w:val="16"/>
      <w:u w:val="none"/>
    </w:rPr>
  </w:style>
  <w:style w:type="character" w:customStyle="1" w:styleId="68">
    <w:name w:val="font81"/>
    <w:basedOn w:val="21"/>
    <w:qFormat/>
    <w:uiPriority w:val="0"/>
    <w:rPr>
      <w:rFonts w:hint="eastAsia" w:ascii="宋体" w:hAnsi="宋体" w:eastAsia="宋体" w:cs="宋体"/>
      <w:b/>
      <w:color w:val="333333"/>
      <w:sz w:val="16"/>
      <w:szCs w:val="16"/>
      <w:u w:val="none"/>
    </w:rPr>
  </w:style>
  <w:style w:type="character" w:customStyle="1" w:styleId="69">
    <w:name w:val="hfzt1"/>
    <w:basedOn w:val="21"/>
    <w:qFormat/>
    <w:uiPriority w:val="0"/>
    <w:rPr>
      <w:color w:val="666666"/>
    </w:rPr>
  </w:style>
  <w:style w:type="character" w:customStyle="1" w:styleId="70">
    <w:name w:val="正文文本 Char"/>
    <w:link w:val="9"/>
    <w:qFormat/>
    <w:uiPriority w:val="0"/>
    <w:rPr>
      <w:rFonts w:ascii="Calibri" w:hAnsi="Calibri" w:eastAsia="宋体" w:cs="Times New Roman"/>
      <w:kern w:val="2"/>
      <w:sz w:val="21"/>
      <w:szCs w:val="24"/>
    </w:rPr>
  </w:style>
  <w:style w:type="character" w:customStyle="1" w:styleId="71">
    <w:name w:val="first-child1"/>
    <w:basedOn w:val="21"/>
    <w:qFormat/>
    <w:uiPriority w:val="0"/>
  </w:style>
  <w:style w:type="character" w:customStyle="1" w:styleId="72">
    <w:name w:val="layui-layer-tabnow"/>
    <w:basedOn w:val="21"/>
    <w:qFormat/>
    <w:uiPriority w:val="0"/>
    <w:rPr>
      <w:bdr w:val="single" w:color="CCCCCC" w:sz="6" w:space="0"/>
      <w:shd w:val="clear" w:fill="FFFFFF"/>
    </w:rPr>
  </w:style>
  <w:style w:type="character" w:customStyle="1" w:styleId="73">
    <w:name w:val="jil"/>
    <w:basedOn w:val="21"/>
    <w:qFormat/>
    <w:uiPriority w:val="0"/>
    <w:rPr>
      <w:color w:val="FFFFFF"/>
      <w:bdr w:val="single" w:color="FF9C00" w:sz="6" w:space="0"/>
      <w:shd w:val="clear" w:fill="FF9C00"/>
    </w:rPr>
  </w:style>
  <w:style w:type="character" w:customStyle="1" w:styleId="74">
    <w:name w:val="current"/>
    <w:basedOn w:val="21"/>
    <w:qFormat/>
    <w:uiPriority w:val="0"/>
    <w:rPr>
      <w:color w:val="FFFFFF"/>
      <w:bdr w:val="single" w:color="FF9C00" w:sz="6" w:space="0"/>
      <w:shd w:val="clear" w:fill="FF9C00"/>
    </w:rPr>
  </w:style>
  <w:style w:type="character" w:customStyle="1" w:styleId="75">
    <w:name w:val="fenx"/>
    <w:basedOn w:val="21"/>
    <w:qFormat/>
    <w:uiPriority w:val="0"/>
  </w:style>
  <w:style w:type="character" w:customStyle="1" w:styleId="76">
    <w:name w:val="shouy"/>
    <w:basedOn w:val="21"/>
    <w:qFormat/>
    <w:uiPriority w:val="0"/>
  </w:style>
  <w:style w:type="character" w:customStyle="1" w:styleId="77">
    <w:name w:val="time"/>
    <w:basedOn w:val="21"/>
    <w:qFormat/>
    <w:uiPriority w:val="0"/>
    <w:rPr>
      <w:bdr w:val="single" w:color="FFFFFF" w:sz="6" w:space="0"/>
    </w:rPr>
  </w:style>
  <w:style w:type="character" w:customStyle="1" w:styleId="78">
    <w:name w:val="time1"/>
    <w:basedOn w:val="21"/>
    <w:qFormat/>
    <w:uiPriority w:val="0"/>
    <w:rPr>
      <w:color w:val="FFFFFF"/>
      <w:bdr w:val="single" w:color="FFFFFF" w:sz="6" w:space="0"/>
    </w:rPr>
  </w:style>
  <w:style w:type="character" w:customStyle="1" w:styleId="79">
    <w:name w:val="bm"/>
    <w:basedOn w:val="21"/>
    <w:qFormat/>
    <w:uiPriority w:val="0"/>
    <w:rPr>
      <w:b/>
      <w:color w:val="333333"/>
      <w:sz w:val="24"/>
      <w:szCs w:val="24"/>
    </w:rPr>
  </w:style>
  <w:style w:type="character" w:customStyle="1" w:styleId="80">
    <w:name w:val="tit3"/>
    <w:basedOn w:val="21"/>
    <w:qFormat/>
    <w:uiPriority w:val="0"/>
  </w:style>
  <w:style w:type="character" w:customStyle="1" w:styleId="81">
    <w:name w:val="xjbm"/>
    <w:basedOn w:val="21"/>
    <w:qFormat/>
    <w:uiPriority w:val="0"/>
  </w:style>
  <w:style w:type="character" w:customStyle="1" w:styleId="82">
    <w:name w:val="newstu"/>
    <w:basedOn w:val="21"/>
    <w:qFormat/>
    <w:uiPriority w:val="0"/>
  </w:style>
  <w:style w:type="character" w:customStyle="1" w:styleId="83">
    <w:name w:val="hover"/>
    <w:basedOn w:val="21"/>
    <w:qFormat/>
    <w:uiPriority w:val="0"/>
    <w:rPr>
      <w:bdr w:val="single" w:color="A6CAEE" w:sz="6" w:space="0"/>
      <w:shd w:val="clear" w:fill="EFF6FD"/>
    </w:rPr>
  </w:style>
  <w:style w:type="character" w:customStyle="1" w:styleId="84">
    <w:name w:val="hover12"/>
    <w:basedOn w:val="21"/>
    <w:qFormat/>
    <w:uiPriority w:val="0"/>
    <w:rPr>
      <w:bdr w:val="single" w:color="A6CAEE" w:sz="6" w:space="0"/>
      <w:shd w:val="clear" w:fill="EFF6FD"/>
    </w:rPr>
  </w:style>
  <w:style w:type="character" w:customStyle="1" w:styleId="85">
    <w:name w:val="fontstrikethrough"/>
    <w:basedOn w:val="21"/>
    <w:qFormat/>
    <w:uiPriority w:val="0"/>
    <w:rPr>
      <w:strike/>
    </w:rPr>
  </w:style>
  <w:style w:type="character" w:customStyle="1" w:styleId="86">
    <w:name w:val="fontborder"/>
    <w:basedOn w:val="21"/>
    <w:qFormat/>
    <w:uiPriority w:val="0"/>
    <w:rPr>
      <w:bdr w:val="single" w:color="000000" w:sz="6" w:space="0"/>
    </w:rPr>
  </w:style>
  <w:style w:type="character" w:customStyle="1" w:styleId="87">
    <w:name w:val="hover10"/>
    <w:basedOn w:val="21"/>
    <w:qFormat/>
    <w:uiPriority w:val="0"/>
    <w:rPr>
      <w:bdr w:val="single" w:color="A6CAEE" w:sz="6" w:space="0"/>
      <w:shd w:val="clear" w:fill="EFF6FD"/>
    </w:rPr>
  </w:style>
  <w:style w:type="character" w:customStyle="1" w:styleId="88">
    <w:name w:val="hover11"/>
    <w:basedOn w:val="21"/>
    <w:qFormat/>
    <w:uiPriority w:val="0"/>
    <w:rPr>
      <w:bdr w:val="single" w:color="A6CAEE" w:sz="6" w:space="0"/>
      <w:shd w:val="clear" w:fill="EFF6FD"/>
    </w:rPr>
  </w:style>
  <w:style w:type="character" w:customStyle="1" w:styleId="89">
    <w:name w:val="first-of-type1"/>
    <w:basedOn w:val="21"/>
    <w:qFormat/>
    <w:uiPriority w:val="0"/>
  </w:style>
  <w:style w:type="character" w:customStyle="1" w:styleId="90">
    <w:name w:val="nth-of-type(2)"/>
    <w:basedOn w:val="21"/>
    <w:qFormat/>
    <w:uiPriority w:val="0"/>
  </w:style>
  <w:style w:type="character" w:customStyle="1" w:styleId="91">
    <w:name w:val="正文缩进 Char"/>
    <w:link w:val="7"/>
    <w:qFormat/>
    <w:uiPriority w:val="0"/>
    <w:rPr>
      <w:rFonts w:ascii="Times New Roman"/>
      <w:kern w:val="2"/>
      <w:sz w:val="21"/>
      <w:szCs w:val="24"/>
    </w:rPr>
  </w:style>
  <w:style w:type="character" w:customStyle="1" w:styleId="92">
    <w:name w:val="img_bg_cover"/>
    <w:basedOn w:val="21"/>
    <w:qFormat/>
    <w:uiPriority w:val="0"/>
  </w:style>
  <w:style w:type="character" w:customStyle="1" w:styleId="93">
    <w:name w:val="hover13"/>
    <w:basedOn w:val="21"/>
    <w:qFormat/>
    <w:uiPriority w:val="0"/>
  </w:style>
  <w:style w:type="character" w:customStyle="1" w:styleId="94">
    <w:name w:val="paim"/>
    <w:basedOn w:val="21"/>
    <w:qFormat/>
    <w:uiPriority w:val="0"/>
    <w:rPr>
      <w:sz w:val="21"/>
      <w:szCs w:val="21"/>
    </w:rPr>
  </w:style>
  <w:style w:type="character" w:customStyle="1" w:styleId="95">
    <w:name w:val="fr2"/>
    <w:basedOn w:val="21"/>
    <w:qFormat/>
    <w:uiPriority w:val="0"/>
    <w:rPr>
      <w:color w:val="C40000"/>
      <w:sz w:val="21"/>
      <w:szCs w:val="21"/>
    </w:rPr>
  </w:style>
  <w:style w:type="character" w:customStyle="1" w:styleId="96">
    <w:name w:val="name"/>
    <w:basedOn w:val="21"/>
    <w:qFormat/>
    <w:uiPriority w:val="0"/>
    <w:rPr>
      <w:sz w:val="21"/>
      <w:szCs w:val="21"/>
    </w:rPr>
  </w:style>
  <w:style w:type="character" w:customStyle="1" w:styleId="97">
    <w:name w:val="huifu"/>
    <w:basedOn w:val="21"/>
    <w:qFormat/>
    <w:uiPriority w:val="0"/>
    <w:rPr>
      <w:sz w:val="21"/>
      <w:szCs w:val="21"/>
    </w:rPr>
  </w:style>
  <w:style w:type="paragraph" w:customStyle="1" w:styleId="98">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99">
    <w:name w:val="Body text|2"/>
    <w:basedOn w:val="1"/>
    <w:qFormat/>
    <w:uiPriority w:val="0"/>
    <w:pPr>
      <w:widowControl w:val="0"/>
      <w:shd w:val="clear" w:color="auto" w:fill="auto"/>
      <w:spacing w:after="40" w:line="314" w:lineRule="exact"/>
      <w:ind w:firstLine="520"/>
    </w:pPr>
    <w:rPr>
      <w:rFonts w:ascii="宋体" w:hAnsi="宋体" w:eastAsia="宋体" w:cs="宋体"/>
      <w:sz w:val="19"/>
      <w:szCs w:val="19"/>
      <w:u w:val="none"/>
      <w:shd w:val="clear" w:color="auto" w:fill="auto"/>
      <w:lang w:val="zh-TW" w:eastAsia="zh-TW" w:bidi="zh-TW"/>
    </w:rPr>
  </w:style>
  <w:style w:type="paragraph" w:customStyle="1" w:styleId="100">
    <w:name w:val="Header or foot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01">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50469</Words>
  <Characters>52604</Characters>
  <Lines>0</Lines>
  <Paragraphs>0</Paragraphs>
  <TotalTime>96</TotalTime>
  <ScaleCrop>false</ScaleCrop>
  <LinksUpToDate>false</LinksUpToDate>
  <CharactersWithSpaces>53514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2020-08-31T07:05:00Z</dcterms:created>
  <dc:creator>Administrator</dc:creator>
  <cp:lastModifiedBy> ┃Ｍ.onk°</cp:lastModifiedBy>
  <cp:lastPrinted>2021-03-03T06:02:00Z</cp:lastPrinted>
  <dcterms:modified xsi:type="dcterms:W3CDTF">2023-10-20T08:21:29Z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F6989013DD8D47948AD485888CBFF95E</vt:lpwstr>
  </property>
</Properties>
</file>