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紫阳县财政局</w:t>
      </w:r>
      <w:r>
        <w:rPr>
          <w:rFonts w:hint="eastAsia" w:ascii="黑体" w:hAnsi="黑体" w:eastAsia="黑体" w:cs="黑体"/>
          <w:color w:val="auto"/>
          <w:sz w:val="32"/>
          <w:szCs w:val="32"/>
          <w:highlight w:val="none"/>
          <w:lang w:val="en-US" w:eastAsia="zh-CN"/>
        </w:rPr>
        <w:t>瓦庙</w:t>
      </w:r>
      <w:r>
        <w:rPr>
          <w:rFonts w:hint="eastAsia" w:ascii="黑体" w:hAnsi="黑体" w:eastAsia="黑体" w:cs="黑体"/>
          <w:color w:val="auto"/>
          <w:sz w:val="32"/>
          <w:szCs w:val="32"/>
          <w:highlight w:val="none"/>
          <w:lang w:eastAsia="zh-CN"/>
        </w:rPr>
        <w:t>财政所</w:t>
      </w:r>
    </w:p>
    <w:p>
      <w:pPr>
        <w:spacing w:line="360" w:lineRule="auto"/>
        <w:ind w:firstLine="640"/>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2</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lang w:val="en-US" w:eastAsia="zh-CN"/>
        </w:rPr>
        <w:t>部门</w:t>
      </w:r>
      <w:r>
        <w:rPr>
          <w:rFonts w:hint="eastAsia" w:ascii="黑体" w:hAnsi="黑体" w:eastAsia="黑体" w:cs="黑体"/>
          <w:color w:val="auto"/>
          <w:sz w:val="32"/>
          <w:szCs w:val="32"/>
          <w:highlight w:val="none"/>
        </w:rPr>
        <w:t>预算公开说明</w:t>
      </w:r>
    </w:p>
    <w:p>
      <w:pPr>
        <w:spacing w:line="360"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  录</w:t>
      </w:r>
    </w:p>
    <w:p>
      <w:pPr>
        <w:spacing w:line="360"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第一部分   单位概况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2022年</w:t>
      </w:r>
      <w:r>
        <w:rPr>
          <w:rFonts w:hint="eastAsia" w:ascii="仿宋" w:hAnsi="仿宋" w:eastAsia="仿宋" w:cs="仿宋"/>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left="0" w:leftChars="0" w:firstLine="1928" w:firstLineChars="600"/>
        <w:jc w:val="both"/>
        <w:rPr>
          <w:rFonts w:hint="eastAsia" w:ascii="仿宋" w:hAnsi="仿宋" w:eastAsia="仿宋" w:cs="仿宋"/>
          <w:b/>
          <w:bCs/>
          <w:color w:val="auto"/>
          <w:sz w:val="32"/>
          <w:szCs w:val="32"/>
          <w:highlight w:val="none"/>
        </w:rPr>
      </w:pPr>
    </w:p>
    <w:p>
      <w:pPr>
        <w:numPr>
          <w:ilvl w:val="0"/>
          <w:numId w:val="1"/>
        </w:numPr>
        <w:spacing w:line="360" w:lineRule="auto"/>
        <w:ind w:left="-248" w:leftChars="0" w:firstLine="1928" w:firstLineChars="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 xml:space="preserve">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2022年</w:t>
      </w:r>
      <w:r>
        <w:rPr>
          <w:rFonts w:hint="eastAsia" w:ascii="仿宋" w:hAnsi="仿宋" w:eastAsia="仿宋" w:cs="仿宋"/>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 xml:space="preserve">第一部分  </w:t>
      </w:r>
      <w:r>
        <w:rPr>
          <w:rFonts w:hint="eastAsia" w:ascii="仿宋" w:hAnsi="仿宋" w:eastAsia="仿宋" w:cs="仿宋"/>
          <w:b/>
          <w:bCs/>
          <w:color w:val="auto"/>
          <w:sz w:val="32"/>
          <w:szCs w:val="32"/>
          <w:highlight w:val="none"/>
          <w:lang w:eastAsia="zh-CN"/>
        </w:rPr>
        <w:t>单位</w:t>
      </w:r>
      <w:r>
        <w:rPr>
          <w:rFonts w:hint="eastAsia" w:ascii="仿宋" w:hAnsi="仿宋" w:eastAsia="仿宋" w:cs="仿宋"/>
          <w:b/>
          <w:bCs/>
          <w:color w:val="auto"/>
          <w:sz w:val="32"/>
          <w:szCs w:val="32"/>
          <w:highlight w:val="none"/>
        </w:rPr>
        <w:t>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color w:val="auto"/>
          <w:sz w:val="32"/>
          <w:szCs w:val="32"/>
          <w:highlight w:val="none"/>
          <w:lang w:eastAsia="zh-CN"/>
        </w:rPr>
      </w:pPr>
      <w:r>
        <w:rPr>
          <w:rFonts w:hint="eastAsia" w:ascii="仿宋" w:hAnsi="仿宋" w:eastAsia="仿宋" w:cs="仿宋"/>
          <w:b/>
          <w:bCs/>
          <w:sz w:val="32"/>
          <w:szCs w:val="32"/>
          <w:lang w:eastAsia="zh-CN"/>
        </w:rPr>
        <w:t>（一）部门主要职责</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负责组织和管理镇财政收入和支出，组织编制执行镇年度预决算；</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负责镇非税收入的管理；负责镇级部门预算资金和各类财政专项资金的监管；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负责居民补贴资金的发放和监管；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按照财政财务体制划分负责</w:t>
      </w:r>
      <w:r>
        <w:rPr>
          <w:rFonts w:hint="eastAsia" w:ascii="仿宋_GB2312" w:hAnsi="仿宋_GB2312" w:eastAsia="仿宋_GB2312" w:cs="仿宋_GB2312"/>
          <w:b w:val="0"/>
          <w:bCs w:val="0"/>
          <w:color w:val="auto"/>
          <w:sz w:val="32"/>
          <w:szCs w:val="32"/>
          <w:highlight w:val="none"/>
          <w:lang w:eastAsia="zh-CN"/>
        </w:rPr>
        <w:t>对</w:t>
      </w:r>
      <w:r>
        <w:rPr>
          <w:rFonts w:hint="eastAsia" w:ascii="仿宋_GB2312" w:hAnsi="仿宋_GB2312" w:eastAsia="仿宋_GB2312" w:cs="仿宋_GB2312"/>
          <w:b w:val="0"/>
          <w:bCs w:val="0"/>
          <w:color w:val="auto"/>
          <w:sz w:val="32"/>
          <w:szCs w:val="32"/>
          <w:highlight w:val="none"/>
        </w:rPr>
        <w:t>镇政府辖区内各单位的财政财务和政府采购</w:t>
      </w:r>
      <w:r>
        <w:rPr>
          <w:rFonts w:hint="eastAsia" w:ascii="仿宋_GB2312" w:hAnsi="仿宋_GB2312" w:eastAsia="仿宋_GB2312" w:cs="仿宋_GB2312"/>
          <w:b w:val="0"/>
          <w:bCs w:val="0"/>
          <w:color w:val="auto"/>
          <w:sz w:val="32"/>
          <w:szCs w:val="32"/>
          <w:highlight w:val="none"/>
          <w:lang w:eastAsia="zh-CN"/>
        </w:rPr>
        <w:t>的</w:t>
      </w:r>
      <w:r>
        <w:rPr>
          <w:rFonts w:hint="eastAsia" w:ascii="仿宋_GB2312" w:hAnsi="仿宋_GB2312" w:eastAsia="仿宋_GB2312" w:cs="仿宋_GB2312"/>
          <w:b w:val="0"/>
          <w:bCs w:val="0"/>
          <w:color w:val="auto"/>
          <w:sz w:val="32"/>
          <w:szCs w:val="32"/>
          <w:highlight w:val="none"/>
        </w:rPr>
        <w:t>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负责镇债权债务监管；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负责镇公共资产管理利用及村集体资产监管；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负责农村财务管理指导、服务和监督；</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b/>
          <w:bCs/>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承担上级财政部门和法律法规赋予的其他工作等。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依据部门三定方案，本单位现设紫阳县财政局瓦庙财政所。</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w:t>
      </w:r>
      <w:r>
        <w:rPr>
          <w:rFonts w:hint="eastAsia" w:ascii="仿宋" w:hAnsi="仿宋" w:eastAsia="仿宋" w:cs="仿宋"/>
          <w:b/>
          <w:bCs/>
          <w:color w:val="auto"/>
          <w:sz w:val="32"/>
          <w:szCs w:val="32"/>
          <w:highlight w:val="none"/>
          <w:lang w:eastAsia="zh-CN"/>
        </w:rPr>
        <w:t>2022年</w:t>
      </w:r>
      <w:r>
        <w:rPr>
          <w:rFonts w:hint="eastAsia" w:ascii="仿宋" w:hAnsi="仿宋" w:eastAsia="仿宋" w:cs="仿宋"/>
          <w:b/>
          <w:bCs/>
          <w:color w:val="auto"/>
          <w:sz w:val="32"/>
          <w:szCs w:val="32"/>
          <w:highlight w:val="none"/>
        </w:rPr>
        <w:t>度部门工作任务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（一）增强财政保障能力。</w:t>
      </w:r>
      <w:r>
        <w:rPr>
          <w:rFonts w:hint="eastAsia" w:ascii="仿宋" w:hAnsi="仿宋" w:eastAsia="仿宋" w:cs="仿宋"/>
          <w:color w:val="auto"/>
          <w:sz w:val="32"/>
          <w:szCs w:val="32"/>
          <w:highlight w:val="none"/>
          <w:lang w:eastAsia="zh-CN"/>
        </w:rPr>
        <w:t>坚持依法理财，强化部门主体责任。贯彻落实预算法关于“政府的全部收入和支出都应当纳入预算，经人大会批准的预算，非经法定程序不得调整”的规定，全面落实本单位的预算编制、执行、公开和预算监督的主体的责任。按照“先有预算、后有支出”的要求，强化预算编制的严肃性和预算执行的约束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树立过“紧日子”思想。一是牢固树立过“紧日子”的思想，坚持依法理财、科学理财，对日常性支出从严审核，严格控制一般性支出和“三公”经费支出，降低行政运行成本，反对铺张浪费。二是加大资金使用监督力度，提高财政资金使用的安全性、规范性和有效性，确保财政运行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加强村级财务监管。一是严格按照村级财务管理制度化、规范化的工作要求，切实加强村级财务管理。二是坚持日常管理，严格审批手续，严格执行村集体财务会签制度，不准越权审批和超限额审批，从源头上杜绝不合规财务行为发生。三是规范财务公开，实行民主监督，按照“及时公开、如实公开、全部公开”的原则，指导监督村级财务公开，确保农民群众对农村财务的管理权、知情权、监督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切实抓好民生保障。一是加强惠农补贴资金发放工作，做到信息随时维护和更新，不出现差错，信息变更程序化，确保惠农资金“一卡通”兑付及时准确无误，强化社会政策兜底保障功能。二是认真落实脱贫攻坚和乡村振兴财政资金的项目实施，确保项目资金规范化、程序化，安全有效使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从预算单位构成看，本部门的部门预算包括部门本级（机关）预算和所属事业单位预算。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纳入本部门</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部门预算编制范围的二级预算单位共有</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个，包括：</w:t>
      </w:r>
    </w:p>
    <w:tbl>
      <w:tblPr>
        <w:tblStyle w:val="2"/>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46"/>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4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序号</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单位名称</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紫阳县财政局瓦庙财政所</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32"/>
                <w:szCs w:val="32"/>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单位</w:t>
      </w:r>
      <w:r>
        <w:rPr>
          <w:rFonts w:hint="eastAsia" w:ascii="仿宋" w:hAnsi="仿宋" w:eastAsia="仿宋" w:cs="仿宋"/>
          <w:b/>
          <w:bCs/>
          <w:color w:val="auto"/>
          <w:sz w:val="32"/>
          <w:szCs w:val="32"/>
          <w:highlight w:val="none"/>
        </w:rPr>
        <w:t>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drawing>
          <wp:inline distT="0" distB="0" distL="114300" distR="114300">
            <wp:extent cx="5080000" cy="3810000"/>
            <wp:effectExtent l="4445" t="4445" r="5715" b="10795"/>
            <wp:docPr id="1" name="图表 1" descr="7b0a202020202263686172745265734964223a2022343636393930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截止</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底，本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人员编制</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人，其中行政编制</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人、事业编制</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人；实有人员</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人，其中行政</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人、事业</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人。单位管理的离退休人员</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color w:val="auto"/>
          <w:sz w:val="32"/>
          <w:szCs w:val="32"/>
          <w:highlight w:val="none"/>
        </w:rPr>
      </w:pPr>
      <w:r>
        <w:rPr>
          <w:rFonts w:hint="eastAsia"/>
          <w:color w:val="auto"/>
          <w:highlight w:val="none"/>
          <w:lang w:val="en-US" w:eastAsia="zh-CN"/>
        </w:rPr>
        <w:t xml:space="preserve">           </w:t>
      </w:r>
      <w:r>
        <w:rPr>
          <w:rFonts w:hint="eastAsia" w:ascii="仿宋" w:hAnsi="仿宋" w:eastAsia="仿宋" w:cs="仿宋"/>
          <w:b/>
          <w:bCs/>
          <w:color w:val="auto"/>
          <w:sz w:val="32"/>
          <w:szCs w:val="32"/>
          <w:highlight w:val="none"/>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2022年</w:t>
      </w:r>
      <w:r>
        <w:rPr>
          <w:rFonts w:hint="eastAsia" w:ascii="仿宋" w:hAnsi="仿宋" w:eastAsia="仿宋" w:cs="仿宋"/>
          <w:b/>
          <w:bCs/>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sz w:val="32"/>
          <w:szCs w:val="32"/>
        </w:rPr>
        <w:t>（一）收支预算总体情况。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drawing>
          <wp:inline distT="0" distB="0" distL="114300" distR="114300">
            <wp:extent cx="5080000" cy="3810000"/>
            <wp:effectExtent l="4445" t="4445" r="5715" b="107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按照综合预算的原则，本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所有收入和支出均纳入</w:t>
      </w:r>
      <w:r>
        <w:rPr>
          <w:rFonts w:hint="eastAsia" w:ascii="仿宋" w:hAnsi="仿宋" w:eastAsia="仿宋" w:cs="仿宋"/>
          <w:color w:val="auto"/>
          <w:sz w:val="32"/>
          <w:szCs w:val="32"/>
          <w:highlight w:val="none"/>
          <w:lang w:val="en-US" w:eastAsia="zh-CN"/>
        </w:rPr>
        <w:t>部门</w:t>
      </w:r>
      <w:r>
        <w:rPr>
          <w:rFonts w:hint="eastAsia" w:ascii="仿宋" w:hAnsi="仿宋" w:eastAsia="仿宋" w:cs="仿宋"/>
          <w:color w:val="auto"/>
          <w:sz w:val="32"/>
          <w:szCs w:val="32"/>
          <w:highlight w:val="none"/>
        </w:rPr>
        <w:t>预算管理。</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预算收入</w:t>
      </w:r>
      <w:r>
        <w:rPr>
          <w:rFonts w:hint="eastAsia" w:ascii="仿宋" w:hAnsi="仿宋" w:eastAsia="仿宋" w:cs="仿宋"/>
          <w:color w:val="auto"/>
          <w:sz w:val="32"/>
          <w:szCs w:val="32"/>
          <w:highlight w:val="none"/>
          <w:lang w:val="en-US" w:eastAsia="zh-CN"/>
        </w:rPr>
        <w:t>46.68</w:t>
      </w:r>
      <w:r>
        <w:rPr>
          <w:rFonts w:hint="eastAsia" w:ascii="仿宋" w:hAnsi="仿宋" w:eastAsia="仿宋" w:cs="仿宋"/>
          <w:color w:val="auto"/>
          <w:sz w:val="32"/>
          <w:szCs w:val="32"/>
          <w:highlight w:val="none"/>
        </w:rPr>
        <w:t>万元，其中一般公共预算拨款收入</w:t>
      </w:r>
      <w:r>
        <w:rPr>
          <w:rFonts w:hint="eastAsia" w:ascii="仿宋" w:hAnsi="仿宋" w:eastAsia="仿宋" w:cs="仿宋"/>
          <w:color w:val="auto"/>
          <w:sz w:val="32"/>
          <w:szCs w:val="32"/>
          <w:highlight w:val="none"/>
          <w:lang w:val="en-US" w:eastAsia="zh-CN"/>
        </w:rPr>
        <w:t>46.68</w:t>
      </w:r>
      <w:r>
        <w:rPr>
          <w:rFonts w:hint="eastAsia" w:ascii="仿宋" w:hAnsi="仿宋" w:eastAsia="仿宋" w:cs="仿宋"/>
          <w:color w:val="auto"/>
          <w:sz w:val="32"/>
          <w:szCs w:val="32"/>
          <w:highlight w:val="none"/>
        </w:rPr>
        <w:t>万元、政府性基金拨款收入</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上级补助收入0.00万元、事业收入0.00万元、事业单位经营收入0.00万元、对附属单位上缴收入0.00万元、用事业基金弥补收支差额0.00万元、上年结转0.00万元、上年实户资金余额0.00万元、其他收入0.00万元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预算收入较上年增加</w:t>
      </w:r>
      <w:r>
        <w:rPr>
          <w:rFonts w:hint="eastAsia" w:ascii="仿宋" w:hAnsi="仿宋" w:eastAsia="仿宋" w:cs="仿宋"/>
          <w:color w:val="auto"/>
          <w:sz w:val="32"/>
          <w:szCs w:val="32"/>
          <w:highlight w:val="none"/>
          <w:lang w:val="en-US" w:eastAsia="zh-CN"/>
        </w:rPr>
        <w:t>46.68</w:t>
      </w:r>
      <w:r>
        <w:rPr>
          <w:rFonts w:hint="eastAsia" w:ascii="仿宋" w:hAnsi="仿宋" w:eastAsia="仿宋" w:cs="仿宋"/>
          <w:color w:val="auto"/>
          <w:sz w:val="32"/>
          <w:szCs w:val="32"/>
          <w:highlight w:val="none"/>
        </w:rPr>
        <w:t>万元，主要原因是</w:t>
      </w:r>
      <w:r>
        <w:rPr>
          <w:rFonts w:hint="eastAsia" w:ascii="仿宋" w:hAnsi="仿宋" w:eastAsia="仿宋" w:cs="仿宋"/>
          <w:color w:val="auto"/>
          <w:sz w:val="32"/>
          <w:szCs w:val="32"/>
          <w:highlight w:val="none"/>
          <w:lang w:val="en-US" w:eastAsia="zh-CN"/>
        </w:rPr>
        <w:t>2021年预算在政府一起</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预算支出</w:t>
      </w:r>
      <w:r>
        <w:rPr>
          <w:rFonts w:hint="eastAsia" w:ascii="仿宋" w:hAnsi="仿宋" w:eastAsia="仿宋" w:cs="仿宋"/>
          <w:color w:val="auto"/>
          <w:sz w:val="32"/>
          <w:szCs w:val="32"/>
          <w:highlight w:val="none"/>
          <w:lang w:val="en-US" w:eastAsia="zh-CN"/>
        </w:rPr>
        <w:t>46.68</w:t>
      </w:r>
      <w:r>
        <w:rPr>
          <w:rFonts w:hint="eastAsia" w:ascii="仿宋" w:hAnsi="仿宋" w:eastAsia="仿宋" w:cs="仿宋"/>
          <w:color w:val="auto"/>
          <w:sz w:val="32"/>
          <w:szCs w:val="32"/>
          <w:highlight w:val="none"/>
        </w:rPr>
        <w:t>万元，其中一般公共预算拨款支出</w:t>
      </w:r>
      <w:r>
        <w:rPr>
          <w:rFonts w:hint="eastAsia" w:ascii="仿宋" w:hAnsi="仿宋" w:eastAsia="仿宋" w:cs="仿宋"/>
          <w:color w:val="auto"/>
          <w:sz w:val="32"/>
          <w:szCs w:val="32"/>
          <w:highlight w:val="none"/>
          <w:lang w:val="en-US" w:eastAsia="zh-CN"/>
        </w:rPr>
        <w:t>46.68</w:t>
      </w:r>
      <w:r>
        <w:rPr>
          <w:rFonts w:hint="eastAsia" w:ascii="仿宋" w:hAnsi="仿宋" w:eastAsia="仿宋" w:cs="仿宋"/>
          <w:color w:val="auto"/>
          <w:sz w:val="32"/>
          <w:szCs w:val="32"/>
          <w:highlight w:val="none"/>
        </w:rPr>
        <w:t>万元、政府性基金拨款支出</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事业支出0.00万元、事业单位经营支出0.00万元、对附属单位上缴支出0.00万元、上年实户资金余额支出0.00万元、其他支出0.00万元、上年结转支出0.00万元</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预算支出较上年增加</w:t>
      </w:r>
      <w:r>
        <w:rPr>
          <w:rFonts w:hint="eastAsia" w:ascii="仿宋" w:hAnsi="仿宋" w:eastAsia="仿宋" w:cs="仿宋"/>
          <w:color w:val="auto"/>
          <w:sz w:val="32"/>
          <w:szCs w:val="32"/>
          <w:highlight w:val="none"/>
          <w:lang w:val="en-US" w:eastAsia="zh-CN"/>
        </w:rPr>
        <w:t>46.68</w:t>
      </w:r>
      <w:r>
        <w:rPr>
          <w:rFonts w:hint="eastAsia" w:ascii="仿宋" w:hAnsi="仿宋" w:eastAsia="仿宋" w:cs="仿宋"/>
          <w:color w:val="auto"/>
          <w:sz w:val="32"/>
          <w:szCs w:val="32"/>
          <w:highlight w:val="none"/>
        </w:rPr>
        <w:t>万元，主要原因是</w:t>
      </w:r>
      <w:r>
        <w:rPr>
          <w:rFonts w:hint="eastAsia" w:ascii="仿宋" w:hAnsi="仿宋" w:eastAsia="仿宋" w:cs="仿宋"/>
          <w:color w:val="auto"/>
          <w:sz w:val="32"/>
          <w:szCs w:val="32"/>
          <w:highlight w:val="none"/>
          <w:lang w:val="en-US" w:eastAsia="zh-CN"/>
        </w:rPr>
        <w:t>2021年预算在政府一起</w:t>
      </w:r>
      <w:r>
        <w:rPr>
          <w:rFonts w:hint="eastAsia" w:ascii="仿宋" w:hAnsi="仿宋" w:eastAsia="仿宋" w:cs="仿宋"/>
          <w:color w:val="auto"/>
          <w:sz w:val="32"/>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财政拨款收支情况。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drawing>
          <wp:inline distT="0" distB="0" distL="114300" distR="114300">
            <wp:extent cx="4906645" cy="3671570"/>
            <wp:effectExtent l="4445" t="4445" r="11430" b="1206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仿宋" w:hAnsi="仿宋" w:eastAsia="仿宋" w:cs="仿宋"/>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财政拨款收入</w:t>
      </w:r>
      <w:r>
        <w:rPr>
          <w:rFonts w:hint="eastAsia" w:ascii="仿宋" w:hAnsi="仿宋" w:eastAsia="仿宋" w:cs="仿宋"/>
          <w:color w:val="auto"/>
          <w:sz w:val="32"/>
          <w:szCs w:val="32"/>
          <w:highlight w:val="none"/>
          <w:lang w:val="en-US" w:eastAsia="zh-CN"/>
        </w:rPr>
        <w:t>46.68</w:t>
      </w:r>
      <w:r>
        <w:rPr>
          <w:rFonts w:hint="eastAsia" w:ascii="仿宋" w:hAnsi="仿宋" w:eastAsia="仿宋" w:cs="仿宋"/>
          <w:color w:val="auto"/>
          <w:sz w:val="32"/>
          <w:szCs w:val="32"/>
          <w:highlight w:val="none"/>
        </w:rPr>
        <w:t>万元，其中一般公共预算拨款收入</w:t>
      </w:r>
      <w:r>
        <w:rPr>
          <w:rFonts w:hint="eastAsia" w:ascii="仿宋" w:hAnsi="仿宋" w:eastAsia="仿宋" w:cs="仿宋"/>
          <w:color w:val="auto"/>
          <w:sz w:val="32"/>
          <w:szCs w:val="32"/>
          <w:highlight w:val="none"/>
          <w:lang w:val="en-US" w:eastAsia="zh-CN"/>
        </w:rPr>
        <w:t>46.68</w:t>
      </w:r>
      <w:r>
        <w:rPr>
          <w:rFonts w:hint="eastAsia" w:ascii="仿宋" w:hAnsi="仿宋" w:eastAsia="仿宋" w:cs="仿宋"/>
          <w:color w:val="auto"/>
          <w:sz w:val="32"/>
          <w:szCs w:val="32"/>
          <w:highlight w:val="none"/>
        </w:rPr>
        <w:t>万元、政府性基金拨款收入</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上级补助收入0.00万元、事业收入0.00万元、事业单位经营收入0.00万元、对附属单位上缴收入0.00万元、用事业基金弥补收支差额0.00万元、上年结转0.00万元、上年实户资金余额0.00万元、其他收入0.00万元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财政拨款收入较上年增加</w:t>
      </w:r>
      <w:r>
        <w:rPr>
          <w:rFonts w:hint="eastAsia" w:ascii="仿宋" w:hAnsi="仿宋" w:eastAsia="仿宋" w:cs="仿宋"/>
          <w:color w:val="auto"/>
          <w:sz w:val="32"/>
          <w:szCs w:val="32"/>
          <w:highlight w:val="none"/>
          <w:lang w:val="en-US" w:eastAsia="zh-CN"/>
        </w:rPr>
        <w:t>46.68</w:t>
      </w:r>
      <w:r>
        <w:rPr>
          <w:rFonts w:hint="eastAsia" w:ascii="仿宋" w:hAnsi="仿宋" w:eastAsia="仿宋" w:cs="仿宋"/>
          <w:color w:val="auto"/>
          <w:sz w:val="32"/>
          <w:szCs w:val="32"/>
          <w:highlight w:val="none"/>
        </w:rPr>
        <w:t>万元，主要原因是</w:t>
      </w:r>
      <w:r>
        <w:rPr>
          <w:rFonts w:hint="eastAsia" w:ascii="仿宋" w:hAnsi="仿宋" w:eastAsia="仿宋" w:cs="仿宋"/>
          <w:color w:val="auto"/>
          <w:sz w:val="32"/>
          <w:szCs w:val="32"/>
          <w:highlight w:val="none"/>
          <w:lang w:val="en-US" w:eastAsia="zh-CN"/>
        </w:rPr>
        <w:t>2021年预算在政府一起</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财政拨款支出</w:t>
      </w:r>
      <w:r>
        <w:rPr>
          <w:rFonts w:hint="eastAsia" w:ascii="仿宋" w:hAnsi="仿宋" w:eastAsia="仿宋" w:cs="仿宋"/>
          <w:color w:val="auto"/>
          <w:sz w:val="32"/>
          <w:szCs w:val="32"/>
          <w:highlight w:val="none"/>
          <w:lang w:val="en-US" w:eastAsia="zh-CN"/>
        </w:rPr>
        <w:t>46.68</w:t>
      </w:r>
      <w:r>
        <w:rPr>
          <w:rFonts w:hint="eastAsia" w:ascii="仿宋" w:hAnsi="仿宋" w:eastAsia="仿宋" w:cs="仿宋"/>
          <w:color w:val="auto"/>
          <w:sz w:val="32"/>
          <w:szCs w:val="32"/>
          <w:highlight w:val="none"/>
        </w:rPr>
        <w:t>万元，其中一般公共预算拨款支出</w:t>
      </w:r>
      <w:r>
        <w:rPr>
          <w:rFonts w:hint="eastAsia" w:ascii="仿宋" w:hAnsi="仿宋" w:eastAsia="仿宋" w:cs="仿宋"/>
          <w:color w:val="auto"/>
          <w:sz w:val="32"/>
          <w:szCs w:val="32"/>
          <w:highlight w:val="none"/>
          <w:lang w:val="en-US" w:eastAsia="zh-CN"/>
        </w:rPr>
        <w:t>46.68</w:t>
      </w:r>
      <w:r>
        <w:rPr>
          <w:rFonts w:hint="eastAsia" w:ascii="仿宋" w:hAnsi="仿宋" w:eastAsia="仿宋" w:cs="仿宋"/>
          <w:color w:val="auto"/>
          <w:sz w:val="32"/>
          <w:szCs w:val="32"/>
          <w:highlight w:val="none"/>
        </w:rPr>
        <w:t>万元、政府性基金拨款支出</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业支出0.00万元、事业单位经营支出0.00万元、对附属单位上缴支出0.00万元、上年实户资金余额支出0.00万元、其他支出0.00万元、上年结转支出0.00万元</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财政拨款支出较上年增加</w:t>
      </w:r>
      <w:r>
        <w:rPr>
          <w:rFonts w:hint="eastAsia" w:ascii="仿宋" w:hAnsi="仿宋" w:eastAsia="仿宋" w:cs="仿宋"/>
          <w:color w:val="auto"/>
          <w:sz w:val="32"/>
          <w:szCs w:val="32"/>
          <w:highlight w:val="none"/>
          <w:lang w:val="en-US" w:eastAsia="zh-CN"/>
        </w:rPr>
        <w:t>46.68</w:t>
      </w:r>
      <w:r>
        <w:rPr>
          <w:rFonts w:hint="eastAsia" w:ascii="仿宋" w:hAnsi="仿宋" w:eastAsia="仿宋" w:cs="仿宋"/>
          <w:color w:val="auto"/>
          <w:sz w:val="32"/>
          <w:szCs w:val="32"/>
          <w:highlight w:val="none"/>
        </w:rPr>
        <w:t>万元，主要原因是</w:t>
      </w:r>
      <w:r>
        <w:rPr>
          <w:rFonts w:hint="eastAsia" w:ascii="仿宋" w:hAnsi="仿宋" w:eastAsia="仿宋" w:cs="仿宋"/>
          <w:color w:val="auto"/>
          <w:sz w:val="32"/>
          <w:szCs w:val="32"/>
          <w:highlight w:val="none"/>
          <w:lang w:val="en-US" w:eastAsia="zh-CN"/>
        </w:rPr>
        <w:t>2021年预算在政府一起</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1、</w:t>
      </w:r>
      <w:r>
        <w:rPr>
          <w:rFonts w:hint="eastAsia" w:ascii="仿宋" w:hAnsi="仿宋" w:eastAsia="仿宋" w:cs="仿宋"/>
          <w:color w:val="auto"/>
          <w:sz w:val="32"/>
          <w:szCs w:val="32"/>
          <w:highlight w:val="none"/>
        </w:rPr>
        <w:t>一般公共预算当年拨款规模变化情况。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当年一般公共预算拨款支出</w:t>
      </w:r>
      <w:r>
        <w:rPr>
          <w:rFonts w:hint="eastAsia" w:ascii="仿宋" w:hAnsi="仿宋" w:eastAsia="仿宋" w:cs="仿宋"/>
          <w:color w:val="auto"/>
          <w:sz w:val="32"/>
          <w:szCs w:val="32"/>
          <w:highlight w:val="none"/>
          <w:lang w:val="en-US" w:eastAsia="zh-CN"/>
        </w:rPr>
        <w:t>46.68</w:t>
      </w:r>
      <w:r>
        <w:rPr>
          <w:rFonts w:hint="eastAsia" w:ascii="仿宋" w:hAnsi="仿宋" w:eastAsia="仿宋" w:cs="仿宋"/>
          <w:color w:val="auto"/>
          <w:sz w:val="32"/>
          <w:szCs w:val="32"/>
          <w:highlight w:val="none"/>
        </w:rPr>
        <w:t>万元，较上年增加</w:t>
      </w:r>
      <w:r>
        <w:rPr>
          <w:rFonts w:hint="eastAsia" w:ascii="仿宋" w:hAnsi="仿宋" w:eastAsia="仿宋" w:cs="仿宋"/>
          <w:color w:val="auto"/>
          <w:sz w:val="32"/>
          <w:szCs w:val="32"/>
          <w:highlight w:val="none"/>
          <w:lang w:val="en-US" w:eastAsia="zh-CN"/>
        </w:rPr>
        <w:t>46.68</w:t>
      </w:r>
      <w:r>
        <w:rPr>
          <w:rFonts w:hint="eastAsia" w:ascii="仿宋" w:hAnsi="仿宋" w:eastAsia="仿宋" w:cs="仿宋"/>
          <w:color w:val="auto"/>
          <w:sz w:val="32"/>
          <w:szCs w:val="32"/>
          <w:highlight w:val="none"/>
        </w:rPr>
        <w:t>万元，主要原因是</w:t>
      </w:r>
      <w:r>
        <w:rPr>
          <w:rFonts w:hint="eastAsia" w:ascii="仿宋" w:hAnsi="仿宋" w:eastAsia="仿宋" w:cs="仿宋"/>
          <w:color w:val="auto"/>
          <w:sz w:val="32"/>
          <w:szCs w:val="32"/>
          <w:highlight w:val="none"/>
          <w:lang w:val="en-US" w:eastAsia="zh-CN"/>
        </w:rPr>
        <w:t>2021年预算在政府一起</w:t>
      </w:r>
      <w:r>
        <w:rPr>
          <w:rFonts w:hint="eastAsia" w:ascii="仿宋" w:hAnsi="仿宋" w:eastAsia="仿宋" w:cs="仿宋"/>
          <w:color w:val="auto"/>
          <w:sz w:val="32"/>
          <w:szCs w:val="32"/>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支出按功能科目分类的明细情况。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val="en-US" w:eastAsia="zh-CN"/>
        </w:rPr>
        <w:t>部门</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当年一般公共预算支</w:t>
      </w:r>
      <w:r>
        <w:rPr>
          <w:rFonts w:hint="eastAsia" w:ascii="仿宋" w:hAnsi="仿宋" w:eastAsia="仿宋" w:cs="仿宋"/>
          <w:color w:val="auto"/>
          <w:sz w:val="32"/>
          <w:szCs w:val="32"/>
          <w:highlight w:val="none"/>
          <w:lang w:val="en-US" w:eastAsia="zh-CN"/>
        </w:rPr>
        <w:t>46.68</w:t>
      </w:r>
      <w:r>
        <w:rPr>
          <w:rFonts w:hint="eastAsia" w:ascii="仿宋" w:hAnsi="仿宋" w:eastAsia="仿宋" w:cs="仿宋"/>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一般公共服务支出（类）财政事务（款）</w:t>
      </w:r>
      <w:r>
        <w:rPr>
          <w:rFonts w:hint="eastAsia" w:ascii="仿宋" w:hAnsi="仿宋" w:eastAsia="仿宋" w:cs="仿宋"/>
          <w:color w:val="auto"/>
          <w:sz w:val="32"/>
          <w:szCs w:val="32"/>
          <w:highlight w:val="none"/>
        </w:rPr>
        <w:t>行政运行</w:t>
      </w:r>
      <w:r>
        <w:rPr>
          <w:rFonts w:hint="eastAsia" w:ascii="仿宋" w:hAnsi="仿宋" w:eastAsia="仿宋" w:cs="仿宋"/>
          <w:color w:val="auto"/>
          <w:sz w:val="32"/>
          <w:szCs w:val="32"/>
          <w:highlight w:val="none"/>
          <w:lang w:val="en-US" w:eastAsia="zh-CN"/>
        </w:rPr>
        <w:t>（项）</w:t>
      </w:r>
      <w:r>
        <w:rPr>
          <w:rFonts w:hint="eastAsia" w:ascii="仿宋" w:hAnsi="仿宋" w:eastAsia="仿宋" w:cs="仿宋"/>
          <w:color w:val="auto"/>
          <w:sz w:val="32"/>
          <w:szCs w:val="32"/>
          <w:highlight w:val="none"/>
        </w:rPr>
        <w:t>（2010601）</w:t>
      </w:r>
      <w:r>
        <w:rPr>
          <w:rFonts w:hint="eastAsia" w:ascii="仿宋" w:hAnsi="仿宋" w:eastAsia="仿宋" w:cs="仿宋"/>
          <w:color w:val="auto"/>
          <w:sz w:val="32"/>
          <w:szCs w:val="32"/>
          <w:highlight w:val="none"/>
          <w:lang w:val="en-US" w:eastAsia="zh-CN"/>
        </w:rPr>
        <w:t>38.28</w:t>
      </w:r>
      <w:r>
        <w:rPr>
          <w:rFonts w:hint="eastAsia" w:ascii="仿宋" w:hAnsi="仿宋" w:eastAsia="仿宋" w:cs="仿宋"/>
          <w:color w:val="auto"/>
          <w:sz w:val="32"/>
          <w:szCs w:val="32"/>
          <w:highlight w:val="none"/>
        </w:rPr>
        <w:t>万元，较上年</w:t>
      </w:r>
      <w:r>
        <w:rPr>
          <w:rFonts w:hint="eastAsia" w:ascii="仿宋" w:hAnsi="仿宋" w:eastAsia="仿宋" w:cs="仿宋"/>
          <w:color w:val="auto"/>
          <w:sz w:val="32"/>
          <w:szCs w:val="32"/>
          <w:highlight w:val="none"/>
          <w:lang w:val="en-US" w:eastAsia="zh-CN"/>
        </w:rPr>
        <w:t>增加38.28</w:t>
      </w:r>
      <w:r>
        <w:rPr>
          <w:rFonts w:hint="eastAsia" w:ascii="仿宋" w:hAnsi="仿宋" w:eastAsia="仿宋" w:cs="仿宋"/>
          <w:color w:val="auto"/>
          <w:sz w:val="32"/>
          <w:szCs w:val="32"/>
          <w:highlight w:val="none"/>
        </w:rPr>
        <w:t>万元，原主要原因是</w:t>
      </w:r>
      <w:r>
        <w:rPr>
          <w:rFonts w:hint="eastAsia" w:ascii="仿宋" w:hAnsi="仿宋" w:eastAsia="仿宋" w:cs="仿宋"/>
          <w:color w:val="auto"/>
          <w:sz w:val="32"/>
          <w:szCs w:val="32"/>
          <w:highlight w:val="none"/>
          <w:lang w:val="en-US" w:eastAsia="zh-CN"/>
        </w:rPr>
        <w:t>2021年预算在政府一起</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社会保障和就业支出（类）行政事业单位养老支出（款）机关事业单位基本养老保险缴费支出（项）（2080505）3.61</w:t>
      </w:r>
      <w:r>
        <w:rPr>
          <w:rFonts w:hint="eastAsia" w:ascii="仿宋" w:hAnsi="仿宋" w:eastAsia="仿宋" w:cs="仿宋"/>
          <w:color w:val="auto"/>
          <w:sz w:val="32"/>
          <w:szCs w:val="32"/>
          <w:highlight w:val="none"/>
        </w:rPr>
        <w:t>万元，较上年增加</w:t>
      </w:r>
      <w:r>
        <w:rPr>
          <w:rFonts w:hint="eastAsia" w:ascii="仿宋" w:hAnsi="仿宋" w:eastAsia="仿宋" w:cs="仿宋"/>
          <w:color w:val="auto"/>
          <w:sz w:val="32"/>
          <w:szCs w:val="32"/>
          <w:highlight w:val="none"/>
          <w:lang w:val="en-US" w:eastAsia="zh-CN"/>
        </w:rPr>
        <w:t>3.61</w:t>
      </w:r>
      <w:r>
        <w:rPr>
          <w:rFonts w:hint="eastAsia" w:ascii="仿宋" w:hAnsi="仿宋" w:eastAsia="仿宋" w:cs="仿宋"/>
          <w:color w:val="auto"/>
          <w:sz w:val="32"/>
          <w:szCs w:val="32"/>
          <w:highlight w:val="none"/>
        </w:rPr>
        <w:t>万元，主要原因是</w:t>
      </w:r>
      <w:r>
        <w:rPr>
          <w:rFonts w:hint="eastAsia" w:ascii="仿宋" w:hAnsi="仿宋" w:eastAsia="仿宋" w:cs="仿宋"/>
          <w:color w:val="auto"/>
          <w:sz w:val="32"/>
          <w:szCs w:val="32"/>
          <w:highlight w:val="none"/>
          <w:lang w:val="en-US" w:eastAsia="zh-CN"/>
        </w:rPr>
        <w:t>2021年预算在政府一起</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eastAsia="zh-CN"/>
        </w:rPr>
        <w:t>卫生健康支出（类）行政事业单位医疗（款）</w:t>
      </w:r>
      <w:r>
        <w:rPr>
          <w:rFonts w:hint="eastAsia" w:ascii="仿宋" w:hAnsi="仿宋" w:eastAsia="仿宋" w:cs="仿宋"/>
          <w:color w:val="auto"/>
          <w:sz w:val="32"/>
          <w:szCs w:val="32"/>
          <w:highlight w:val="none"/>
          <w:lang w:val="en-US" w:eastAsia="zh-CN"/>
        </w:rPr>
        <w:t>行政单位医疗（项）（2101101）1.77万元</w:t>
      </w:r>
      <w:r>
        <w:rPr>
          <w:rFonts w:hint="eastAsia" w:ascii="仿宋" w:hAnsi="仿宋" w:eastAsia="仿宋" w:cs="仿宋"/>
          <w:color w:val="auto"/>
          <w:sz w:val="32"/>
          <w:szCs w:val="32"/>
          <w:highlight w:val="none"/>
        </w:rPr>
        <w:t>，较上年增加</w:t>
      </w:r>
      <w:r>
        <w:rPr>
          <w:rFonts w:hint="eastAsia" w:ascii="仿宋" w:hAnsi="仿宋" w:eastAsia="仿宋" w:cs="仿宋"/>
          <w:color w:val="auto"/>
          <w:sz w:val="32"/>
          <w:szCs w:val="32"/>
          <w:highlight w:val="none"/>
          <w:lang w:val="en-US" w:eastAsia="zh-CN"/>
        </w:rPr>
        <w:t>1.77</w:t>
      </w:r>
      <w:r>
        <w:rPr>
          <w:rFonts w:hint="eastAsia" w:ascii="仿宋" w:hAnsi="仿宋" w:eastAsia="仿宋" w:cs="仿宋"/>
          <w:color w:val="auto"/>
          <w:sz w:val="32"/>
          <w:szCs w:val="32"/>
          <w:highlight w:val="none"/>
        </w:rPr>
        <w:t>万元，主要原因是</w:t>
      </w:r>
      <w:r>
        <w:rPr>
          <w:rFonts w:hint="eastAsia" w:ascii="仿宋" w:hAnsi="仿宋" w:eastAsia="仿宋" w:cs="仿宋"/>
          <w:color w:val="auto"/>
          <w:sz w:val="32"/>
          <w:szCs w:val="32"/>
          <w:highlight w:val="none"/>
          <w:lang w:val="en-US" w:eastAsia="zh-CN"/>
        </w:rPr>
        <w:t>2021年预算在政府一起</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住房保障支出（类）住房改革支出（款）</w:t>
      </w:r>
      <w:r>
        <w:rPr>
          <w:rFonts w:hint="eastAsia" w:ascii="仿宋" w:hAnsi="仿宋" w:eastAsia="仿宋" w:cs="仿宋"/>
          <w:color w:val="auto"/>
          <w:sz w:val="32"/>
          <w:szCs w:val="32"/>
          <w:highlight w:val="none"/>
          <w:lang w:val="en-US" w:eastAsia="zh-CN"/>
        </w:rPr>
        <w:t>住房公积金（项）　（2210201）3.02万元</w:t>
      </w:r>
      <w:r>
        <w:rPr>
          <w:rFonts w:hint="eastAsia" w:ascii="仿宋" w:hAnsi="仿宋" w:eastAsia="仿宋" w:cs="仿宋"/>
          <w:color w:val="auto"/>
          <w:sz w:val="32"/>
          <w:szCs w:val="32"/>
          <w:highlight w:val="none"/>
        </w:rPr>
        <w:t>，较上年增加</w:t>
      </w:r>
      <w:r>
        <w:rPr>
          <w:rFonts w:hint="eastAsia" w:ascii="仿宋" w:hAnsi="仿宋" w:eastAsia="仿宋" w:cs="仿宋"/>
          <w:color w:val="auto"/>
          <w:sz w:val="32"/>
          <w:szCs w:val="32"/>
          <w:highlight w:val="none"/>
          <w:lang w:val="en-US" w:eastAsia="zh-CN"/>
        </w:rPr>
        <w:t>3.02</w:t>
      </w:r>
      <w:r>
        <w:rPr>
          <w:rFonts w:hint="eastAsia" w:ascii="仿宋" w:hAnsi="仿宋" w:eastAsia="仿宋" w:cs="仿宋"/>
          <w:color w:val="auto"/>
          <w:sz w:val="32"/>
          <w:szCs w:val="32"/>
          <w:highlight w:val="none"/>
        </w:rPr>
        <w:t>万元，主要原因是</w:t>
      </w:r>
      <w:r>
        <w:rPr>
          <w:rFonts w:hint="eastAsia" w:ascii="仿宋" w:hAnsi="仿宋" w:eastAsia="仿宋" w:cs="仿宋"/>
          <w:color w:val="auto"/>
          <w:sz w:val="32"/>
          <w:szCs w:val="32"/>
          <w:highlight w:val="none"/>
          <w:lang w:val="en-US" w:eastAsia="zh-CN"/>
        </w:rPr>
        <w:t>2021年预算在政府一起</w:t>
      </w:r>
      <w:r>
        <w:rPr>
          <w:rFonts w:hint="eastAsia" w:ascii="仿宋" w:hAnsi="仿宋" w:eastAsia="仿宋" w:cs="仿宋"/>
          <w:color w:val="auto"/>
          <w:sz w:val="32"/>
          <w:szCs w:val="32"/>
          <w:highlight w:val="none"/>
        </w:rPr>
        <w:t>。</w:t>
      </w:r>
      <w:bookmarkStart w:id="0" w:name="_GoBack"/>
      <w:r>
        <w:rPr>
          <w:rFonts w:hint="eastAsia" w:ascii="仿宋" w:hAnsi="仿宋" w:eastAsia="仿宋" w:cs="仿宋"/>
          <w:color w:val="auto"/>
          <w:sz w:val="32"/>
          <w:szCs w:val="32"/>
          <w:highlight w:val="none"/>
          <w:lang w:eastAsia="zh-CN"/>
        </w:rPr>
        <w:drawing>
          <wp:inline distT="0" distB="0" distL="114300" distR="114300">
            <wp:extent cx="5256530" cy="2988310"/>
            <wp:effectExtent l="5080" t="4445" r="1143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3、</w:t>
      </w:r>
      <w:r>
        <w:rPr>
          <w:rFonts w:hint="eastAsia" w:ascii="仿宋" w:hAnsi="仿宋" w:eastAsia="仿宋" w:cs="仿宋"/>
          <w:color w:val="auto"/>
          <w:sz w:val="32"/>
          <w:szCs w:val="32"/>
          <w:highlight w:val="none"/>
        </w:rPr>
        <w:t>支出按经济科目分类的明细情况。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（1）按照</w:t>
      </w:r>
      <w:r>
        <w:rPr>
          <w:rFonts w:hint="eastAsia" w:ascii="仿宋" w:hAnsi="仿宋" w:eastAsia="仿宋" w:cs="仿宋"/>
          <w:color w:val="auto"/>
          <w:sz w:val="32"/>
          <w:szCs w:val="32"/>
          <w:highlight w:val="none"/>
          <w:lang w:val="en-US" w:eastAsia="zh-CN"/>
        </w:rPr>
        <w:t>部门</w:t>
      </w:r>
      <w:r>
        <w:rPr>
          <w:rFonts w:hint="eastAsia" w:ascii="仿宋" w:hAnsi="仿宋" w:eastAsia="仿宋" w:cs="仿宋"/>
          <w:color w:val="auto"/>
          <w:sz w:val="32"/>
          <w:szCs w:val="32"/>
          <w:highlight w:val="none"/>
        </w:rPr>
        <w:t>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本部门当年一般公共预算支出</w:t>
      </w:r>
      <w:r>
        <w:rPr>
          <w:rFonts w:hint="eastAsia" w:ascii="仿宋" w:hAnsi="仿宋" w:eastAsia="仿宋" w:cs="仿宋"/>
          <w:color w:val="auto"/>
          <w:sz w:val="32"/>
          <w:szCs w:val="32"/>
          <w:highlight w:val="none"/>
          <w:lang w:val="en-US" w:eastAsia="zh-CN"/>
        </w:rPr>
        <w:t>46.68</w:t>
      </w:r>
      <w:r>
        <w:rPr>
          <w:rFonts w:hint="eastAsia" w:ascii="仿宋" w:hAnsi="仿宋" w:eastAsia="仿宋" w:cs="仿宋"/>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工资福利支出（301）</w:t>
      </w:r>
      <w:r>
        <w:rPr>
          <w:rFonts w:hint="eastAsia" w:ascii="仿宋" w:hAnsi="仿宋" w:eastAsia="仿宋" w:cs="仿宋"/>
          <w:color w:val="auto"/>
          <w:sz w:val="32"/>
          <w:szCs w:val="32"/>
          <w:highlight w:val="none"/>
          <w:lang w:val="en-US" w:eastAsia="zh-CN"/>
        </w:rPr>
        <w:t>36.63</w:t>
      </w:r>
      <w:r>
        <w:rPr>
          <w:rFonts w:hint="eastAsia" w:ascii="仿宋" w:hAnsi="仿宋" w:eastAsia="仿宋" w:cs="仿宋"/>
          <w:color w:val="auto"/>
          <w:sz w:val="32"/>
          <w:szCs w:val="32"/>
          <w:highlight w:val="none"/>
        </w:rPr>
        <w:t>万元，较上年增加</w:t>
      </w:r>
      <w:r>
        <w:rPr>
          <w:rFonts w:hint="eastAsia" w:ascii="仿宋" w:hAnsi="仿宋" w:eastAsia="仿宋" w:cs="仿宋"/>
          <w:color w:val="auto"/>
          <w:sz w:val="32"/>
          <w:szCs w:val="32"/>
          <w:highlight w:val="none"/>
          <w:lang w:val="en-US" w:eastAsia="zh-CN"/>
        </w:rPr>
        <w:t>36.63</w:t>
      </w:r>
      <w:r>
        <w:rPr>
          <w:rFonts w:hint="eastAsia" w:ascii="仿宋" w:hAnsi="仿宋" w:eastAsia="仿宋" w:cs="仿宋"/>
          <w:color w:val="auto"/>
          <w:sz w:val="32"/>
          <w:szCs w:val="32"/>
          <w:highlight w:val="none"/>
        </w:rPr>
        <w:t>万元，主要原因是</w:t>
      </w:r>
      <w:r>
        <w:rPr>
          <w:rFonts w:hint="eastAsia" w:ascii="仿宋" w:hAnsi="仿宋" w:eastAsia="仿宋" w:cs="仿宋"/>
          <w:color w:val="auto"/>
          <w:sz w:val="32"/>
          <w:szCs w:val="32"/>
          <w:highlight w:val="none"/>
          <w:lang w:val="en-US" w:eastAsia="zh-CN"/>
        </w:rPr>
        <w:t>2021年预算在政府一起</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商品和服务支出（302）</w:t>
      </w:r>
      <w:r>
        <w:rPr>
          <w:rFonts w:hint="eastAsia" w:ascii="仿宋" w:hAnsi="仿宋" w:eastAsia="仿宋" w:cs="仿宋"/>
          <w:color w:val="auto"/>
          <w:sz w:val="32"/>
          <w:szCs w:val="32"/>
          <w:highlight w:val="none"/>
          <w:lang w:val="en-US" w:eastAsia="zh-CN"/>
        </w:rPr>
        <w:t>8.05</w:t>
      </w:r>
      <w:r>
        <w:rPr>
          <w:rFonts w:hint="eastAsia" w:ascii="仿宋" w:hAnsi="仿宋" w:eastAsia="仿宋" w:cs="仿宋"/>
          <w:color w:val="auto"/>
          <w:sz w:val="32"/>
          <w:szCs w:val="32"/>
          <w:highlight w:val="none"/>
        </w:rPr>
        <w:t>万元，较上年增加</w:t>
      </w:r>
      <w:r>
        <w:rPr>
          <w:rFonts w:hint="eastAsia" w:ascii="仿宋" w:hAnsi="仿宋" w:eastAsia="仿宋" w:cs="仿宋"/>
          <w:color w:val="auto"/>
          <w:sz w:val="32"/>
          <w:szCs w:val="32"/>
          <w:highlight w:val="none"/>
          <w:lang w:val="en-US" w:eastAsia="zh-CN"/>
        </w:rPr>
        <w:t>8.05万元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主要原因是</w:t>
      </w:r>
      <w:r>
        <w:rPr>
          <w:rFonts w:hint="eastAsia" w:ascii="仿宋" w:hAnsi="仿宋" w:eastAsia="仿宋" w:cs="仿宋"/>
          <w:color w:val="auto"/>
          <w:sz w:val="32"/>
          <w:szCs w:val="32"/>
          <w:highlight w:val="none"/>
          <w:lang w:val="en-US" w:eastAsia="zh-CN"/>
        </w:rPr>
        <w:t>2021年预算在政府一起</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资本性支出（310）2万元</w:t>
      </w:r>
      <w:r>
        <w:rPr>
          <w:rFonts w:hint="eastAsia" w:ascii="仿宋" w:hAnsi="仿宋" w:eastAsia="仿宋" w:cs="仿宋"/>
          <w:color w:val="auto"/>
          <w:sz w:val="32"/>
          <w:szCs w:val="32"/>
          <w:highlight w:val="none"/>
        </w:rPr>
        <w:t>，较上年增加</w:t>
      </w:r>
      <w:r>
        <w:rPr>
          <w:rFonts w:hint="eastAsia" w:ascii="仿宋" w:hAnsi="仿宋" w:eastAsia="仿宋" w:cs="仿宋"/>
          <w:color w:val="auto"/>
          <w:sz w:val="32"/>
          <w:szCs w:val="32"/>
          <w:highlight w:val="none"/>
          <w:lang w:val="en-US" w:eastAsia="zh-CN"/>
        </w:rPr>
        <w:t>2万元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主要原因是</w:t>
      </w:r>
      <w:r>
        <w:rPr>
          <w:rFonts w:hint="eastAsia" w:ascii="仿宋" w:hAnsi="仿宋" w:eastAsia="仿宋" w:cs="仿宋"/>
          <w:color w:val="auto"/>
          <w:sz w:val="32"/>
          <w:szCs w:val="32"/>
          <w:highlight w:val="none"/>
          <w:lang w:val="en-US" w:eastAsia="zh-CN"/>
        </w:rPr>
        <w:t>2021年预算在政府一起</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drawing>
          <wp:inline distT="0" distB="0" distL="114300" distR="114300">
            <wp:extent cx="5256530" cy="2988310"/>
            <wp:effectExtent l="5080" t="4445" r="1143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按照政府预算支出经济分类的类级科目说明。</w:t>
      </w:r>
      <w:r>
        <w:rPr>
          <w:rFonts w:hint="eastAsia" w:ascii="仿宋" w:hAnsi="仿宋" w:eastAsia="仿宋" w:cs="仿宋"/>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当年一般公共预算支出</w:t>
      </w:r>
      <w:r>
        <w:rPr>
          <w:rFonts w:hint="eastAsia" w:ascii="仿宋" w:hAnsi="仿宋" w:eastAsia="仿宋" w:cs="仿宋"/>
          <w:color w:val="auto"/>
          <w:sz w:val="32"/>
          <w:szCs w:val="32"/>
          <w:highlight w:val="none"/>
          <w:lang w:val="en-US" w:eastAsia="zh-CN"/>
        </w:rPr>
        <w:t>46.68</w:t>
      </w:r>
      <w:r>
        <w:rPr>
          <w:rFonts w:hint="eastAsia" w:ascii="仿宋" w:hAnsi="仿宋" w:eastAsia="仿宋" w:cs="仿宋"/>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机关工资福利支出（501）</w:t>
      </w:r>
      <w:r>
        <w:rPr>
          <w:rFonts w:hint="eastAsia" w:ascii="仿宋" w:hAnsi="仿宋" w:eastAsia="仿宋" w:cs="仿宋"/>
          <w:color w:val="auto"/>
          <w:sz w:val="32"/>
          <w:szCs w:val="32"/>
          <w:highlight w:val="none"/>
          <w:lang w:val="en-US" w:eastAsia="zh-CN"/>
        </w:rPr>
        <w:t>36.63</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比上年增加36.63万元，</w:t>
      </w:r>
      <w:r>
        <w:rPr>
          <w:rFonts w:hint="eastAsia" w:ascii="仿宋" w:hAnsi="仿宋" w:eastAsia="仿宋" w:cs="仿宋"/>
          <w:color w:val="auto"/>
          <w:sz w:val="32"/>
          <w:szCs w:val="32"/>
          <w:highlight w:val="none"/>
        </w:rPr>
        <w:t>主要原因是</w:t>
      </w:r>
      <w:r>
        <w:rPr>
          <w:rFonts w:hint="eastAsia" w:ascii="仿宋" w:hAnsi="仿宋" w:eastAsia="仿宋" w:cs="仿宋"/>
          <w:color w:val="auto"/>
          <w:sz w:val="32"/>
          <w:szCs w:val="32"/>
          <w:highlight w:val="none"/>
          <w:lang w:val="en-US" w:eastAsia="zh-CN"/>
        </w:rPr>
        <w:t>2021年预算在政府一起</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机关商品和服务支出（502）</w:t>
      </w:r>
      <w:r>
        <w:rPr>
          <w:rFonts w:hint="eastAsia" w:ascii="仿宋" w:hAnsi="仿宋" w:eastAsia="仿宋" w:cs="仿宋"/>
          <w:color w:val="auto"/>
          <w:sz w:val="32"/>
          <w:szCs w:val="32"/>
          <w:highlight w:val="none"/>
          <w:lang w:val="en-US" w:eastAsia="zh-CN"/>
        </w:rPr>
        <w:t>8.05</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比上年增加8.05万元，</w:t>
      </w:r>
      <w:r>
        <w:rPr>
          <w:rFonts w:hint="eastAsia" w:ascii="仿宋" w:hAnsi="仿宋" w:eastAsia="仿宋" w:cs="仿宋"/>
          <w:color w:val="auto"/>
          <w:sz w:val="32"/>
          <w:szCs w:val="32"/>
          <w:highlight w:val="none"/>
        </w:rPr>
        <w:t>主要原因是</w:t>
      </w:r>
      <w:r>
        <w:rPr>
          <w:rFonts w:hint="eastAsia" w:ascii="仿宋" w:hAnsi="仿宋" w:eastAsia="仿宋" w:cs="仿宋"/>
          <w:color w:val="auto"/>
          <w:sz w:val="32"/>
          <w:szCs w:val="32"/>
          <w:highlight w:val="none"/>
          <w:lang w:val="en-US" w:eastAsia="zh-CN"/>
        </w:rPr>
        <w:t>2021年预算在政府一起</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资本性支出（503）2万元</w:t>
      </w:r>
      <w:r>
        <w:rPr>
          <w:rFonts w:hint="eastAsia" w:ascii="仿宋" w:hAnsi="仿宋" w:eastAsia="仿宋" w:cs="仿宋"/>
          <w:color w:val="auto"/>
          <w:sz w:val="32"/>
          <w:szCs w:val="32"/>
          <w:highlight w:val="none"/>
        </w:rPr>
        <w:t>，较上年增加</w:t>
      </w:r>
      <w:r>
        <w:rPr>
          <w:rFonts w:hint="eastAsia" w:ascii="仿宋" w:hAnsi="仿宋" w:eastAsia="仿宋" w:cs="仿宋"/>
          <w:color w:val="auto"/>
          <w:sz w:val="32"/>
          <w:szCs w:val="32"/>
          <w:highlight w:val="none"/>
          <w:lang w:val="en-US" w:eastAsia="zh-CN"/>
        </w:rPr>
        <w:t>2万元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主要原因是</w:t>
      </w:r>
      <w:r>
        <w:rPr>
          <w:rFonts w:hint="eastAsia" w:ascii="仿宋" w:hAnsi="仿宋" w:eastAsia="仿宋" w:cs="仿宋"/>
          <w:color w:val="auto"/>
          <w:sz w:val="32"/>
          <w:szCs w:val="32"/>
          <w:highlight w:val="none"/>
          <w:lang w:val="en-US" w:eastAsia="zh-CN"/>
        </w:rPr>
        <w:t>2021年预算在政府一起</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4、</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无</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结转的一般公共预算拨款资金支出。</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政府性基金预算支出情况。</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本单位无当年政府性基金预算收支，并已公开空表。</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b w:val="0"/>
          <w:bCs w:val="0"/>
          <w:color w:val="auto"/>
          <w:sz w:val="32"/>
          <w:szCs w:val="32"/>
          <w:highlight w:val="none"/>
          <w:lang w:val="en-US" w:eastAsia="zh-CN"/>
        </w:rPr>
        <w:t>本单位无2021年结转的政府性基金预算拨款支出</w:t>
      </w:r>
      <w:r>
        <w:rPr>
          <w:rFonts w:hint="eastAsia" w:ascii="仿宋" w:hAnsi="仿宋" w:eastAsia="仿宋" w:cs="仿宋"/>
          <w:color w:val="auto"/>
          <w:sz w:val="32"/>
          <w:szCs w:val="32"/>
          <w:highlight w:val="none"/>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无当年国有资本经营预算拨款收支，并在财政拨款收支总体情况表中列示</w:t>
      </w:r>
      <w:r>
        <w:rPr>
          <w:rFonts w:hint="eastAsia" w:ascii="仿宋" w:hAnsi="仿宋" w:eastAsia="仿宋" w:cs="仿宋"/>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本</w:t>
      </w:r>
      <w:r>
        <w:rPr>
          <w:rFonts w:hint="eastAsia" w:ascii="仿宋" w:hAnsi="仿宋" w:eastAsia="仿宋" w:cs="仿宋"/>
          <w:b w:val="0"/>
          <w:bCs w:val="0"/>
          <w:color w:val="auto"/>
          <w:sz w:val="32"/>
          <w:szCs w:val="32"/>
          <w:highlight w:val="none"/>
          <w:lang w:eastAsia="zh-CN"/>
        </w:rPr>
        <w:t>单位</w:t>
      </w:r>
      <w:r>
        <w:rPr>
          <w:rFonts w:hint="eastAsia" w:ascii="仿宋" w:hAnsi="仿宋" w:eastAsia="仿宋" w:cs="仿宋"/>
          <w:b w:val="0"/>
          <w:bCs w:val="0"/>
          <w:color w:val="auto"/>
          <w:sz w:val="32"/>
          <w:szCs w:val="32"/>
          <w:highlight w:val="none"/>
        </w:rPr>
        <w:t>无</w:t>
      </w:r>
      <w:r>
        <w:rPr>
          <w:rFonts w:hint="eastAsia" w:ascii="仿宋" w:hAnsi="仿宋" w:eastAsia="仿宋" w:cs="仿宋"/>
          <w:b w:val="0"/>
          <w:bCs w:val="0"/>
          <w:color w:val="auto"/>
          <w:sz w:val="32"/>
          <w:szCs w:val="32"/>
          <w:highlight w:val="none"/>
          <w:lang w:eastAsia="zh-CN"/>
        </w:rPr>
        <w:t>202</w:t>
      </w:r>
      <w:r>
        <w:rPr>
          <w:rFonts w:hint="eastAsia" w:ascii="仿宋" w:hAnsi="仿宋" w:eastAsia="仿宋" w:cs="仿宋"/>
          <w:b w:val="0"/>
          <w:bCs w:val="0"/>
          <w:color w:val="auto"/>
          <w:sz w:val="32"/>
          <w:szCs w:val="32"/>
          <w:highlight w:val="none"/>
          <w:lang w:val="en-US" w:eastAsia="zh-CN"/>
        </w:rPr>
        <w:t>1</w:t>
      </w:r>
      <w:r>
        <w:rPr>
          <w:rFonts w:hint="eastAsia" w:ascii="仿宋" w:hAnsi="仿宋" w:eastAsia="仿宋" w:cs="仿宋"/>
          <w:b w:val="0"/>
          <w:bCs w:val="0"/>
          <w:color w:val="auto"/>
          <w:sz w:val="32"/>
          <w:szCs w:val="32"/>
          <w:highlight w:val="none"/>
          <w:lang w:eastAsia="zh-CN"/>
        </w:rPr>
        <w:t>年</w:t>
      </w:r>
      <w:r>
        <w:rPr>
          <w:rFonts w:hint="eastAsia" w:ascii="仿宋" w:hAnsi="仿宋" w:eastAsia="仿宋" w:cs="仿宋"/>
          <w:b w:val="0"/>
          <w:bCs w:val="0"/>
          <w:color w:val="auto"/>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、单位预算“三公”经费等情况说明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年本单位当年一般公共预算“三公”经费预算支出</w:t>
      </w:r>
      <w:r>
        <w:rPr>
          <w:rFonts w:hint="eastAsia" w:ascii="仿宋" w:hAnsi="仿宋" w:eastAsia="仿宋" w:cs="仿宋"/>
          <w:color w:val="auto"/>
          <w:sz w:val="32"/>
          <w:szCs w:val="32"/>
          <w:highlight w:val="none"/>
          <w:lang w:val="en-US" w:eastAsia="zh-CN"/>
        </w:rPr>
        <w:t>0.16</w:t>
      </w:r>
      <w:r>
        <w:rPr>
          <w:rFonts w:hint="eastAsia" w:ascii="仿宋" w:hAnsi="仿宋" w:eastAsia="仿宋" w:cs="仿宋"/>
          <w:color w:val="auto"/>
          <w:sz w:val="32"/>
          <w:szCs w:val="32"/>
          <w:highlight w:val="none"/>
          <w:lang w:eastAsia="zh-CN"/>
        </w:rPr>
        <w:t>万元，</w:t>
      </w:r>
      <w:r>
        <w:rPr>
          <w:rFonts w:hint="eastAsia" w:ascii="仿宋" w:hAnsi="仿宋" w:eastAsia="仿宋" w:cs="仿宋"/>
          <w:color w:val="auto"/>
          <w:sz w:val="32"/>
          <w:szCs w:val="32"/>
          <w:highlight w:val="none"/>
          <w:lang w:val="en-US" w:eastAsia="zh-CN"/>
        </w:rPr>
        <w:t>比2021年增加0.16万元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主要是2021年三公经费预算在政府一起。</w:t>
      </w:r>
      <w:r>
        <w:rPr>
          <w:rFonts w:hint="eastAsia" w:ascii="仿宋" w:hAnsi="仿宋" w:eastAsia="仿宋" w:cs="仿宋"/>
          <w:color w:val="auto"/>
          <w:sz w:val="32"/>
          <w:szCs w:val="32"/>
          <w:highlight w:val="none"/>
          <w:lang w:eastAsia="zh-CN"/>
        </w:rPr>
        <w:t>其中：因公出国（境）经费</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lang w:eastAsia="zh-CN"/>
        </w:rPr>
        <w:t>万元，</w:t>
      </w:r>
      <w:r>
        <w:rPr>
          <w:rFonts w:hint="eastAsia" w:ascii="仿宋" w:hAnsi="仿宋" w:eastAsia="仿宋" w:cs="仿宋"/>
          <w:color w:val="auto"/>
          <w:sz w:val="32"/>
          <w:szCs w:val="32"/>
          <w:highlight w:val="none"/>
          <w:lang w:val="en-US" w:eastAsia="zh-CN"/>
        </w:rPr>
        <w:t>比2021年增加0.00万元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主要是2021年三公经费预算在政府一起。</w:t>
      </w:r>
      <w:r>
        <w:rPr>
          <w:rFonts w:hint="eastAsia" w:ascii="仿宋" w:hAnsi="仿宋" w:eastAsia="仿宋" w:cs="仿宋"/>
          <w:color w:val="auto"/>
          <w:sz w:val="32"/>
          <w:szCs w:val="32"/>
          <w:highlight w:val="none"/>
          <w:lang w:eastAsia="zh-CN"/>
        </w:rPr>
        <w:t>公务接待费</w:t>
      </w:r>
      <w:r>
        <w:rPr>
          <w:rFonts w:hint="eastAsia" w:ascii="仿宋" w:hAnsi="仿宋" w:eastAsia="仿宋" w:cs="仿宋"/>
          <w:color w:val="auto"/>
          <w:sz w:val="32"/>
          <w:szCs w:val="32"/>
          <w:highlight w:val="none"/>
          <w:lang w:val="en-US" w:eastAsia="zh-CN"/>
        </w:rPr>
        <w:t>0.16</w:t>
      </w:r>
      <w:r>
        <w:rPr>
          <w:rFonts w:hint="eastAsia" w:ascii="仿宋" w:hAnsi="仿宋" w:eastAsia="仿宋" w:cs="仿宋"/>
          <w:color w:val="auto"/>
          <w:sz w:val="32"/>
          <w:szCs w:val="32"/>
          <w:highlight w:val="none"/>
          <w:lang w:eastAsia="zh-CN"/>
        </w:rPr>
        <w:t>万元，</w:t>
      </w:r>
      <w:r>
        <w:rPr>
          <w:rFonts w:hint="eastAsia" w:ascii="仿宋" w:hAnsi="仿宋" w:eastAsia="仿宋" w:cs="仿宋"/>
          <w:color w:val="auto"/>
          <w:sz w:val="32"/>
          <w:szCs w:val="32"/>
          <w:highlight w:val="none"/>
          <w:lang w:val="en-US" w:eastAsia="zh-CN"/>
        </w:rPr>
        <w:t>比2021年增加0.16万元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主要是2021年三公经费预算在政府一起。</w:t>
      </w:r>
      <w:r>
        <w:rPr>
          <w:rFonts w:hint="eastAsia" w:ascii="仿宋" w:hAnsi="仿宋" w:eastAsia="仿宋" w:cs="仿宋"/>
          <w:color w:val="auto"/>
          <w:sz w:val="32"/>
          <w:szCs w:val="32"/>
          <w:highlight w:val="none"/>
          <w:lang w:eastAsia="zh-CN"/>
        </w:rPr>
        <w:t>公务用车运行费</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lang w:eastAsia="zh-CN"/>
        </w:rPr>
        <w:t>万元，</w:t>
      </w:r>
      <w:r>
        <w:rPr>
          <w:rFonts w:hint="eastAsia" w:ascii="仿宋" w:hAnsi="仿宋" w:eastAsia="仿宋" w:cs="仿宋"/>
          <w:color w:val="auto"/>
          <w:sz w:val="32"/>
          <w:szCs w:val="32"/>
          <w:highlight w:val="none"/>
          <w:lang w:val="en-US" w:eastAsia="zh-CN"/>
        </w:rPr>
        <w:t>比2021年增加0.00万元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主要是2021年三公经费预算在政府一起。</w:t>
      </w:r>
      <w:r>
        <w:rPr>
          <w:rFonts w:hint="eastAsia" w:ascii="仿宋" w:hAnsi="仿宋" w:eastAsia="仿宋" w:cs="仿宋"/>
          <w:color w:val="auto"/>
          <w:sz w:val="32"/>
          <w:szCs w:val="32"/>
          <w:highlight w:val="none"/>
          <w:lang w:eastAsia="zh-CN"/>
        </w:rPr>
        <w:t>公务用车购置费</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lang w:eastAsia="zh-CN"/>
        </w:rPr>
        <w:t>万元，</w:t>
      </w:r>
      <w:r>
        <w:rPr>
          <w:rFonts w:hint="eastAsia" w:ascii="仿宋" w:hAnsi="仿宋" w:eastAsia="仿宋" w:cs="仿宋"/>
          <w:color w:val="auto"/>
          <w:sz w:val="32"/>
          <w:szCs w:val="32"/>
          <w:highlight w:val="none"/>
          <w:lang w:val="en-US" w:eastAsia="zh-CN"/>
        </w:rPr>
        <w:t>比2021年增加0.00万元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主要是2021年三公经费预算在政府一起。</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年本单位当年会议费预算支出</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lang w:eastAsia="zh-CN"/>
        </w:rPr>
        <w:t>万元，与上年持平。培训费</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lang w:eastAsia="zh-CN"/>
        </w:rPr>
        <w:t>万元，与上年持平</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本单位无202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年结转的财政拨款‘三公’经费和会议费、培训费支出。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单位</w:t>
      </w:r>
      <w:r>
        <w:rPr>
          <w:rFonts w:hint="eastAsia" w:ascii="仿宋" w:hAnsi="仿宋" w:eastAsia="仿宋" w:cs="仿宋"/>
          <w:b/>
          <w:bCs/>
          <w:color w:val="auto"/>
          <w:sz w:val="32"/>
          <w:szCs w:val="32"/>
          <w:highlight w:val="none"/>
        </w:rPr>
        <w:t>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截</w:t>
      </w:r>
      <w:r>
        <w:rPr>
          <w:rFonts w:hint="eastAsia" w:ascii="仿宋" w:hAnsi="仿宋" w:eastAsia="仿宋" w:cs="仿宋"/>
          <w:color w:val="auto"/>
          <w:sz w:val="32"/>
          <w:szCs w:val="32"/>
          <w:highlight w:val="none"/>
          <w:lang w:eastAsia="zh-CN"/>
        </w:rPr>
        <w:t>止202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年底，本单位所属预算单位共有车辆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lang w:eastAsia="zh-CN"/>
        </w:rPr>
        <w:t>辆，单价20万元以上的设备</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lang w:eastAsia="zh-CN"/>
        </w:rPr>
        <w:t>台（套）。202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年当年单位预算安排购置车辆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lang w:eastAsia="zh-CN"/>
        </w:rPr>
        <w:t>辆；安排购置单价20万元以上的设备</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lang w:eastAsia="zh-CN"/>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无</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结转的财政拨款支出资产购置。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八、单位</w:t>
      </w:r>
      <w:r>
        <w:rPr>
          <w:rFonts w:hint="eastAsia" w:ascii="仿宋" w:hAnsi="仿宋" w:eastAsia="仿宋" w:cs="仿宋"/>
          <w:b/>
          <w:bCs/>
          <w:color w:val="auto"/>
          <w:sz w:val="32"/>
          <w:szCs w:val="32"/>
          <w:highlight w:val="none"/>
        </w:rPr>
        <w:t>政府采购情况说明</w:t>
      </w:r>
      <w:r>
        <w:rPr>
          <w:rFonts w:hint="eastAsia" w:ascii="仿宋" w:hAnsi="仿宋" w:eastAsia="仿宋" w:cs="仿宋"/>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无</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结转的政府采购资金支出</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单位预算</w:t>
      </w:r>
      <w:r>
        <w:rPr>
          <w:rFonts w:hint="eastAsia" w:ascii="仿宋" w:hAnsi="仿宋" w:eastAsia="仿宋" w:cs="仿宋"/>
          <w:b/>
          <w:bCs/>
          <w:color w:val="auto"/>
          <w:sz w:val="32"/>
          <w:szCs w:val="32"/>
          <w:highlight w:val="none"/>
        </w:rPr>
        <w:t>绩效目标说明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绩效目标管理全覆盖，涉及当年一般公共预算拨款</w:t>
      </w:r>
      <w:r>
        <w:rPr>
          <w:rFonts w:hint="eastAsia" w:ascii="仿宋" w:hAnsi="仿宋" w:eastAsia="仿宋" w:cs="仿宋"/>
          <w:color w:val="auto"/>
          <w:sz w:val="32"/>
          <w:szCs w:val="32"/>
          <w:highlight w:val="none"/>
          <w:lang w:val="en-US" w:eastAsia="zh-CN"/>
        </w:rPr>
        <w:t>46.68</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当年政府性基金预算拨款</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万元，当年国有资本经营预算拨款</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无</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w:t>
      </w:r>
      <w:r>
        <w:rPr>
          <w:rFonts w:hint="eastAsia" w:ascii="仿宋" w:hAnsi="仿宋" w:eastAsia="仿宋" w:cs="仿宋"/>
          <w:b/>
          <w:bCs/>
          <w:color w:val="auto"/>
          <w:sz w:val="32"/>
          <w:szCs w:val="32"/>
          <w:highlight w:val="none"/>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单位当年机关运行经费预算安排</w:t>
      </w:r>
      <w:r>
        <w:rPr>
          <w:rFonts w:hint="eastAsia" w:ascii="仿宋" w:hAnsi="仿宋" w:eastAsia="仿宋" w:cs="仿宋"/>
          <w:color w:val="auto"/>
          <w:sz w:val="32"/>
          <w:szCs w:val="32"/>
          <w:highlight w:val="none"/>
          <w:lang w:val="en-US" w:eastAsia="zh-CN"/>
        </w:rPr>
        <w:t>1.78</w:t>
      </w:r>
      <w:r>
        <w:rPr>
          <w:rFonts w:hint="eastAsia" w:ascii="仿宋" w:hAnsi="仿宋" w:eastAsia="仿宋" w:cs="仿宋"/>
          <w:color w:val="auto"/>
          <w:sz w:val="32"/>
          <w:szCs w:val="32"/>
          <w:highlight w:val="none"/>
          <w:lang w:eastAsia="zh-CN"/>
        </w:rPr>
        <w:t>万元，</w:t>
      </w:r>
      <w:r>
        <w:rPr>
          <w:rFonts w:hint="eastAsia" w:ascii="仿宋" w:hAnsi="仿宋" w:eastAsia="仿宋" w:cs="仿宋"/>
          <w:color w:val="auto"/>
          <w:sz w:val="32"/>
          <w:szCs w:val="32"/>
          <w:highlight w:val="none"/>
          <w:lang w:val="en-US" w:eastAsia="zh-CN"/>
        </w:rPr>
        <w:t>比2021年增加1.78万元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主要是2021年三公经费预算在政府一起。</w:t>
      </w:r>
      <w:r>
        <w:rPr>
          <w:rFonts w:hint="eastAsia" w:ascii="仿宋" w:hAnsi="仿宋" w:eastAsia="仿宋" w:cs="仿宋"/>
          <w:color w:val="auto"/>
          <w:sz w:val="32"/>
          <w:szCs w:val="32"/>
          <w:highlight w:val="none"/>
          <w:lang w:eastAsia="zh-CN"/>
        </w:rPr>
        <w:t>本单位无202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十一、</w:t>
      </w:r>
      <w:r>
        <w:rPr>
          <w:rFonts w:hint="eastAsia" w:ascii="仿宋" w:hAnsi="仿宋" w:eastAsia="仿宋" w:cs="仿宋"/>
          <w:b/>
          <w:bCs/>
          <w:color w:val="auto"/>
          <w:sz w:val="32"/>
          <w:szCs w:val="32"/>
          <w:highlight w:val="none"/>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color w:val="auto"/>
          <w:sz w:val="32"/>
          <w:szCs w:val="32"/>
          <w:highlight w:val="none"/>
          <w:lang w:eastAsia="zh-CN"/>
        </w:rPr>
        <w:t>公务用车运行费</w:t>
      </w:r>
      <w:r>
        <w:rPr>
          <w:rFonts w:hint="eastAsia" w:ascii="仿宋" w:hAnsi="仿宋" w:eastAsia="仿宋" w:cs="仿宋"/>
          <w:color w:val="auto"/>
          <w:sz w:val="32"/>
          <w:szCs w:val="32"/>
          <w:highlight w:val="none"/>
        </w:rPr>
        <w:t>以及其他费用。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.基本支出：指为保障机构正常运转、完成日常工作任务而发生的各项支出。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.项目支出：指单位为完成特定的行政工作任务或事业发展目标所发生的各项支出。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color w:val="auto"/>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color w:val="auto"/>
          <w:sz w:val="32"/>
          <w:szCs w:val="32"/>
          <w:highlight w:val="none"/>
        </w:rPr>
        <w:tab/>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6.公用经费：指为完成特定的行政工作任务或事业发展目标用于设备设施的维持性费用支出，以及直接用于公务活动的支出，具体包括公务费、业务费、修缮费、设备购置费、其他费用等。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color w:val="auto"/>
          <w:sz w:val="32"/>
          <w:szCs w:val="32"/>
          <w:highlight w:val="none"/>
          <w:lang w:val="en-US" w:eastAsia="zh-CN"/>
        </w:rPr>
        <w:t>7.工资福利支出：反映开支的在职职工和编制外长期聘用人员的各类劳动报酬，以及上述人员缴纳的各项社会保险费等。</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详</w:t>
      </w:r>
      <w:r>
        <w:rPr>
          <w:rFonts w:hint="eastAsia" w:ascii="仿宋" w:hAnsi="仿宋" w:eastAsia="仿宋" w:cs="仿宋"/>
          <w:color w:val="auto"/>
          <w:sz w:val="32"/>
          <w:szCs w:val="32"/>
          <w:highlight w:val="none"/>
        </w:rPr>
        <w:t>见附</w:t>
      </w:r>
      <w:r>
        <w:rPr>
          <w:rFonts w:hint="eastAsia" w:ascii="仿宋" w:hAnsi="仿宋" w:eastAsia="仿宋" w:cs="仿宋"/>
          <w:color w:val="auto"/>
          <w:sz w:val="32"/>
          <w:szCs w:val="32"/>
          <w:highlight w:val="none"/>
          <w:lang w:eastAsia="zh-CN"/>
        </w:rPr>
        <w:t>表</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p>
    <w:p>
      <w:pPr>
        <w:rPr>
          <w:rFonts w:hint="eastAsia"/>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DADC0062"/>
    <w:multiLevelType w:val="singleLevel"/>
    <w:tmpl w:val="DADC0062"/>
    <w:lvl w:ilvl="0" w:tentative="0">
      <w:start w:val="2"/>
      <w:numFmt w:val="chineseCounting"/>
      <w:suff w:val="space"/>
      <w:lvlText w:val="第%1部分"/>
      <w:lvlJc w:val="left"/>
      <w:pPr>
        <w:ind w:left="-248"/>
      </w:pPr>
      <w:rPr>
        <w:rFonts w:hint="eastAsia"/>
      </w:r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4F42A7C2"/>
    <w:multiLevelType w:val="singleLevel"/>
    <w:tmpl w:val="4F42A7C2"/>
    <w:lvl w:ilvl="0" w:tentative="0">
      <w:start w:val="1"/>
      <w:numFmt w:val="chineseCounting"/>
      <w:suff w:val="nothing"/>
      <w:lvlText w:val="（%1）"/>
      <w:lvlJc w:val="left"/>
      <w:rPr>
        <w:rFonts w:hint="eastAsia"/>
      </w:rPr>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NjA3ZDczNzJiM2JjNThiMDRjMzE0YzFlM2Y0NmIifQ=="/>
  </w:docVars>
  <w:rsids>
    <w:rsidRoot w:val="1ED0381D"/>
    <w:rsid w:val="00D70262"/>
    <w:rsid w:val="018F2D13"/>
    <w:rsid w:val="02953D9A"/>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EF36D84"/>
    <w:rsid w:val="0FA9052D"/>
    <w:rsid w:val="10163FB4"/>
    <w:rsid w:val="10A536CA"/>
    <w:rsid w:val="12B55B02"/>
    <w:rsid w:val="13DD192D"/>
    <w:rsid w:val="147F7E6C"/>
    <w:rsid w:val="14C85364"/>
    <w:rsid w:val="14FA613E"/>
    <w:rsid w:val="15053ED9"/>
    <w:rsid w:val="15BA67E3"/>
    <w:rsid w:val="15EB6487"/>
    <w:rsid w:val="166918D6"/>
    <w:rsid w:val="176724C1"/>
    <w:rsid w:val="18AF7F70"/>
    <w:rsid w:val="1A0F1779"/>
    <w:rsid w:val="1A431FF4"/>
    <w:rsid w:val="1B746107"/>
    <w:rsid w:val="1CD64124"/>
    <w:rsid w:val="1E0072C5"/>
    <w:rsid w:val="1E1E7AD2"/>
    <w:rsid w:val="1ED0381D"/>
    <w:rsid w:val="20FE50B8"/>
    <w:rsid w:val="210F400E"/>
    <w:rsid w:val="22823449"/>
    <w:rsid w:val="229A281A"/>
    <w:rsid w:val="22A30713"/>
    <w:rsid w:val="2383657E"/>
    <w:rsid w:val="23F45765"/>
    <w:rsid w:val="242E73FF"/>
    <w:rsid w:val="246C5345"/>
    <w:rsid w:val="24AB40AF"/>
    <w:rsid w:val="24F94710"/>
    <w:rsid w:val="24FC6952"/>
    <w:rsid w:val="26CC76FD"/>
    <w:rsid w:val="272308AF"/>
    <w:rsid w:val="28064C78"/>
    <w:rsid w:val="2864072E"/>
    <w:rsid w:val="2A3E38E1"/>
    <w:rsid w:val="2BF2458F"/>
    <w:rsid w:val="2BF54A75"/>
    <w:rsid w:val="2F3B562F"/>
    <w:rsid w:val="2FC8494E"/>
    <w:rsid w:val="314B37FB"/>
    <w:rsid w:val="31B733F7"/>
    <w:rsid w:val="385D1A98"/>
    <w:rsid w:val="38F70388"/>
    <w:rsid w:val="3A4434B4"/>
    <w:rsid w:val="3B055E9C"/>
    <w:rsid w:val="3D28036F"/>
    <w:rsid w:val="3D8407DF"/>
    <w:rsid w:val="3DFF32ED"/>
    <w:rsid w:val="3F503091"/>
    <w:rsid w:val="4008265B"/>
    <w:rsid w:val="41851E44"/>
    <w:rsid w:val="420B5D06"/>
    <w:rsid w:val="4248700C"/>
    <w:rsid w:val="45600944"/>
    <w:rsid w:val="465670F7"/>
    <w:rsid w:val="471D22FA"/>
    <w:rsid w:val="472B48D8"/>
    <w:rsid w:val="4741375D"/>
    <w:rsid w:val="47C702DF"/>
    <w:rsid w:val="48422B9F"/>
    <w:rsid w:val="488947B6"/>
    <w:rsid w:val="4FB64197"/>
    <w:rsid w:val="50572E30"/>
    <w:rsid w:val="51AA26CF"/>
    <w:rsid w:val="51AA5E26"/>
    <w:rsid w:val="52324C02"/>
    <w:rsid w:val="5295500F"/>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6F540C4C"/>
    <w:rsid w:val="71A236EE"/>
    <w:rsid w:val="72FB6F9B"/>
    <w:rsid w:val="73843559"/>
    <w:rsid w:val="75AC088F"/>
    <w:rsid w:val="76590D5F"/>
    <w:rsid w:val="77AD3FB4"/>
    <w:rsid w:val="7812539D"/>
    <w:rsid w:val="781B6398"/>
    <w:rsid w:val="7839395D"/>
    <w:rsid w:val="788B613B"/>
    <w:rsid w:val="78935A62"/>
    <w:rsid w:val="7920167B"/>
    <w:rsid w:val="7A3E4F09"/>
    <w:rsid w:val="7BF11232"/>
    <w:rsid w:val="7CE442E1"/>
    <w:rsid w:val="7CEE0D2E"/>
    <w:rsid w:val="7CF76871"/>
    <w:rsid w:val="7D804F3A"/>
    <w:rsid w:val="7DB550C9"/>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1.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9021298837057"/>
          <c:y val="0.135748200086425"/>
          <c:w val="0.454620056555296"/>
          <c:h val="0.768715707648626"/>
        </c:manualLayout>
      </c:layout>
      <c:pieChart>
        <c:varyColors val="1"/>
        <c:ser>
          <c:idx val="0"/>
          <c:order val="0"/>
          <c:spPr/>
          <c:explosion val="0"/>
          <c:dPt>
            <c:idx val="0"/>
            <c:bubble3D val="0"/>
            <c:spPr>
              <a:solidFill>
                <a:srgbClr val="FDB9B0">
                  <a:alpha val="63000"/>
                </a:srgbClr>
              </a:solidFill>
              <a:ln w="19050">
                <a:noFill/>
              </a:ln>
              <a:effectLst/>
            </c:spPr>
          </c:dPt>
          <c:dPt>
            <c:idx val="1"/>
            <c:bubble3D val="0"/>
            <c:spPr>
              <a:solidFill>
                <a:srgbClr val="FB8C9C"/>
              </a:solidFill>
              <a:ln w="152400">
                <a:solidFill>
                  <a:srgbClr val="FB8C9C"/>
                </a:solidFill>
                <a:miter lim="800000"/>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200" b="1" i="0" u="none" strike="noStrike" kern="1200" baseline="0">
                    <a:solidFill>
                      <a:srgbClr val="FB8C9C"/>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Sheet1!$A$1:$A$4</c:f>
              <c:strCache>
                <c:ptCount val="4"/>
                <c:pt idx="0">
                  <c:v>紫阳县财政局瓦庙财政所人员情况图</c:v>
                </c:pt>
                <c:pt idx="1">
                  <c:v>编制人数3人</c:v>
                </c:pt>
                <c:pt idx="2">
                  <c:v>实有人数3人</c:v>
                </c:pt>
              </c:strCache>
            </c:strRef>
          </c:cat>
          <c:val>
            <c:numRef>
              <c:f>Sheet1!$B$1:$B$4</c:f>
              <c:numCache>
                <c:formatCode>General</c:formatCode>
                <c:ptCount val="4"/>
                <c:pt idx="0">
                  <c:v>0</c:v>
                </c:pt>
                <c:pt idx="1">
                  <c:v>3</c:v>
                </c:pt>
                <c:pt idx="2">
                  <c:v>3</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瓦庙财政所</a:t>
            </a:r>
            <a:r>
              <a:rPr lang="en-US" altLang="zh-CN"/>
              <a:t>2022</a:t>
            </a:r>
            <a:r>
              <a:rPr altLang="en-US"/>
              <a:t>年收支预算总体情况</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Sheet1!$A$2:$A$5</c:f>
              <c:strCache>
                <c:ptCount val="4"/>
                <c:pt idx="0">
                  <c:v>2021年</c:v>
                </c:pt>
                <c:pt idx="1">
                  <c:v>2022年</c:v>
                </c:pt>
                <c:pt idx="2">
                  <c:v>增加额</c:v>
                </c:pt>
              </c:strCache>
            </c:strRef>
          </c:cat>
          <c:val>
            <c:numRef>
              <c:f>Sheet1!$B$2:$B$5</c:f>
              <c:numCache>
                <c:formatCode>General</c:formatCode>
                <c:ptCount val="4"/>
                <c:pt idx="0">
                  <c:v>0</c:v>
                </c:pt>
                <c:pt idx="1">
                  <c:v>46.68</c:v>
                </c:pt>
                <c:pt idx="2">
                  <c:v>46.68</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Sheet1!$A$2:$A$5</c:f>
              <c:strCache>
                <c:ptCount val="4"/>
                <c:pt idx="0">
                  <c:v>2021年</c:v>
                </c:pt>
                <c:pt idx="1">
                  <c:v>2022年</c:v>
                </c:pt>
                <c:pt idx="2">
                  <c:v>增加额</c:v>
                </c:pt>
              </c:strCache>
            </c:strRef>
          </c:cat>
          <c:val>
            <c:numRef>
              <c:f>Sheet1!$C$2:$C$5</c:f>
              <c:numCache>
                <c:formatCode>General</c:formatCode>
                <c:ptCount val="4"/>
                <c:pt idx="0">
                  <c:v>0</c:v>
                </c:pt>
                <c:pt idx="1">
                  <c:v>46.68</c:v>
                </c:pt>
                <c:pt idx="2">
                  <c:v>46.68</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2021年</c:v>
                </c:pt>
                <c:pt idx="1">
                  <c:v>2022年</c:v>
                </c:pt>
                <c:pt idx="2">
                  <c:v>增加额</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643291820"/>
        <c:axId val="242061708"/>
      </c:barChart>
      <c:catAx>
        <c:axId val="6432918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2061708"/>
        <c:crosses val="autoZero"/>
        <c:auto val="1"/>
        <c:lblAlgn val="ctr"/>
        <c:lblOffset val="100"/>
        <c:noMultiLvlLbl val="0"/>
      </c:catAx>
      <c:valAx>
        <c:axId val="2420617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32918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瓦庙财政所</a:t>
            </a:r>
            <a:r>
              <a:rPr lang="en-US" altLang="zh-CN"/>
              <a:t>2022</a:t>
            </a:r>
            <a:r>
              <a:rPr altLang="en-US"/>
              <a:t>年财政拨款收支情况表</a:t>
            </a:r>
            <a:endParaRPr lang="en-US" altLang="zh-CN"/>
          </a:p>
        </c:rich>
      </c:tx>
      <c:layout/>
      <c:overlay val="0"/>
      <c:spPr>
        <a:noFill/>
        <a:ln>
          <a:noFill/>
        </a:ln>
        <a:effectLst/>
      </c:spPr>
    </c:title>
    <c:autoTitleDeleted val="0"/>
    <c:plotArea>
      <c:layout>
        <c:manualLayout>
          <c:layoutTarget val="inner"/>
          <c:xMode val="edge"/>
          <c:yMode val="edge"/>
          <c:x val="0.0697036365989388"/>
          <c:y val="0.132307160152196"/>
          <c:w val="0.90182477028601"/>
          <c:h val="0.70570736769284"/>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Sheet1!$A$2:$A$5</c:f>
              <c:strCache>
                <c:ptCount val="4"/>
                <c:pt idx="0">
                  <c:v>2021年</c:v>
                </c:pt>
                <c:pt idx="1">
                  <c:v>2022年</c:v>
                </c:pt>
                <c:pt idx="2">
                  <c:v>增加额</c:v>
                </c:pt>
              </c:strCache>
            </c:strRef>
          </c:cat>
          <c:val>
            <c:numRef>
              <c:f>Sheet1!$B$2:$B$5</c:f>
              <c:numCache>
                <c:formatCode>General</c:formatCode>
                <c:ptCount val="4"/>
                <c:pt idx="0">
                  <c:v>0</c:v>
                </c:pt>
                <c:pt idx="1">
                  <c:v>46.68</c:v>
                </c:pt>
                <c:pt idx="2">
                  <c:v>46.68</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Sheet1!$A$2:$A$5</c:f>
              <c:strCache>
                <c:ptCount val="4"/>
                <c:pt idx="0">
                  <c:v>2021年</c:v>
                </c:pt>
                <c:pt idx="1">
                  <c:v>2022年</c:v>
                </c:pt>
                <c:pt idx="2">
                  <c:v>增加额</c:v>
                </c:pt>
              </c:strCache>
            </c:strRef>
          </c:cat>
          <c:val>
            <c:numRef>
              <c:f>Sheet1!$C$2:$C$5</c:f>
              <c:numCache>
                <c:formatCode>General</c:formatCode>
                <c:ptCount val="4"/>
                <c:pt idx="0">
                  <c:v>0</c:v>
                </c:pt>
                <c:pt idx="1">
                  <c:v>46.68</c:v>
                </c:pt>
                <c:pt idx="2">
                  <c:v>46.68</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2021年</c:v>
                </c:pt>
                <c:pt idx="1">
                  <c:v>2022年</c:v>
                </c:pt>
                <c:pt idx="2">
                  <c:v>增加额</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829571785"/>
        <c:axId val="310595388"/>
      </c:barChart>
      <c:catAx>
        <c:axId val="8295717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0595388"/>
        <c:crosses val="autoZero"/>
        <c:auto val="1"/>
        <c:lblAlgn val="ctr"/>
        <c:lblOffset val="100"/>
        <c:noMultiLvlLbl val="0"/>
      </c:catAx>
      <c:valAx>
        <c:axId val="3105953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957178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瓦庙财政所支出按功能科目分类的明细情况（万元）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行政运行（项）（2010601）</c:v>
                </c:pt>
                <c:pt idx="1">
                  <c:v>机关事业单位基本养老保险缴费支出（项）（2080505）</c:v>
                </c:pt>
                <c:pt idx="2">
                  <c:v>行政单位医疗（项）（2101101</c:v>
                </c:pt>
                <c:pt idx="3">
                  <c:v>房公积金（项）　（2210201</c:v>
                </c:pt>
              </c:strCache>
            </c:strRef>
          </c:cat>
          <c:val>
            <c:numRef>
              <c:f>Sheet1!$B$2:$B$5</c:f>
              <c:numCache>
                <c:formatCode>General</c:formatCode>
                <c:ptCount val="4"/>
                <c:pt idx="0">
                  <c:v>38.28</c:v>
                </c:pt>
                <c:pt idx="1">
                  <c:v>3.61</c:v>
                </c:pt>
                <c:pt idx="2">
                  <c:v>1.77</c:v>
                </c:pt>
                <c:pt idx="3">
                  <c:v>3.02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瓦庙财政所部门预算支出经济分类的类级科目说明（万元）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工资福利支出（301）</c:v>
                </c:pt>
                <c:pt idx="1">
                  <c:v>商品和服务支出（302）</c:v>
                </c:pt>
                <c:pt idx="2">
                  <c:v>资本性支出（310）</c:v>
                </c:pt>
              </c:strCache>
            </c:strRef>
          </c:cat>
          <c:val>
            <c:numRef>
              <c:f>Sheet1!$B$2:$B$5</c:f>
              <c:numCache>
                <c:formatCode>General</c:formatCode>
                <c:ptCount val="4"/>
                <c:pt idx="0">
                  <c:v>36.63</c:v>
                </c:pt>
                <c:pt idx="1">
                  <c:v>8.05</c:v>
                </c:pt>
                <c:pt idx="2">
                  <c:v>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12</Pages>
  <Words>3685</Words>
  <Characters>4066</Characters>
  <Lines>0</Lines>
  <Paragraphs>0</Paragraphs>
  <TotalTime>2</TotalTime>
  <ScaleCrop>false</ScaleCrop>
  <LinksUpToDate>false</LinksUpToDate>
  <CharactersWithSpaces>4109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王宝玲</cp:lastModifiedBy>
  <cp:lastPrinted>2023-09-21T06:56:00Z</cp:lastPrinted>
  <dcterms:modified xsi:type="dcterms:W3CDTF">2023-09-21T08:58:45Z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CAF4C4EA64404B83B4E6BE0114410B71</vt:lpwstr>
  </property>
</Properties>
</file>