
<file path=[Content_Types].xml><?xml version="1.0" encoding="utf-8"?>
<Types xmlns="http://schemas.openxmlformats.org/package/2006/content-types">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紫阳县财政局双桥财政所</w:t>
      </w:r>
    </w:p>
    <w:p>
      <w:pPr>
        <w:spacing w:line="360" w:lineRule="auto"/>
        <w:ind w:firstLine="640"/>
        <w:jc w:val="center"/>
        <w:rPr>
          <w:rFonts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年单位预算公开说明</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第一部分   单位概况</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一、单位主要职责及机构设置</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二、202</w:t>
      </w:r>
      <w:r>
        <w:rPr>
          <w:rFonts w:hint="eastAsia" w:ascii="仿宋" w:hAnsi="仿宋" w:eastAsia="仿宋" w:cs="仿宋"/>
          <w:sz w:val="32"/>
          <w:szCs w:val="32"/>
          <w:lang w:val="en-US" w:eastAsia="zh-CN"/>
        </w:rPr>
        <w:t>2</w:t>
      </w:r>
      <w:r>
        <w:rPr>
          <w:rFonts w:hint="eastAsia" w:ascii="仿宋" w:hAnsi="仿宋" w:eastAsia="仿宋" w:cs="仿宋"/>
          <w:sz w:val="32"/>
          <w:szCs w:val="32"/>
        </w:rPr>
        <w:t>年年度单位工作任务</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三、单位人员情况说明</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第二部分   收支情况</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四、202</w:t>
      </w:r>
      <w:r>
        <w:rPr>
          <w:rFonts w:hint="eastAsia" w:ascii="仿宋" w:hAnsi="仿宋" w:eastAsia="仿宋" w:cs="仿宋"/>
          <w:sz w:val="32"/>
          <w:szCs w:val="32"/>
          <w:lang w:val="en-US" w:eastAsia="zh-CN"/>
        </w:rPr>
        <w:t>2</w:t>
      </w:r>
      <w:r>
        <w:rPr>
          <w:rFonts w:hint="eastAsia" w:ascii="仿宋" w:hAnsi="仿宋" w:eastAsia="仿宋" w:cs="仿宋"/>
          <w:sz w:val="32"/>
          <w:szCs w:val="32"/>
        </w:rPr>
        <w:t>年单位预算收支说明</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五、单位预算“三公”经费等情况说明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六、单位国有资产占有使用及资产购置情况说明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七、单位政府采购情况说明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八、单位预算绩效目标说明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九、机关运行 经费安排说明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十、专业 名词解释</w:t>
      </w:r>
    </w:p>
    <w:p>
      <w:pPr>
        <w:spacing w:line="360" w:lineRule="auto"/>
        <w:ind w:firstLine="643"/>
        <w:jc w:val="center"/>
        <w:rPr>
          <w:rFonts w:hint="eastAsia" w:ascii="仿宋" w:hAnsi="仿宋" w:eastAsia="仿宋" w:cs="仿宋"/>
          <w:sz w:val="32"/>
          <w:szCs w:val="32"/>
        </w:rPr>
      </w:pPr>
      <w:r>
        <w:rPr>
          <w:rFonts w:hint="eastAsia" w:ascii="仿宋" w:hAnsi="仿宋" w:eastAsia="仿宋" w:cs="仿宋"/>
          <w:b/>
          <w:bCs/>
          <w:sz w:val="32"/>
          <w:szCs w:val="32"/>
        </w:rPr>
        <w:t>第四部分   公开报表</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（具体单位预算公开报表）</w:t>
      </w:r>
    </w:p>
    <w:p>
      <w:pPr>
        <w:spacing w:line="360" w:lineRule="auto"/>
        <w:ind w:firstLine="643"/>
        <w:jc w:val="center"/>
        <w:rPr>
          <w:rFonts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 xml:space="preserve">第一部分  </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（一）单位主要职责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财政所主要承担促进农村经济社会发展、加强镇财政管理的职能。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1.负责组织和管理镇财政收入和支出，组织编制执行镇年度预决算。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2.负责镇非税收入的管理。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3.负责镇级部门预算资金和各类财政专项资金的监管。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4.负责居民补贴资金的发放和监管。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5.按照财政财务体制划分负责镇政府辖区内各单位的财政财务和政府采购活动的监管。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6.负责镇债权债务监管。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7.负责镇公共资产管理利用及村集体资产监管。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8.负责农村财务管理指导、服务和监督。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9.承担上级财政部门和法律法规赋予的其他工作。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（二）机构设置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highlight w:val="green"/>
        </w:rPr>
      </w:pPr>
      <w:r>
        <w:rPr>
          <w:rFonts w:hint="eastAsia" w:ascii="仿宋" w:hAnsi="仿宋" w:eastAsia="仿宋" w:cs="仿宋"/>
          <w:sz w:val="32"/>
          <w:szCs w:val="32"/>
          <w:highlight w:val="none"/>
          <w:lang w:val="en-US" w:eastAsia="zh-CN"/>
        </w:rPr>
        <w:t>本单位为县财政局在双桥镇的派出机构，属县财政局二级单位，本单位无下属单位。</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2022年年度单位</w:t>
      </w:r>
      <w:r>
        <w:rPr>
          <w:rFonts w:hint="eastAsia" w:ascii="仿宋" w:hAnsi="仿宋" w:eastAsia="仿宋" w:cs="仿宋"/>
          <w:b/>
          <w:bCs/>
          <w:sz w:val="32"/>
          <w:szCs w:val="32"/>
        </w:rPr>
        <w:t>工作任务</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（一）加强涉农整合资金管理。</w:t>
      </w:r>
      <w:r>
        <w:rPr>
          <w:rFonts w:hint="eastAsia" w:ascii="仿宋_GB2312" w:hAnsi="仿宋_GB2312" w:eastAsia="仿宋_GB2312" w:cs="仿宋_GB2312"/>
          <w:color w:val="000000"/>
          <w:kern w:val="0"/>
          <w:sz w:val="32"/>
          <w:szCs w:val="32"/>
          <w:lang w:val="en-US" w:eastAsia="zh-CN" w:bidi="ar"/>
        </w:rPr>
        <w:t>强化资金全过程监管，</w:t>
      </w:r>
      <w:r>
        <w:rPr>
          <w:rFonts w:hint="eastAsia" w:ascii="仿宋_GB2312" w:hAnsi="仿宋_GB2312" w:eastAsia="仿宋_GB2312" w:cs="仿宋_GB2312"/>
          <w:b w:val="0"/>
          <w:bCs w:val="0"/>
          <w:color w:val="auto"/>
          <w:kern w:val="0"/>
          <w:sz w:val="32"/>
          <w:szCs w:val="32"/>
          <w:lang w:val="en-US" w:eastAsia="zh-CN" w:bidi="ar"/>
        </w:rPr>
        <w:t>专岗负责，实行动态管理。</w:t>
      </w:r>
      <w:r>
        <w:rPr>
          <w:rFonts w:hint="eastAsia" w:ascii="仿宋_GB2312" w:hAnsi="仿宋_GB2312" w:eastAsia="仿宋_GB2312" w:cs="仿宋_GB2312"/>
          <w:color w:val="auto"/>
          <w:kern w:val="0"/>
          <w:sz w:val="32"/>
          <w:szCs w:val="32"/>
          <w:lang w:val="en-US" w:eastAsia="zh-CN" w:bidi="ar"/>
        </w:rPr>
        <w:t>设专项资金管理员，负责涉农整合资金的监管、拨付、会计核算工作。主动配合镇项目办做好项目绩效目标申报、运行监控等资料。项目实施后，财政所牵头组织录入紫阳县“三级两账”项目资金监管平台，对项目资金全过程监管。</w:t>
      </w:r>
      <w:r>
        <w:rPr>
          <w:rFonts w:hint="eastAsia" w:ascii="仿宋_GB2312" w:hAnsi="仿宋_GB2312" w:eastAsia="仿宋_GB2312" w:cs="仿宋_GB2312"/>
          <w:b w:val="0"/>
          <w:bCs w:val="0"/>
          <w:color w:val="auto"/>
          <w:kern w:val="0"/>
          <w:sz w:val="32"/>
          <w:szCs w:val="32"/>
          <w:lang w:val="en-US" w:eastAsia="zh-CN" w:bidi="ar"/>
        </w:rPr>
        <w:t>严把支付关口，规范报账程序。</w:t>
      </w:r>
      <w:r>
        <w:rPr>
          <w:rFonts w:hint="eastAsia" w:ascii="仿宋_GB2312" w:hAnsi="仿宋_GB2312" w:eastAsia="仿宋_GB2312" w:cs="仿宋_GB2312"/>
          <w:color w:val="auto"/>
          <w:kern w:val="0"/>
          <w:sz w:val="32"/>
          <w:szCs w:val="32"/>
          <w:lang w:val="en-US" w:eastAsia="zh-CN" w:bidi="ar"/>
        </w:rPr>
        <w:t>按照项目进度支付资金，确保专款专用。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（二）严格落实惠民一卡通补贴发放工作。</w:t>
      </w:r>
      <w:r>
        <w:rPr>
          <w:rFonts w:hint="eastAsia" w:ascii="仿宋" w:hAnsi="仿宋" w:eastAsia="仿宋" w:cs="仿宋"/>
          <w:sz w:val="32"/>
          <w:szCs w:val="32"/>
          <w:lang w:val="en-US" w:eastAsia="zh-CN"/>
        </w:rPr>
        <w:t>加强宣传，充分利用党务政务公开栏、微信群等载体，广泛宣传解释相关惠民政策。</w:t>
      </w:r>
      <w:r>
        <w:rPr>
          <w:rFonts w:hint="eastAsia" w:ascii="仿宋_GB2312" w:hAnsi="仿宋_GB2312" w:eastAsia="仿宋_GB2312" w:cs="仿宋_GB2312"/>
          <w:sz w:val="32"/>
          <w:szCs w:val="32"/>
          <w:lang w:val="en-US" w:eastAsia="zh-CN"/>
        </w:rPr>
        <w:t>健全完善惠民惠农补贴资金“一卡通”管理制度，规范资金申报、审核及发放流程，加强公示公告力度、宣传力度，强化群众监督，确保群众利益不受损失</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（三）加强村级财务管理。</w:t>
      </w:r>
      <w:r>
        <w:rPr>
          <w:rFonts w:hint="eastAsia" w:ascii="仿宋" w:hAnsi="仿宋" w:eastAsia="仿宋" w:cs="仿宋"/>
          <w:sz w:val="32"/>
          <w:szCs w:val="32"/>
          <w:lang w:val="en-US" w:eastAsia="zh-CN"/>
        </w:rPr>
        <w:t>一是严格执行“村财村用财政所代管”制度，加强村级财务人员培训，夯实村级财务管理基础，严格执行财务工作规范，健全村级财务管理制度，坚持民主理财，完善财务公开，加强会计档案管理。二是严格执行项目资金管理规章制度和专项资金使用制度，切实落实主体责任，建立项目管理、资金使用集体决策和内部监督机制，落实项目资金公开公示制度，将项目资金管理使用情况作为村务公开的重要内容。三是加强指导与监督，财政所定期开展村级财务指导和检查，不断规范村级财务业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textAlignment w:val="auto"/>
        <w:outlineLvl w:val="9"/>
        <w:rPr>
          <w:rFonts w:hint="default" w:ascii="仿宋" w:hAnsi="仿宋" w:eastAsia="仿宋" w:cs="仿宋"/>
          <w:sz w:val="32"/>
          <w:szCs w:val="32"/>
          <w:highlight w:val="green"/>
          <w:lang w:val="en-US"/>
        </w:rPr>
      </w:pPr>
      <w:r>
        <w:rPr>
          <w:rFonts w:hint="eastAsia" w:ascii="仿宋" w:hAnsi="仿宋" w:eastAsia="仿宋" w:cs="仿宋"/>
          <w:b/>
          <w:bCs/>
          <w:sz w:val="32"/>
          <w:szCs w:val="32"/>
          <w:lang w:val="en-US" w:eastAsia="zh-CN"/>
        </w:rPr>
        <w:t>（四）按时发放村干部、群团、村民组长补贴。</w:t>
      </w:r>
      <w:r>
        <w:rPr>
          <w:rFonts w:hint="eastAsia" w:ascii="仿宋" w:hAnsi="仿宋" w:eastAsia="仿宋" w:cs="仿宋"/>
          <w:sz w:val="32"/>
          <w:szCs w:val="32"/>
          <w:lang w:val="en-US" w:eastAsia="zh-CN"/>
        </w:rPr>
        <w:t>按照县局统一要求，每月每季度按时发放村干部工资和绩效工资，年末统一发放群团、村民组长补贴。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b w:val="0"/>
          <w:bCs w:val="0"/>
          <w:color w:val="auto"/>
          <w:kern w:val="0"/>
          <w:sz w:val="32"/>
          <w:szCs w:val="32"/>
          <w:lang w:bidi="ar"/>
        </w:rPr>
      </w:pPr>
      <w:r>
        <w:rPr>
          <w:rFonts w:hint="eastAsia" w:ascii="仿宋" w:hAnsi="仿宋" w:eastAsia="仿宋" w:cs="仿宋"/>
          <w:sz w:val="32"/>
          <w:szCs w:val="32"/>
        </w:rPr>
        <w:t>从预算单位构成看，本部门的部门预算包括部门本级（机关）预算</w:t>
      </w:r>
      <w:r>
        <w:rPr>
          <w:rFonts w:hint="eastAsia" w:ascii="仿宋" w:hAnsi="仿宋" w:eastAsia="仿宋" w:cs="仿宋"/>
          <w:b w:val="0"/>
          <w:bCs w:val="0"/>
          <w:color w:val="auto"/>
          <w:kern w:val="0"/>
          <w:sz w:val="32"/>
          <w:szCs w:val="32"/>
          <w:lang w:bidi="ar"/>
        </w:rPr>
        <w:t>单位共</w:t>
      </w:r>
      <w:r>
        <w:rPr>
          <w:rFonts w:hint="eastAsia" w:ascii="仿宋" w:hAnsi="仿宋" w:eastAsia="仿宋" w:cs="仿宋"/>
          <w:b w:val="0"/>
          <w:bCs w:val="0"/>
          <w:color w:val="auto"/>
          <w:kern w:val="0"/>
          <w:sz w:val="32"/>
          <w:szCs w:val="32"/>
          <w:lang w:val="en-US" w:eastAsia="zh-CN" w:bidi="ar"/>
        </w:rPr>
        <w:t>1</w:t>
      </w:r>
      <w:r>
        <w:rPr>
          <w:rFonts w:hint="eastAsia" w:ascii="仿宋" w:hAnsi="仿宋" w:eastAsia="仿宋" w:cs="仿宋"/>
          <w:b w:val="0"/>
          <w:bCs w:val="0"/>
          <w:color w:val="auto"/>
          <w:kern w:val="0"/>
          <w:sz w:val="32"/>
          <w:szCs w:val="32"/>
          <w:lang w:bidi="ar"/>
        </w:rPr>
        <w:t>个，包括本级及所属</w:t>
      </w:r>
      <w:r>
        <w:rPr>
          <w:rFonts w:hint="eastAsia" w:ascii="仿宋" w:hAnsi="仿宋" w:eastAsia="仿宋" w:cs="仿宋"/>
          <w:b w:val="0"/>
          <w:bCs w:val="0"/>
          <w:color w:val="auto"/>
          <w:kern w:val="0"/>
          <w:sz w:val="32"/>
          <w:szCs w:val="32"/>
          <w:lang w:val="en-US" w:eastAsia="zh-CN" w:bidi="ar"/>
        </w:rPr>
        <w:t>1</w:t>
      </w:r>
      <w:r>
        <w:rPr>
          <w:rFonts w:hint="eastAsia" w:ascii="仿宋" w:hAnsi="仿宋" w:eastAsia="仿宋" w:cs="仿宋"/>
          <w:b w:val="0"/>
          <w:bCs w:val="0"/>
          <w:color w:val="auto"/>
          <w:kern w:val="0"/>
          <w:sz w:val="32"/>
          <w:szCs w:val="32"/>
          <w:lang w:bidi="ar"/>
        </w:rPr>
        <w:t>个</w:t>
      </w:r>
      <w:r>
        <w:rPr>
          <w:rFonts w:hint="eastAsia" w:ascii="仿宋" w:hAnsi="仿宋" w:eastAsia="仿宋" w:cs="仿宋"/>
          <w:b w:val="0"/>
          <w:bCs w:val="0"/>
          <w:color w:val="auto"/>
          <w:kern w:val="0"/>
          <w:sz w:val="32"/>
          <w:szCs w:val="32"/>
          <w:lang w:val="en-US" w:eastAsia="zh-CN" w:bidi="ar"/>
        </w:rPr>
        <w:t>二级</w:t>
      </w:r>
      <w:r>
        <w:rPr>
          <w:rFonts w:hint="eastAsia" w:ascii="仿宋" w:hAnsi="仿宋" w:eastAsia="仿宋" w:cs="仿宋"/>
          <w:b w:val="0"/>
          <w:bCs w:val="0"/>
          <w:color w:val="auto"/>
          <w:kern w:val="0"/>
          <w:sz w:val="32"/>
          <w:szCs w:val="32"/>
          <w:lang w:bidi="ar"/>
        </w:rPr>
        <w:t>预算单位：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object>
          <v:shape id="_x0000_i1025" o:spt="75" alt="" type="#_x0000_t75" style="height:97.6pt;width:282.15pt;" o:ole="t" filled="f" o:preferrelative="t" stroked="f" coordsize="21600,21600">
            <v:path/>
            <v:fill on="f" focussize="0,0"/>
            <v:stroke on="f"/>
            <v:imagedata r:id="rId7" o:title=""/>
            <o:lock v:ext="edit" aspectratio="t"/>
            <w10:wrap type="none"/>
            <w10:anchorlock/>
          </v:shape>
          <o:OLEObject Type="Embed" ProgID="Excel.Sheet.12" ShapeID="_x0000_i1025" DrawAspect="Content" ObjectID="_1468075725" r:id="rId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 w:hAnsi="仿宋" w:eastAsia="仿宋" w:cs="仿宋"/>
          <w:b/>
          <w:bCs/>
          <w:sz w:val="32"/>
          <w:szCs w:val="32"/>
        </w:rPr>
        <w:t>四、部门人员情况说明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截止</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底，本</w:t>
      </w:r>
      <w:r>
        <w:rPr>
          <w:rFonts w:hint="eastAsia" w:ascii="仿宋" w:hAnsi="仿宋" w:eastAsia="仿宋" w:cs="仿宋"/>
          <w:sz w:val="32"/>
          <w:szCs w:val="32"/>
          <w:lang w:eastAsia="zh-CN"/>
        </w:rPr>
        <w:t>单位</w:t>
      </w:r>
      <w:r>
        <w:rPr>
          <w:rFonts w:hint="eastAsia" w:ascii="仿宋" w:hAnsi="仿宋" w:eastAsia="仿宋" w:cs="仿宋"/>
          <w:sz w:val="32"/>
          <w:szCs w:val="32"/>
        </w:rPr>
        <w:t>人员编制</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4</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人；实有人员</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w:t>
      </w:r>
      <w:r>
        <w:rPr>
          <w:rFonts w:hint="eastAsia" w:ascii="仿宋" w:hAnsi="仿宋" w:eastAsia="仿宋" w:cs="仿宋"/>
          <w:sz w:val="32"/>
          <w:szCs w:val="32"/>
          <w:lang w:val="en-US" w:eastAsia="zh-CN"/>
        </w:rPr>
        <w:t>4</w:t>
      </w:r>
      <w:r>
        <w:rPr>
          <w:rFonts w:hint="eastAsia" w:ascii="仿宋" w:hAnsi="仿宋" w:eastAsia="仿宋" w:cs="仿宋"/>
          <w:sz w:val="32"/>
          <w:szCs w:val="32"/>
        </w:rPr>
        <w:t>人、事业</w:t>
      </w:r>
      <w:r>
        <w:rPr>
          <w:rFonts w:hint="eastAsia" w:ascii="仿宋" w:hAnsi="仿宋" w:eastAsia="仿宋" w:cs="仿宋"/>
          <w:sz w:val="32"/>
          <w:szCs w:val="32"/>
          <w:lang w:val="en-US" w:eastAsia="zh-CN"/>
        </w:rPr>
        <w:t>0</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lang w:val="en-US" w:eastAsia="zh-CN"/>
        </w:rPr>
      </w:pPr>
      <w:r>
        <w:rPr>
          <w:rFonts w:hint="eastAsia" w:eastAsia="仿宋"/>
          <w:lang w:eastAsia="zh-CN"/>
        </w:rPr>
        <w:drawing>
          <wp:anchor distT="0" distB="0" distL="114300" distR="114300" simplePos="0" relativeHeight="251659264" behindDoc="0" locked="0" layoutInCell="1" allowOverlap="1">
            <wp:simplePos x="0" y="0"/>
            <wp:positionH relativeFrom="column">
              <wp:posOffset>-87630</wp:posOffset>
            </wp:positionH>
            <wp:positionV relativeFrom="paragraph">
              <wp:posOffset>95885</wp:posOffset>
            </wp:positionV>
            <wp:extent cx="4688840" cy="1955165"/>
            <wp:effectExtent l="4445" t="4445" r="12065" b="2159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年单位预算收支说明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（一）收支预算总体情况。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按照综合预算的原则，本</w:t>
      </w:r>
      <w:r>
        <w:rPr>
          <w:rFonts w:hint="eastAsia" w:ascii="仿宋" w:hAnsi="仿宋" w:eastAsia="仿宋" w:cs="仿宋"/>
          <w:sz w:val="32"/>
          <w:szCs w:val="32"/>
          <w:lang w:eastAsia="zh-CN"/>
        </w:rPr>
        <w:t>单位</w:t>
      </w:r>
      <w:r>
        <w:rPr>
          <w:rFonts w:hint="eastAsia" w:ascii="仿宋" w:hAnsi="仿宋" w:eastAsia="仿宋" w:cs="仿宋"/>
          <w:sz w:val="32"/>
          <w:szCs w:val="32"/>
        </w:rPr>
        <w:t>所有收入和支出均纳入</w:t>
      </w:r>
      <w:r>
        <w:rPr>
          <w:rFonts w:hint="eastAsia" w:ascii="仿宋" w:hAnsi="仿宋" w:eastAsia="仿宋" w:cs="仿宋"/>
          <w:sz w:val="32"/>
          <w:szCs w:val="32"/>
          <w:lang w:val="en-US" w:eastAsia="zh-CN"/>
        </w:rPr>
        <w:t>部门</w:t>
      </w:r>
      <w:r>
        <w:rPr>
          <w:rFonts w:hint="eastAsia" w:ascii="仿宋" w:hAnsi="仿宋" w:eastAsia="仿宋" w:cs="仿宋"/>
          <w:sz w:val="32"/>
          <w:szCs w:val="32"/>
        </w:rPr>
        <w:t>预算管理。</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预算收入</w:t>
      </w:r>
      <w:r>
        <w:rPr>
          <w:rFonts w:hint="eastAsia" w:ascii="仿宋" w:hAnsi="仿宋" w:eastAsia="仿宋" w:cs="仿宋"/>
          <w:sz w:val="32"/>
          <w:szCs w:val="32"/>
          <w:lang w:val="en-US" w:eastAsia="zh-CN"/>
        </w:rPr>
        <w:t>61.27</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61.27</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预算收入较上年增加</w:t>
      </w:r>
      <w:r>
        <w:rPr>
          <w:rFonts w:hint="eastAsia" w:ascii="仿宋" w:hAnsi="仿宋" w:eastAsia="仿宋" w:cs="仿宋"/>
          <w:sz w:val="32"/>
          <w:szCs w:val="32"/>
          <w:lang w:val="en-US" w:eastAsia="zh-CN"/>
        </w:rPr>
        <w:t>61.27</w:t>
      </w:r>
      <w:r>
        <w:rPr>
          <w:rFonts w:hint="eastAsia" w:ascii="仿宋" w:hAnsi="仿宋" w:eastAsia="仿宋" w:cs="仿宋"/>
          <w:sz w:val="32"/>
          <w:szCs w:val="32"/>
        </w:rPr>
        <w:t>万元，主要原因是上年度由紫阳县</w:t>
      </w:r>
      <w:r>
        <w:rPr>
          <w:rFonts w:hint="eastAsia" w:ascii="仿宋" w:hAnsi="仿宋" w:eastAsia="仿宋" w:cs="仿宋"/>
          <w:sz w:val="32"/>
          <w:szCs w:val="32"/>
          <w:lang w:val="en-US" w:eastAsia="zh-CN"/>
        </w:rPr>
        <w:t>双桥</w:t>
      </w:r>
      <w:r>
        <w:rPr>
          <w:rFonts w:hint="eastAsia" w:ascii="仿宋" w:hAnsi="仿宋" w:eastAsia="仿宋" w:cs="仿宋"/>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预算支出</w:t>
      </w:r>
      <w:r>
        <w:rPr>
          <w:rFonts w:hint="eastAsia" w:ascii="仿宋" w:hAnsi="仿宋" w:eastAsia="仿宋" w:cs="仿宋"/>
          <w:sz w:val="32"/>
          <w:szCs w:val="32"/>
          <w:lang w:val="en-US" w:eastAsia="zh-CN"/>
        </w:rPr>
        <w:t>61.27</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61.27</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预算支出较上年增加</w:t>
      </w:r>
      <w:r>
        <w:rPr>
          <w:rFonts w:hint="eastAsia" w:ascii="仿宋" w:hAnsi="仿宋" w:eastAsia="仿宋" w:cs="仿宋"/>
          <w:sz w:val="32"/>
          <w:szCs w:val="32"/>
          <w:lang w:val="en-US" w:eastAsia="zh-CN"/>
        </w:rPr>
        <w:t>61.27</w:t>
      </w:r>
      <w:r>
        <w:rPr>
          <w:rFonts w:hint="eastAsia" w:ascii="仿宋" w:hAnsi="仿宋" w:eastAsia="仿宋" w:cs="仿宋"/>
          <w:sz w:val="32"/>
          <w:szCs w:val="32"/>
        </w:rPr>
        <w:t>万元，主要原因是上年度由紫阳县</w:t>
      </w:r>
      <w:r>
        <w:rPr>
          <w:rFonts w:hint="eastAsia" w:ascii="仿宋" w:hAnsi="仿宋" w:eastAsia="仿宋" w:cs="仿宋"/>
          <w:sz w:val="32"/>
          <w:szCs w:val="32"/>
          <w:lang w:val="en-US" w:eastAsia="zh-CN"/>
        </w:rPr>
        <w:t>双桥</w:t>
      </w:r>
      <w:r>
        <w:rPr>
          <w:rFonts w:hint="eastAsia" w:ascii="仿宋" w:hAnsi="仿宋" w:eastAsia="仿宋" w:cs="仿宋"/>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（二）财政拨款收支情况。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61.27</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61.27</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财政拨款收入较上年增加</w:t>
      </w:r>
      <w:r>
        <w:rPr>
          <w:rFonts w:hint="eastAsia" w:ascii="仿宋" w:hAnsi="仿宋" w:eastAsia="仿宋" w:cs="仿宋"/>
          <w:sz w:val="32"/>
          <w:szCs w:val="32"/>
          <w:lang w:val="en-US" w:eastAsia="zh-CN"/>
        </w:rPr>
        <w:t>61.27</w:t>
      </w:r>
      <w:r>
        <w:rPr>
          <w:rFonts w:hint="eastAsia" w:ascii="仿宋" w:hAnsi="仿宋" w:eastAsia="仿宋" w:cs="仿宋"/>
          <w:sz w:val="32"/>
          <w:szCs w:val="32"/>
        </w:rPr>
        <w:t>万元，主要原因是上年度由紫阳县</w:t>
      </w:r>
      <w:r>
        <w:rPr>
          <w:rFonts w:hint="eastAsia" w:ascii="仿宋" w:hAnsi="仿宋" w:eastAsia="仿宋" w:cs="仿宋"/>
          <w:sz w:val="32"/>
          <w:szCs w:val="32"/>
          <w:lang w:val="en-US" w:eastAsia="zh-CN"/>
        </w:rPr>
        <w:t>双桥</w:t>
      </w:r>
      <w:r>
        <w:rPr>
          <w:rFonts w:hint="eastAsia" w:ascii="仿宋" w:hAnsi="仿宋" w:eastAsia="仿宋" w:cs="仿宋"/>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财政拨款支出</w:t>
      </w:r>
      <w:r>
        <w:rPr>
          <w:rFonts w:hint="eastAsia" w:ascii="仿宋" w:hAnsi="仿宋" w:eastAsia="仿宋" w:cs="仿宋"/>
          <w:sz w:val="32"/>
          <w:szCs w:val="32"/>
          <w:lang w:val="en-US" w:eastAsia="zh-CN"/>
        </w:rPr>
        <w:t>61.27</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61.27</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财政拨款支出较上年增加</w:t>
      </w:r>
      <w:r>
        <w:rPr>
          <w:rFonts w:hint="eastAsia" w:ascii="仿宋" w:hAnsi="仿宋" w:eastAsia="仿宋" w:cs="仿宋"/>
          <w:sz w:val="32"/>
          <w:szCs w:val="32"/>
          <w:lang w:val="en-US" w:eastAsia="zh-CN"/>
        </w:rPr>
        <w:t>61.27</w:t>
      </w:r>
      <w:r>
        <w:rPr>
          <w:rFonts w:hint="eastAsia" w:ascii="仿宋" w:hAnsi="仿宋" w:eastAsia="仿宋" w:cs="仿宋"/>
          <w:sz w:val="32"/>
          <w:szCs w:val="32"/>
        </w:rPr>
        <w:t>万元，主要原因是上年度由紫阳县</w:t>
      </w:r>
      <w:r>
        <w:rPr>
          <w:rFonts w:hint="eastAsia" w:ascii="仿宋" w:hAnsi="仿宋" w:eastAsia="仿宋" w:cs="仿宋"/>
          <w:sz w:val="32"/>
          <w:szCs w:val="32"/>
          <w:lang w:val="en-US" w:eastAsia="zh-CN"/>
        </w:rPr>
        <w:t>双桥</w:t>
      </w:r>
      <w:r>
        <w:rPr>
          <w:rFonts w:hint="eastAsia" w:ascii="仿宋" w:hAnsi="仿宋" w:eastAsia="仿宋" w:cs="仿宋"/>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（三）一般公共预算拨款支出明细情况。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一般公共预算当年拨款规模变化情况。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当年一般公共预算拨款支出</w:t>
      </w:r>
      <w:r>
        <w:rPr>
          <w:rFonts w:hint="eastAsia" w:ascii="仿宋" w:hAnsi="仿宋" w:eastAsia="仿宋" w:cs="仿宋"/>
          <w:sz w:val="32"/>
          <w:szCs w:val="32"/>
          <w:lang w:val="en-US" w:eastAsia="zh-CN"/>
        </w:rPr>
        <w:t>61.27</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61.27</w:t>
      </w:r>
      <w:r>
        <w:rPr>
          <w:rFonts w:hint="eastAsia" w:ascii="仿宋" w:hAnsi="仿宋" w:eastAsia="仿宋" w:cs="仿宋"/>
          <w:sz w:val="32"/>
          <w:szCs w:val="32"/>
        </w:rPr>
        <w:t>万元，主要原因是上年度由紫阳县</w:t>
      </w:r>
      <w:r>
        <w:rPr>
          <w:rFonts w:hint="eastAsia" w:ascii="仿宋" w:hAnsi="仿宋" w:eastAsia="仿宋" w:cs="仿宋"/>
          <w:sz w:val="32"/>
          <w:szCs w:val="32"/>
          <w:lang w:val="en-US" w:eastAsia="zh-CN"/>
        </w:rPr>
        <w:t>双桥</w:t>
      </w:r>
      <w:r>
        <w:rPr>
          <w:rFonts w:hint="eastAsia" w:ascii="仿宋" w:hAnsi="仿宋" w:eastAsia="仿宋" w:cs="仿宋"/>
          <w:sz w:val="32"/>
          <w:szCs w:val="32"/>
        </w:rPr>
        <w:t>镇人民政府统一预算。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支出按功能科目分类的明细情况。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当年一般公共预算支出</w:t>
      </w:r>
      <w:r>
        <w:rPr>
          <w:rFonts w:hint="eastAsia" w:ascii="仿宋" w:hAnsi="仿宋" w:eastAsia="仿宋" w:cs="仿宋"/>
          <w:sz w:val="32"/>
          <w:szCs w:val="32"/>
          <w:lang w:val="en-US" w:eastAsia="zh-CN"/>
        </w:rPr>
        <w:t>61.27</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（1）行政运行（2010601）</w:t>
      </w:r>
      <w:r>
        <w:rPr>
          <w:rFonts w:hint="eastAsia" w:ascii="仿宋" w:hAnsi="仿宋" w:eastAsia="仿宋" w:cs="仿宋"/>
          <w:color w:val="auto"/>
          <w:sz w:val="32"/>
          <w:szCs w:val="32"/>
          <w:lang w:val="en-US" w:eastAsia="zh-CN"/>
        </w:rPr>
        <w:t>50.11</w:t>
      </w:r>
      <w:r>
        <w:rPr>
          <w:rFonts w:hint="eastAsia" w:ascii="仿宋" w:hAnsi="仿宋" w:eastAsia="仿宋" w:cs="仿宋"/>
          <w:color w:val="auto"/>
          <w:sz w:val="32"/>
          <w:szCs w:val="32"/>
        </w:rPr>
        <w:t>万元，较上年增加</w:t>
      </w:r>
      <w:r>
        <w:rPr>
          <w:rFonts w:hint="eastAsia" w:ascii="仿宋" w:hAnsi="仿宋" w:eastAsia="仿宋" w:cs="仿宋"/>
          <w:color w:val="auto"/>
          <w:sz w:val="32"/>
          <w:szCs w:val="32"/>
          <w:lang w:val="en-US" w:eastAsia="zh-CN"/>
        </w:rPr>
        <w:t>50.11</w:t>
      </w:r>
      <w:r>
        <w:rPr>
          <w:rFonts w:hint="eastAsia" w:ascii="仿宋" w:hAnsi="仿宋" w:eastAsia="仿宋" w:cs="仿宋"/>
          <w:color w:val="auto"/>
          <w:sz w:val="32"/>
          <w:szCs w:val="32"/>
        </w:rPr>
        <w:t>万元，主要原因是上年度由紫阳县</w:t>
      </w:r>
      <w:r>
        <w:rPr>
          <w:rFonts w:hint="eastAsia" w:ascii="仿宋" w:hAnsi="仿宋" w:eastAsia="仿宋" w:cs="仿宋"/>
          <w:color w:val="auto"/>
          <w:sz w:val="32"/>
          <w:szCs w:val="32"/>
          <w:lang w:val="en-US" w:eastAsia="zh-CN"/>
        </w:rPr>
        <w:t>双桥</w:t>
      </w:r>
      <w:r>
        <w:rPr>
          <w:rFonts w:hint="eastAsia" w:ascii="仿宋" w:hAnsi="仿宋" w:eastAsia="仿宋" w:cs="仿宋"/>
          <w:color w:val="auto"/>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机关事业单位养老保险支出</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505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4.8</w:t>
      </w:r>
      <w:r>
        <w:rPr>
          <w:rFonts w:hint="eastAsia" w:ascii="仿宋" w:hAnsi="仿宋" w:eastAsia="仿宋" w:cs="仿宋"/>
          <w:color w:val="auto"/>
          <w:sz w:val="32"/>
          <w:szCs w:val="32"/>
        </w:rPr>
        <w:t>万元，较上年</w:t>
      </w:r>
      <w:r>
        <w:rPr>
          <w:rFonts w:hint="eastAsia" w:ascii="仿宋" w:hAnsi="仿宋" w:eastAsia="仿宋" w:cs="仿宋"/>
          <w:color w:val="auto"/>
          <w:sz w:val="32"/>
          <w:szCs w:val="32"/>
          <w:lang w:val="en-US" w:eastAsia="zh-CN"/>
        </w:rPr>
        <w:t>增加4.8</w:t>
      </w:r>
      <w:r>
        <w:rPr>
          <w:rFonts w:hint="eastAsia" w:ascii="仿宋" w:hAnsi="仿宋" w:eastAsia="仿宋" w:cs="仿宋"/>
          <w:color w:val="auto"/>
          <w:sz w:val="32"/>
          <w:szCs w:val="32"/>
        </w:rPr>
        <w:t>万元，主要原因是上年度由紫阳县</w:t>
      </w:r>
      <w:r>
        <w:rPr>
          <w:rFonts w:hint="eastAsia" w:ascii="仿宋" w:hAnsi="仿宋" w:eastAsia="仿宋" w:cs="仿宋"/>
          <w:color w:val="auto"/>
          <w:sz w:val="32"/>
          <w:szCs w:val="32"/>
          <w:lang w:val="en-US" w:eastAsia="zh-CN"/>
        </w:rPr>
        <w:t>双桥</w:t>
      </w:r>
      <w:r>
        <w:rPr>
          <w:rFonts w:hint="eastAsia" w:ascii="仿宋" w:hAnsi="仿宋" w:eastAsia="仿宋" w:cs="仿宋"/>
          <w:color w:val="auto"/>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（3）行政单位医疗（21</w:t>
      </w:r>
      <w:r>
        <w:rPr>
          <w:rFonts w:hint="eastAsia" w:ascii="仿宋" w:hAnsi="仿宋" w:eastAsia="仿宋" w:cs="仿宋"/>
          <w:color w:val="auto"/>
          <w:sz w:val="32"/>
          <w:szCs w:val="32"/>
          <w:lang w:val="en-US" w:eastAsia="zh-CN"/>
        </w:rPr>
        <w:t>01101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2.35</w:t>
      </w:r>
      <w:r>
        <w:rPr>
          <w:rFonts w:hint="eastAsia" w:ascii="仿宋" w:hAnsi="仿宋" w:eastAsia="仿宋" w:cs="仿宋"/>
          <w:color w:val="auto"/>
          <w:sz w:val="32"/>
          <w:szCs w:val="32"/>
        </w:rPr>
        <w:t>万元，较上年</w:t>
      </w:r>
      <w:r>
        <w:rPr>
          <w:rFonts w:hint="eastAsia" w:ascii="仿宋" w:hAnsi="仿宋" w:eastAsia="仿宋" w:cs="仿宋"/>
          <w:color w:val="auto"/>
          <w:sz w:val="32"/>
          <w:szCs w:val="32"/>
          <w:lang w:val="en-US" w:eastAsia="zh-CN"/>
        </w:rPr>
        <w:t>增加2.35</w:t>
      </w:r>
      <w:r>
        <w:rPr>
          <w:rFonts w:hint="eastAsia" w:ascii="仿宋" w:hAnsi="仿宋" w:eastAsia="仿宋" w:cs="仿宋"/>
          <w:color w:val="auto"/>
          <w:sz w:val="32"/>
          <w:szCs w:val="32"/>
        </w:rPr>
        <w:t>万元，主要原因是上年度由紫阳县</w:t>
      </w:r>
      <w:r>
        <w:rPr>
          <w:rFonts w:hint="eastAsia" w:ascii="仿宋" w:hAnsi="仿宋" w:eastAsia="仿宋" w:cs="仿宋"/>
          <w:color w:val="auto"/>
          <w:sz w:val="32"/>
          <w:szCs w:val="32"/>
          <w:lang w:val="en-US" w:eastAsia="zh-CN"/>
        </w:rPr>
        <w:t>双桥</w:t>
      </w:r>
      <w:r>
        <w:rPr>
          <w:rFonts w:hint="eastAsia" w:ascii="仿宋" w:hAnsi="仿宋" w:eastAsia="仿宋" w:cs="仿宋"/>
          <w:color w:val="auto"/>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住房保障支出</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较上年</w:t>
      </w:r>
      <w:r>
        <w:rPr>
          <w:rFonts w:hint="eastAsia" w:ascii="仿宋" w:hAnsi="仿宋" w:eastAsia="仿宋" w:cs="仿宋"/>
          <w:color w:val="auto"/>
          <w:sz w:val="32"/>
          <w:szCs w:val="32"/>
          <w:lang w:val="en-US" w:eastAsia="zh-CN"/>
        </w:rPr>
        <w:t>增加4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主要原因是上年度由紫阳县</w:t>
      </w:r>
      <w:r>
        <w:rPr>
          <w:rFonts w:hint="eastAsia" w:ascii="仿宋" w:hAnsi="仿宋" w:eastAsia="仿宋" w:cs="仿宋"/>
          <w:color w:val="auto"/>
          <w:sz w:val="32"/>
          <w:szCs w:val="32"/>
          <w:lang w:val="en-US" w:eastAsia="zh-CN"/>
        </w:rPr>
        <w:t>双桥</w:t>
      </w:r>
      <w:r>
        <w:rPr>
          <w:rFonts w:hint="eastAsia" w:ascii="仿宋" w:hAnsi="仿宋" w:eastAsia="仿宋" w:cs="仿宋"/>
          <w:color w:val="auto"/>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3、</w:t>
      </w:r>
      <w:r>
        <w:rPr>
          <w:rFonts w:hint="eastAsia" w:ascii="仿宋" w:hAnsi="仿宋" w:eastAsia="仿宋" w:cs="仿宋"/>
          <w:color w:val="auto"/>
          <w:sz w:val="32"/>
          <w:szCs w:val="32"/>
        </w:rPr>
        <w:t>支出按经济科目分类的明细情况。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（1）按照</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预算支出经济分类的类级科目说明。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当年一般公共预算支出</w:t>
      </w:r>
      <w:r>
        <w:rPr>
          <w:rFonts w:hint="eastAsia" w:ascii="仿宋" w:hAnsi="仿宋" w:eastAsia="仿宋" w:cs="仿宋"/>
          <w:color w:val="auto"/>
          <w:sz w:val="32"/>
          <w:szCs w:val="32"/>
          <w:lang w:val="en-US" w:eastAsia="zh-CN"/>
        </w:rPr>
        <w:t>61.27</w:t>
      </w:r>
      <w:r>
        <w:rPr>
          <w:rFonts w:hint="eastAsia" w:ascii="仿宋" w:hAnsi="仿宋" w:eastAsia="仿宋" w:cs="仿宋"/>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工资福利支出（301）</w:t>
      </w:r>
      <w:r>
        <w:rPr>
          <w:rFonts w:hint="eastAsia" w:ascii="仿宋" w:hAnsi="仿宋" w:eastAsia="仿宋" w:cs="仿宋"/>
          <w:color w:val="auto"/>
          <w:sz w:val="32"/>
          <w:szCs w:val="32"/>
          <w:lang w:val="en-US" w:eastAsia="zh-CN"/>
        </w:rPr>
        <w:t>48.81</w:t>
      </w:r>
      <w:r>
        <w:rPr>
          <w:rFonts w:hint="eastAsia" w:ascii="仿宋" w:hAnsi="仿宋" w:eastAsia="仿宋" w:cs="仿宋"/>
          <w:color w:val="auto"/>
          <w:sz w:val="32"/>
          <w:szCs w:val="32"/>
        </w:rPr>
        <w:t>万元，较上年增加</w:t>
      </w:r>
      <w:r>
        <w:rPr>
          <w:rFonts w:hint="eastAsia" w:ascii="仿宋" w:hAnsi="仿宋" w:eastAsia="仿宋" w:cs="仿宋"/>
          <w:color w:val="auto"/>
          <w:sz w:val="32"/>
          <w:szCs w:val="32"/>
          <w:lang w:val="en-US" w:eastAsia="zh-CN"/>
        </w:rPr>
        <w:t>48.81</w:t>
      </w:r>
      <w:r>
        <w:rPr>
          <w:rFonts w:hint="eastAsia" w:ascii="仿宋" w:hAnsi="仿宋" w:eastAsia="仿宋" w:cs="仿宋"/>
          <w:color w:val="auto"/>
          <w:sz w:val="32"/>
          <w:szCs w:val="32"/>
        </w:rPr>
        <w:t>万元，主要原因是上年度由紫阳县</w:t>
      </w:r>
      <w:r>
        <w:rPr>
          <w:rFonts w:hint="eastAsia" w:ascii="仿宋" w:hAnsi="仿宋" w:eastAsia="仿宋" w:cs="仿宋"/>
          <w:color w:val="auto"/>
          <w:sz w:val="32"/>
          <w:szCs w:val="32"/>
          <w:lang w:val="en-US" w:eastAsia="zh-CN"/>
        </w:rPr>
        <w:t>双桥</w:t>
      </w:r>
      <w:r>
        <w:rPr>
          <w:rFonts w:hint="eastAsia" w:ascii="仿宋" w:hAnsi="仿宋" w:eastAsia="仿宋" w:cs="仿宋"/>
          <w:color w:val="auto"/>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商品和服务支出（302）</w:t>
      </w:r>
      <w:r>
        <w:rPr>
          <w:rFonts w:hint="eastAsia" w:ascii="仿宋" w:hAnsi="仿宋" w:eastAsia="仿宋" w:cs="仿宋"/>
          <w:color w:val="auto"/>
          <w:sz w:val="32"/>
          <w:szCs w:val="32"/>
          <w:lang w:val="en-US" w:eastAsia="zh-CN"/>
        </w:rPr>
        <w:t>12.46</w:t>
      </w:r>
      <w:r>
        <w:rPr>
          <w:rFonts w:hint="eastAsia" w:ascii="仿宋" w:hAnsi="仿宋" w:eastAsia="仿宋" w:cs="仿宋"/>
          <w:color w:val="auto"/>
          <w:sz w:val="32"/>
          <w:szCs w:val="32"/>
        </w:rPr>
        <w:t>万元，较上年增加</w:t>
      </w:r>
      <w:r>
        <w:rPr>
          <w:rFonts w:hint="eastAsia" w:ascii="仿宋" w:hAnsi="仿宋" w:eastAsia="仿宋" w:cs="仿宋"/>
          <w:color w:val="auto"/>
          <w:sz w:val="32"/>
          <w:szCs w:val="32"/>
          <w:lang w:val="en-US" w:eastAsia="zh-CN"/>
        </w:rPr>
        <w:t>12.46</w:t>
      </w:r>
      <w:r>
        <w:rPr>
          <w:rFonts w:hint="eastAsia" w:ascii="仿宋" w:hAnsi="仿宋" w:eastAsia="仿宋" w:cs="仿宋"/>
          <w:color w:val="auto"/>
          <w:sz w:val="32"/>
          <w:szCs w:val="32"/>
        </w:rPr>
        <w:t>万元，主要原因是上年度由紫阳县</w:t>
      </w:r>
      <w:r>
        <w:rPr>
          <w:rFonts w:hint="eastAsia" w:ascii="仿宋" w:hAnsi="仿宋" w:eastAsia="仿宋" w:cs="仿宋"/>
          <w:color w:val="auto"/>
          <w:sz w:val="32"/>
          <w:szCs w:val="32"/>
          <w:lang w:val="en-US" w:eastAsia="zh-CN"/>
        </w:rPr>
        <w:t>双桥</w:t>
      </w:r>
      <w:r>
        <w:rPr>
          <w:rFonts w:hint="eastAsia" w:ascii="仿宋" w:hAnsi="仿宋" w:eastAsia="仿宋" w:cs="仿宋"/>
          <w:color w:val="auto"/>
          <w:sz w:val="32"/>
          <w:szCs w:val="32"/>
        </w:rPr>
        <w:t>镇人民政府统一预算。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按照政府预算支出经济分类的类级科目说明。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当年一般公共预算支出</w:t>
      </w:r>
      <w:r>
        <w:rPr>
          <w:rFonts w:hint="eastAsia" w:ascii="仿宋" w:hAnsi="仿宋" w:eastAsia="仿宋" w:cs="仿宋"/>
          <w:color w:val="auto"/>
          <w:sz w:val="32"/>
          <w:szCs w:val="32"/>
          <w:lang w:val="en-US" w:eastAsia="zh-CN"/>
        </w:rPr>
        <w:t>61.27</w:t>
      </w:r>
      <w:r>
        <w:rPr>
          <w:rFonts w:hint="eastAsia" w:ascii="仿宋" w:hAnsi="仿宋" w:eastAsia="仿宋" w:cs="仿宋"/>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机关工资福利支出（501）</w:t>
      </w:r>
      <w:r>
        <w:rPr>
          <w:rFonts w:hint="eastAsia" w:ascii="仿宋" w:hAnsi="仿宋" w:eastAsia="仿宋" w:cs="仿宋"/>
          <w:color w:val="auto"/>
          <w:sz w:val="32"/>
          <w:szCs w:val="32"/>
          <w:lang w:val="en-US" w:eastAsia="zh-CN"/>
        </w:rPr>
        <w:t>48.81</w:t>
      </w:r>
      <w:r>
        <w:rPr>
          <w:rFonts w:hint="eastAsia" w:ascii="仿宋" w:hAnsi="仿宋" w:eastAsia="仿宋" w:cs="仿宋"/>
          <w:color w:val="auto"/>
          <w:sz w:val="32"/>
          <w:szCs w:val="32"/>
        </w:rPr>
        <w:t>万元，较上年增加</w:t>
      </w:r>
      <w:r>
        <w:rPr>
          <w:rFonts w:hint="eastAsia" w:ascii="仿宋" w:hAnsi="仿宋" w:eastAsia="仿宋" w:cs="仿宋"/>
          <w:color w:val="auto"/>
          <w:sz w:val="32"/>
          <w:szCs w:val="32"/>
          <w:lang w:val="en-US" w:eastAsia="zh-CN"/>
        </w:rPr>
        <w:t>48.81</w:t>
      </w:r>
      <w:r>
        <w:rPr>
          <w:rFonts w:hint="eastAsia" w:ascii="仿宋" w:hAnsi="仿宋" w:eastAsia="仿宋" w:cs="仿宋"/>
          <w:color w:val="auto"/>
          <w:sz w:val="32"/>
          <w:szCs w:val="32"/>
        </w:rPr>
        <w:t>万元，主要原因是上年度由紫阳县</w:t>
      </w:r>
      <w:r>
        <w:rPr>
          <w:rFonts w:hint="eastAsia" w:ascii="仿宋" w:hAnsi="仿宋" w:eastAsia="仿宋" w:cs="仿宋"/>
          <w:color w:val="auto"/>
          <w:sz w:val="32"/>
          <w:szCs w:val="32"/>
          <w:lang w:val="en-US" w:eastAsia="zh-CN"/>
        </w:rPr>
        <w:t>双桥</w:t>
      </w:r>
      <w:r>
        <w:rPr>
          <w:rFonts w:hint="eastAsia" w:ascii="仿宋" w:hAnsi="仿宋" w:eastAsia="仿宋" w:cs="仿宋"/>
          <w:color w:val="auto"/>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机关商品和服务支出（502）</w:t>
      </w:r>
      <w:r>
        <w:rPr>
          <w:rFonts w:hint="eastAsia" w:ascii="仿宋" w:hAnsi="仿宋" w:eastAsia="仿宋" w:cs="仿宋"/>
          <w:color w:val="auto"/>
          <w:sz w:val="32"/>
          <w:szCs w:val="32"/>
          <w:lang w:val="en-US" w:eastAsia="zh-CN"/>
        </w:rPr>
        <w:t>12.46</w:t>
      </w:r>
      <w:r>
        <w:rPr>
          <w:rFonts w:hint="eastAsia" w:ascii="仿宋" w:hAnsi="仿宋" w:eastAsia="仿宋" w:cs="仿宋"/>
          <w:color w:val="auto"/>
          <w:sz w:val="32"/>
          <w:szCs w:val="32"/>
        </w:rPr>
        <w:t>万元，较上年增加</w:t>
      </w:r>
      <w:r>
        <w:rPr>
          <w:rFonts w:hint="eastAsia" w:ascii="仿宋" w:hAnsi="仿宋" w:eastAsia="仿宋" w:cs="仿宋"/>
          <w:color w:val="auto"/>
          <w:sz w:val="32"/>
          <w:szCs w:val="32"/>
          <w:lang w:val="en-US" w:eastAsia="zh-CN"/>
        </w:rPr>
        <w:t>12.46</w:t>
      </w:r>
      <w:r>
        <w:rPr>
          <w:rFonts w:hint="eastAsia" w:ascii="仿宋" w:hAnsi="仿宋" w:eastAsia="仿宋" w:cs="仿宋"/>
          <w:color w:val="auto"/>
          <w:sz w:val="32"/>
          <w:szCs w:val="32"/>
        </w:rPr>
        <w:t>万元，主要原因是上年度由紫阳县</w:t>
      </w:r>
      <w:r>
        <w:rPr>
          <w:rFonts w:hint="eastAsia" w:ascii="仿宋" w:hAnsi="仿宋" w:eastAsia="仿宋" w:cs="仿宋"/>
          <w:color w:val="auto"/>
          <w:sz w:val="32"/>
          <w:szCs w:val="32"/>
          <w:lang w:val="en-US" w:eastAsia="zh-CN"/>
        </w:rPr>
        <w:t>双桥</w:t>
      </w:r>
      <w:r>
        <w:rPr>
          <w:rFonts w:hint="eastAsia" w:ascii="仿宋" w:hAnsi="仿宋" w:eastAsia="仿宋" w:cs="仿宋"/>
          <w:color w:val="auto"/>
          <w:sz w:val="32"/>
          <w:szCs w:val="32"/>
        </w:rPr>
        <w:t>镇人民政府统一预算。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结转财政资金一般公共预算拨款支出情况。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结转的一般公共预算拨款资金支出。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政府性基金预算支出情况。</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当年政府性基金预算支出情况。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本单位无当年政府性基金预算收支，并已公开空表。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上年结转政府性基金预算支出情况。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highlight w:val="none"/>
          <w:lang w:val="en-US" w:eastAsia="zh-CN"/>
        </w:rPr>
        <w:t>本单位无2021年结转的政府性基金预算拨款支出</w:t>
      </w:r>
      <w:r>
        <w:rPr>
          <w:rFonts w:hint="eastAsia" w:ascii="仿宋" w:hAnsi="仿宋" w:eastAsia="仿宋" w:cs="仿宋"/>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国有资本经营预算拨款收支情况。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无当年国有资本经营预算拨款收支，并在财政拨款收支总体情况表中列示</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w:t>
      </w:r>
      <w:r>
        <w:rPr>
          <w:rFonts w:hint="eastAsia" w:ascii="仿宋" w:hAnsi="仿宋" w:eastAsia="仿宋" w:cs="仿宋"/>
          <w:b w:val="0"/>
          <w:bCs w:val="0"/>
          <w:sz w:val="32"/>
          <w:szCs w:val="32"/>
          <w:highlight w:val="none"/>
          <w:lang w:eastAsia="zh-CN"/>
        </w:rPr>
        <w:t>单位</w:t>
      </w:r>
      <w:r>
        <w:rPr>
          <w:rFonts w:hint="eastAsia" w:ascii="仿宋" w:hAnsi="仿宋" w:eastAsia="仿宋" w:cs="仿宋"/>
          <w:b w:val="0"/>
          <w:bCs w:val="0"/>
          <w:sz w:val="32"/>
          <w:szCs w:val="32"/>
          <w:highlight w:val="none"/>
        </w:rPr>
        <w:t>无</w:t>
      </w:r>
      <w:r>
        <w:rPr>
          <w:rFonts w:hint="eastAsia" w:ascii="仿宋" w:hAnsi="仿宋" w:eastAsia="仿宋" w:cs="仿宋"/>
          <w:b w:val="0"/>
          <w:bCs w:val="0"/>
          <w:sz w:val="32"/>
          <w:szCs w:val="32"/>
          <w:highlight w:val="none"/>
          <w:lang w:eastAsia="zh-CN"/>
        </w:rPr>
        <w:t>202</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年</w:t>
      </w:r>
      <w:r>
        <w:rPr>
          <w:rFonts w:hint="eastAsia" w:ascii="仿宋" w:hAnsi="仿宋" w:eastAsia="仿宋" w:cs="仿宋"/>
          <w:b w:val="0"/>
          <w:bCs w:val="0"/>
          <w:sz w:val="32"/>
          <w:szCs w:val="32"/>
          <w:highlight w:val="none"/>
        </w:rPr>
        <w:t>结转的国有资本经营预算拨款支出。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、部门预算“三公”经费等预算情况说明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当年一般公共预算“三公”经费预算支出</w:t>
      </w:r>
      <w:r>
        <w:rPr>
          <w:rFonts w:hint="eastAsia" w:ascii="仿宋" w:hAnsi="仿宋" w:eastAsia="仿宋" w:cs="仿宋"/>
          <w:sz w:val="32"/>
          <w:szCs w:val="32"/>
          <w:lang w:val="en-US" w:eastAsia="zh-CN"/>
        </w:rPr>
        <w:t>0.22</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r>
        <w:rPr>
          <w:rFonts w:hint="eastAsia" w:ascii="仿宋" w:hAnsi="仿宋" w:eastAsia="仿宋" w:cs="仿宋"/>
          <w:sz w:val="32"/>
          <w:szCs w:val="32"/>
        </w:rPr>
        <w:t>。其中：</w:t>
      </w:r>
      <w:r>
        <w:rPr>
          <w:rFonts w:hint="eastAsia" w:ascii="仿宋" w:hAnsi="仿宋" w:eastAsia="仿宋" w:cs="仿宋"/>
          <w:sz w:val="32"/>
          <w:szCs w:val="32"/>
          <w:highlight w:val="none"/>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r>
        <w:rPr>
          <w:rFonts w:hint="eastAsia" w:ascii="仿宋" w:hAnsi="仿宋" w:eastAsia="仿宋" w:cs="仿宋"/>
          <w:sz w:val="32"/>
          <w:szCs w:val="32"/>
          <w:highlight w:val="none"/>
        </w:rPr>
        <w:t>；公务接待费</w:t>
      </w:r>
      <w:r>
        <w:rPr>
          <w:rFonts w:hint="eastAsia" w:ascii="仿宋" w:hAnsi="仿宋" w:eastAsia="仿宋" w:cs="仿宋"/>
          <w:sz w:val="32"/>
          <w:szCs w:val="32"/>
          <w:lang w:val="en-US" w:eastAsia="zh-CN"/>
        </w:rPr>
        <w:t>0.22</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r>
        <w:rPr>
          <w:rFonts w:hint="eastAsia" w:ascii="仿宋" w:hAnsi="仿宋" w:eastAsia="仿宋" w:cs="仿宋"/>
          <w:sz w:val="32"/>
          <w:szCs w:val="32"/>
        </w:rPr>
        <w:t>；</w:t>
      </w:r>
      <w:r>
        <w:rPr>
          <w:rFonts w:hint="eastAsia" w:ascii="仿宋" w:hAnsi="仿宋" w:eastAsia="仿宋" w:cs="仿宋"/>
          <w:sz w:val="32"/>
          <w:szCs w:val="32"/>
          <w:highlight w:val="none"/>
          <w:u w:val="none"/>
          <w:lang w:eastAsia="zh-CN"/>
        </w:rPr>
        <w:t>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r>
        <w:rPr>
          <w:rFonts w:hint="eastAsia" w:ascii="仿宋" w:hAnsi="仿宋" w:eastAsia="仿宋" w:cs="仿宋"/>
          <w:sz w:val="32"/>
          <w:szCs w:val="32"/>
        </w:rPr>
        <w:t>；</w:t>
      </w:r>
      <w:r>
        <w:rPr>
          <w:rFonts w:hint="eastAsia" w:ascii="仿宋" w:hAnsi="仿宋" w:eastAsia="仿宋" w:cs="仿宋"/>
          <w:sz w:val="32"/>
          <w:szCs w:val="32"/>
          <w:highlight w:val="none"/>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w:t>
      </w:r>
      <w:r>
        <w:rPr>
          <w:rFonts w:hint="eastAsia" w:ascii="仿宋" w:hAnsi="仿宋" w:eastAsia="仿宋" w:cs="仿宋"/>
          <w:sz w:val="32"/>
          <w:szCs w:val="32"/>
          <w:highlight w:val="none"/>
          <w:lang w:eastAsia="zh-CN"/>
        </w:rPr>
        <w:t>会议费</w:t>
      </w:r>
      <w:r>
        <w:rPr>
          <w:rFonts w:hint="eastAsia" w:ascii="仿宋" w:hAnsi="仿宋" w:eastAsia="仿宋" w:cs="仿宋"/>
          <w:sz w:val="32"/>
          <w:szCs w:val="32"/>
        </w:rPr>
        <w:t>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r>
        <w:rPr>
          <w:rFonts w:hint="eastAsia" w:ascii="仿宋" w:hAnsi="仿宋" w:eastAsia="仿宋" w:cs="仿宋"/>
          <w:sz w:val="32"/>
          <w:szCs w:val="32"/>
        </w:rPr>
        <w:t>。</w:t>
      </w:r>
      <w:r>
        <w:rPr>
          <w:rFonts w:hint="eastAsia" w:ascii="仿宋" w:hAnsi="仿宋" w:eastAsia="仿宋" w:cs="仿宋"/>
          <w:sz w:val="32"/>
          <w:szCs w:val="32"/>
          <w:highlight w:val="none"/>
          <w:lang w:eastAsia="zh-CN"/>
        </w:rPr>
        <w:t>培训费</w:t>
      </w:r>
      <w:r>
        <w:rPr>
          <w:rFonts w:hint="eastAsia" w:ascii="仿宋" w:hAnsi="仿宋" w:eastAsia="仿宋" w:cs="仿宋"/>
          <w:sz w:val="32"/>
          <w:szCs w:val="32"/>
          <w:lang w:val="en-US" w:eastAsia="zh-CN"/>
        </w:rPr>
        <w:t>0</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截止</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底，本</w:t>
      </w:r>
      <w:r>
        <w:rPr>
          <w:rFonts w:hint="eastAsia" w:ascii="仿宋" w:hAnsi="仿宋" w:eastAsia="仿宋" w:cs="仿宋"/>
          <w:sz w:val="32"/>
          <w:szCs w:val="32"/>
          <w:lang w:eastAsia="zh-CN"/>
        </w:rPr>
        <w:t>单位</w:t>
      </w:r>
      <w:r>
        <w:rPr>
          <w:rFonts w:hint="eastAsia" w:ascii="仿宋" w:hAnsi="仿宋" w:eastAsia="仿宋" w:cs="仿宋"/>
          <w:sz w:val="32"/>
          <w:szCs w:val="32"/>
        </w:rPr>
        <w:t>所属预算单位共有</w:t>
      </w:r>
      <w:r>
        <w:rPr>
          <w:rFonts w:hint="eastAsia" w:ascii="仿宋" w:hAnsi="仿宋" w:eastAsia="仿宋" w:cs="仿宋"/>
          <w:sz w:val="32"/>
          <w:szCs w:val="32"/>
          <w:highlight w:val="none"/>
        </w:rPr>
        <w:t>车辆</w:t>
      </w:r>
      <w:r>
        <w:rPr>
          <w:rFonts w:hint="eastAsia" w:ascii="仿宋" w:hAnsi="仿宋" w:eastAsia="仿宋" w:cs="仿宋"/>
          <w:sz w:val="32"/>
          <w:szCs w:val="32"/>
          <w:lang w:val="en-US" w:eastAsia="zh-CN"/>
        </w:rPr>
        <w:t>0</w:t>
      </w:r>
      <w:r>
        <w:rPr>
          <w:rFonts w:hint="eastAsia" w:ascii="仿宋" w:hAnsi="仿宋" w:eastAsia="仿宋" w:cs="仿宋"/>
          <w:sz w:val="32"/>
          <w:szCs w:val="32"/>
        </w:rPr>
        <w:t>辆，单价</w:t>
      </w:r>
      <w:r>
        <w:rPr>
          <w:rFonts w:hint="eastAsia" w:ascii="仿宋" w:hAnsi="仿宋" w:eastAsia="仿宋" w:cs="仿宋"/>
          <w:sz w:val="32"/>
          <w:szCs w:val="32"/>
          <w:highlight w:val="none"/>
        </w:rPr>
        <w:t>20万元以上的设备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当年</w:t>
      </w:r>
      <w:r>
        <w:rPr>
          <w:rFonts w:hint="eastAsia" w:ascii="仿宋" w:hAnsi="仿宋" w:eastAsia="仿宋" w:cs="仿宋"/>
          <w:sz w:val="32"/>
          <w:szCs w:val="32"/>
          <w:lang w:eastAsia="zh-CN"/>
        </w:rPr>
        <w:t>单位</w:t>
      </w:r>
      <w:r>
        <w:rPr>
          <w:rFonts w:hint="eastAsia" w:ascii="仿宋" w:hAnsi="仿宋" w:eastAsia="仿宋" w:cs="仿宋"/>
          <w:sz w:val="32"/>
          <w:szCs w:val="32"/>
        </w:rPr>
        <w:t>预算安排购置车辆</w:t>
      </w:r>
      <w:r>
        <w:rPr>
          <w:rFonts w:hint="eastAsia" w:ascii="仿宋" w:hAnsi="仿宋" w:eastAsia="仿宋" w:cs="仿宋"/>
          <w:sz w:val="32"/>
          <w:szCs w:val="32"/>
          <w:lang w:val="en-US" w:eastAsia="zh-CN"/>
        </w:rPr>
        <w:t>0</w:t>
      </w:r>
      <w:r>
        <w:rPr>
          <w:rFonts w:hint="eastAsia" w:ascii="仿宋" w:hAnsi="仿宋" w:eastAsia="仿宋" w:cs="仿宋"/>
          <w:sz w:val="32"/>
          <w:szCs w:val="32"/>
        </w:rPr>
        <w:t>辆；安排购置单价20万元以上的设备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结转的财政拨款支出资产购置</w:t>
      </w:r>
      <w:r>
        <w:rPr>
          <w:rFonts w:hint="eastAsia" w:ascii="仿宋" w:hAnsi="仿宋" w:eastAsia="仿宋" w:cs="仿宋"/>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317" w:leftChars="0" w:firstLine="48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rPr>
        <w:t>部门政府采购情况说明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当年本</w:t>
      </w:r>
      <w:r>
        <w:rPr>
          <w:rFonts w:hint="eastAsia" w:ascii="仿宋" w:hAnsi="仿宋" w:eastAsia="仿宋" w:cs="仿宋"/>
          <w:sz w:val="32"/>
          <w:szCs w:val="32"/>
          <w:lang w:eastAsia="zh-CN"/>
        </w:rPr>
        <w:t>单位</w:t>
      </w:r>
      <w:r>
        <w:rPr>
          <w:rFonts w:hint="eastAsia" w:ascii="仿宋" w:hAnsi="仿宋" w:eastAsia="仿宋" w:cs="仿宋"/>
          <w:sz w:val="32"/>
          <w:szCs w:val="32"/>
        </w:rPr>
        <w:t>政府采购预算共</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w:t>
      </w:r>
      <w:r>
        <w:rPr>
          <w:rFonts w:hint="eastAsia" w:ascii="仿宋" w:hAnsi="仿宋" w:eastAsia="仿宋" w:cs="仿宋"/>
          <w:sz w:val="32"/>
          <w:szCs w:val="32"/>
          <w:highlight w:val="none"/>
        </w:rPr>
        <w:t>货物类</w:t>
      </w:r>
      <w:r>
        <w:rPr>
          <w:rFonts w:hint="eastAsia" w:ascii="仿宋" w:hAnsi="仿宋" w:eastAsia="仿宋" w:cs="仿宋"/>
          <w:sz w:val="32"/>
          <w:szCs w:val="32"/>
        </w:rPr>
        <w:t>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w:t>
      </w:r>
      <w:r>
        <w:rPr>
          <w:rFonts w:hint="eastAsia" w:ascii="仿宋" w:hAnsi="仿宋" w:eastAsia="仿宋" w:cs="仿宋"/>
          <w:sz w:val="32"/>
          <w:szCs w:val="32"/>
          <w:highlight w:val="none"/>
        </w:rPr>
        <w:t>服务类</w:t>
      </w:r>
      <w:r>
        <w:rPr>
          <w:rFonts w:hint="eastAsia" w:ascii="仿宋" w:hAnsi="仿宋" w:eastAsia="仿宋" w:cs="仿宋"/>
          <w:sz w:val="32"/>
          <w:szCs w:val="32"/>
        </w:rPr>
        <w:t>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w:t>
      </w:r>
      <w:r>
        <w:rPr>
          <w:rFonts w:hint="eastAsia" w:ascii="仿宋" w:hAnsi="仿宋" w:eastAsia="仿宋" w:cs="仿宋"/>
          <w:sz w:val="32"/>
          <w:szCs w:val="32"/>
          <w:highlight w:val="none"/>
        </w:rPr>
        <w:t>工程类</w:t>
      </w:r>
      <w:r>
        <w:rPr>
          <w:rFonts w:hint="eastAsia" w:ascii="仿宋" w:hAnsi="仿宋" w:eastAsia="仿宋" w:cs="仿宋"/>
          <w:sz w:val="32"/>
          <w:szCs w:val="32"/>
        </w:rPr>
        <w:t>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万元（详见公开报表中的政府采购表）。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无政府采购预算，并已公开空表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结转的政府采购资金支出</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绩效目标管理全覆盖，涉及当年一般公共预算拨款</w:t>
      </w:r>
      <w:r>
        <w:rPr>
          <w:rFonts w:hint="eastAsia" w:ascii="仿宋" w:hAnsi="仿宋" w:eastAsia="仿宋" w:cs="仿宋"/>
          <w:sz w:val="32"/>
          <w:szCs w:val="32"/>
          <w:lang w:val="en-US" w:eastAsia="zh-CN"/>
        </w:rPr>
        <w:t>61.27</w:t>
      </w:r>
      <w:r>
        <w:rPr>
          <w:rFonts w:hint="eastAsia" w:ascii="仿宋" w:hAnsi="仿宋" w:eastAsia="仿宋" w:cs="仿宋"/>
          <w:sz w:val="32"/>
          <w:szCs w:val="32"/>
        </w:rPr>
        <w:t>万元,当年政府性基金预算拨款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万元，当年国有资本经营预算拨款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万元（详见公开报表中的绩效目标表）。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red"/>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无</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结转的财政拨款支出涉及的绩效目标管理。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当年机关运行经费预算安排</w:t>
      </w:r>
      <w:r>
        <w:rPr>
          <w:rFonts w:hint="eastAsia" w:ascii="仿宋" w:hAnsi="仿宋" w:eastAsia="仿宋" w:cs="仿宋"/>
          <w:sz w:val="32"/>
          <w:szCs w:val="32"/>
          <w:lang w:val="en-US" w:eastAsia="zh-CN"/>
        </w:rPr>
        <w:t>9.38</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无变化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结转的财政拨款机关运行经费支出。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专业名词解释</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1.机关运行经费：指各</w:t>
      </w:r>
      <w:r>
        <w:rPr>
          <w:rFonts w:hint="eastAsia" w:ascii="仿宋" w:hAnsi="仿宋" w:eastAsia="仿宋" w:cs="仿宋"/>
          <w:sz w:val="32"/>
          <w:szCs w:val="32"/>
          <w:lang w:eastAsia="zh-CN"/>
        </w:rPr>
        <w:t>单位</w:t>
      </w:r>
      <w:r>
        <w:rPr>
          <w:rFonts w:hint="eastAsia" w:ascii="仿宋" w:hAnsi="仿宋" w:eastAsia="仿宋" w:cs="仿宋"/>
          <w:sz w:val="32"/>
          <w:szCs w:val="32"/>
        </w:rPr>
        <w:t>的公用经费，包括办公及印刷费、邮电费、差旅费、会议费、福利费、日常维修费、专用材料及一般设备购置费、办公用房水电费、办公用房取暖费、办公用房物业管理费、</w:t>
      </w:r>
      <w:r>
        <w:rPr>
          <w:rFonts w:hint="eastAsia" w:ascii="仿宋" w:hAnsi="仿宋" w:eastAsia="仿宋" w:cs="仿宋"/>
          <w:sz w:val="32"/>
          <w:szCs w:val="32"/>
          <w:lang w:eastAsia="zh-CN"/>
        </w:rPr>
        <w:t>公务用车运行费</w:t>
      </w:r>
      <w:r>
        <w:rPr>
          <w:rFonts w:hint="eastAsia" w:ascii="仿宋" w:hAnsi="仿宋" w:eastAsia="仿宋" w:cs="仿宋"/>
          <w:sz w:val="32"/>
          <w:szCs w:val="32"/>
        </w:rPr>
        <w:t>以及其他费用。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“三公经费”，是指用财政拨款安排的因为出国（境） 费，公务用车购置及运行费和公务接待费。其中，国公出国（境）费反映单位公务出国（境）的国际旅费、国外城市间交通费、住宿费、伙食费、培训费、公杂费等支出；公务接待费反映单位按规定开支的各类公务接待支出。</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详</w:t>
      </w:r>
      <w:r>
        <w:rPr>
          <w:rFonts w:hint="eastAsia" w:ascii="仿宋" w:hAnsi="仿宋" w:eastAsia="仿宋" w:cs="仿宋"/>
          <w:sz w:val="32"/>
          <w:szCs w:val="32"/>
        </w:rPr>
        <w:t>见附</w:t>
      </w:r>
      <w:r>
        <w:rPr>
          <w:rFonts w:hint="eastAsia" w:ascii="仿宋" w:hAnsi="仿宋" w:eastAsia="仿宋" w:cs="仿宋"/>
          <w:sz w:val="32"/>
          <w:szCs w:val="32"/>
          <w:lang w:eastAsia="zh-CN"/>
        </w:rPr>
        <w:t>表</w:t>
      </w:r>
      <w:r>
        <w:rPr>
          <w:rFonts w:hint="eastAsia" w:ascii="仿宋" w:hAnsi="仿宋" w:eastAsia="仿宋" w:cs="仿宋"/>
          <w:sz w:val="32"/>
          <w:szCs w:val="32"/>
        </w:rPr>
        <w:t>）</w:t>
      </w:r>
      <w:r>
        <w:rPr>
          <w:rFonts w:hint="eastAsia" w:ascii="仿宋" w:hAnsi="仿宋" w:eastAsia="仿宋" w:cs="仿宋"/>
          <w:sz w:val="32"/>
          <w:szCs w:val="32"/>
        </w:rPr>
        <w:tab/>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C8E54"/>
    <w:multiLevelType w:val="singleLevel"/>
    <w:tmpl w:val="9ACC8E54"/>
    <w:lvl w:ilvl="0" w:tentative="0">
      <w:start w:val="1"/>
      <w:numFmt w:val="decimal"/>
      <w:suff w:val="nothing"/>
      <w:lvlText w:val="%1、"/>
      <w:lvlJc w:val="left"/>
    </w:lvl>
  </w:abstractNum>
  <w:abstractNum w:abstractNumId="1">
    <w:nsid w:val="02686215"/>
    <w:multiLevelType w:val="singleLevel"/>
    <w:tmpl w:val="02686215"/>
    <w:lvl w:ilvl="0" w:tentative="0">
      <w:start w:val="2"/>
      <w:numFmt w:val="decimal"/>
      <w:suff w:val="nothing"/>
      <w:lvlText w:val="%1、"/>
      <w:lvlJc w:val="left"/>
    </w:lvl>
  </w:abstractNum>
  <w:abstractNum w:abstractNumId="2">
    <w:nsid w:val="0745B2B8"/>
    <w:multiLevelType w:val="singleLevel"/>
    <w:tmpl w:val="0745B2B8"/>
    <w:lvl w:ilvl="0" w:tentative="0">
      <w:start w:val="8"/>
      <w:numFmt w:val="chineseCounting"/>
      <w:suff w:val="nothing"/>
      <w:lvlText w:val="%1、"/>
      <w:lvlJc w:val="left"/>
      <w:pPr>
        <w:ind w:left="317"/>
      </w:pPr>
      <w:rPr>
        <w:rFonts w:hint="eastAsia"/>
      </w:rPr>
    </w:lvl>
  </w:abstractNum>
  <w:abstractNum w:abstractNumId="3">
    <w:nsid w:val="27254C28"/>
    <w:multiLevelType w:val="singleLevel"/>
    <w:tmpl w:val="27254C28"/>
    <w:lvl w:ilvl="0" w:tentative="0">
      <w:start w:val="2"/>
      <w:numFmt w:val="decimal"/>
      <w:suff w:val="nothing"/>
      <w:lvlText w:val="（%1）"/>
      <w:lvlJc w:val="left"/>
    </w:lvl>
  </w:abstractNum>
  <w:abstractNum w:abstractNumId="4">
    <w:nsid w:val="5D0214CA"/>
    <w:multiLevelType w:val="singleLevel"/>
    <w:tmpl w:val="5D0214CA"/>
    <w:lvl w:ilvl="0" w:tentative="0">
      <w:start w:val="4"/>
      <w:numFmt w:val="chineseCounting"/>
      <w:suff w:val="nothing"/>
      <w:lvlText w:val="（%1）"/>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YjI3MDZjNWU0MDNlYjlmZWY0MDE2M2UzZjJkY2QifQ=="/>
  </w:docVars>
  <w:rsids>
    <w:rsidRoot w:val="1ED0381D"/>
    <w:rsid w:val="002D00B5"/>
    <w:rsid w:val="00D70262"/>
    <w:rsid w:val="018F2D13"/>
    <w:rsid w:val="02953D9A"/>
    <w:rsid w:val="03791D26"/>
    <w:rsid w:val="0466605A"/>
    <w:rsid w:val="04F35073"/>
    <w:rsid w:val="061D2748"/>
    <w:rsid w:val="06D7231D"/>
    <w:rsid w:val="075D6C6A"/>
    <w:rsid w:val="0773304F"/>
    <w:rsid w:val="089D1D43"/>
    <w:rsid w:val="0A653AEA"/>
    <w:rsid w:val="0AAB1747"/>
    <w:rsid w:val="0B1D2C50"/>
    <w:rsid w:val="0B473936"/>
    <w:rsid w:val="0B820553"/>
    <w:rsid w:val="0B8A1B09"/>
    <w:rsid w:val="0C805687"/>
    <w:rsid w:val="0D053BAB"/>
    <w:rsid w:val="0D594F94"/>
    <w:rsid w:val="0E1F698E"/>
    <w:rsid w:val="0FA9052D"/>
    <w:rsid w:val="10163FB4"/>
    <w:rsid w:val="10A536CA"/>
    <w:rsid w:val="12B55B02"/>
    <w:rsid w:val="13DD192D"/>
    <w:rsid w:val="147F7E6C"/>
    <w:rsid w:val="14C85364"/>
    <w:rsid w:val="14FA613E"/>
    <w:rsid w:val="15053ED9"/>
    <w:rsid w:val="15BA67E3"/>
    <w:rsid w:val="15EB6487"/>
    <w:rsid w:val="166918D6"/>
    <w:rsid w:val="170F0F4F"/>
    <w:rsid w:val="176724C1"/>
    <w:rsid w:val="18AF7F70"/>
    <w:rsid w:val="1A431FF4"/>
    <w:rsid w:val="1A4469D3"/>
    <w:rsid w:val="1B746107"/>
    <w:rsid w:val="1CD64124"/>
    <w:rsid w:val="1E0072C5"/>
    <w:rsid w:val="1E1E7AD2"/>
    <w:rsid w:val="1ED0381D"/>
    <w:rsid w:val="20FE50B8"/>
    <w:rsid w:val="210F400E"/>
    <w:rsid w:val="229A281A"/>
    <w:rsid w:val="2383657E"/>
    <w:rsid w:val="23F45765"/>
    <w:rsid w:val="242E73FF"/>
    <w:rsid w:val="246C5345"/>
    <w:rsid w:val="24AB40AF"/>
    <w:rsid w:val="24FC6952"/>
    <w:rsid w:val="26CC76FD"/>
    <w:rsid w:val="272308AF"/>
    <w:rsid w:val="28064C78"/>
    <w:rsid w:val="2864072E"/>
    <w:rsid w:val="2A3E38E1"/>
    <w:rsid w:val="2BF2458F"/>
    <w:rsid w:val="2F3B562F"/>
    <w:rsid w:val="2FC8494E"/>
    <w:rsid w:val="302D5928"/>
    <w:rsid w:val="314B37FB"/>
    <w:rsid w:val="31B733F7"/>
    <w:rsid w:val="330238B3"/>
    <w:rsid w:val="35897450"/>
    <w:rsid w:val="385D1A98"/>
    <w:rsid w:val="387D20F3"/>
    <w:rsid w:val="38F70388"/>
    <w:rsid w:val="3A4434B4"/>
    <w:rsid w:val="3B055E9C"/>
    <w:rsid w:val="3D28036F"/>
    <w:rsid w:val="3D8407DF"/>
    <w:rsid w:val="3DFF32ED"/>
    <w:rsid w:val="3F503091"/>
    <w:rsid w:val="4008265B"/>
    <w:rsid w:val="41851E44"/>
    <w:rsid w:val="420B5D06"/>
    <w:rsid w:val="4248700C"/>
    <w:rsid w:val="429A3207"/>
    <w:rsid w:val="452A0524"/>
    <w:rsid w:val="465670F7"/>
    <w:rsid w:val="471D22FA"/>
    <w:rsid w:val="472B48D8"/>
    <w:rsid w:val="4741375D"/>
    <w:rsid w:val="47C702DF"/>
    <w:rsid w:val="48422B9F"/>
    <w:rsid w:val="488947B6"/>
    <w:rsid w:val="4FB64197"/>
    <w:rsid w:val="50572E30"/>
    <w:rsid w:val="51AA26CF"/>
    <w:rsid w:val="51AA5E26"/>
    <w:rsid w:val="52324C02"/>
    <w:rsid w:val="52C93A96"/>
    <w:rsid w:val="531A3416"/>
    <w:rsid w:val="538C5F53"/>
    <w:rsid w:val="54474AB6"/>
    <w:rsid w:val="5582405A"/>
    <w:rsid w:val="56051C6B"/>
    <w:rsid w:val="563F4648"/>
    <w:rsid w:val="5785783C"/>
    <w:rsid w:val="57C07DEE"/>
    <w:rsid w:val="58FE3115"/>
    <w:rsid w:val="592D7B67"/>
    <w:rsid w:val="59D947AF"/>
    <w:rsid w:val="59F96CB8"/>
    <w:rsid w:val="5BD23E00"/>
    <w:rsid w:val="5BF47018"/>
    <w:rsid w:val="5C653576"/>
    <w:rsid w:val="5E5C14C1"/>
    <w:rsid w:val="5F635E4B"/>
    <w:rsid w:val="60404B5F"/>
    <w:rsid w:val="6134696F"/>
    <w:rsid w:val="61EE3D1B"/>
    <w:rsid w:val="62460F4D"/>
    <w:rsid w:val="62A365B5"/>
    <w:rsid w:val="65B7439B"/>
    <w:rsid w:val="66607F61"/>
    <w:rsid w:val="67606C1C"/>
    <w:rsid w:val="676942F4"/>
    <w:rsid w:val="678D2DEF"/>
    <w:rsid w:val="68EA113C"/>
    <w:rsid w:val="699E67D8"/>
    <w:rsid w:val="69B23FEC"/>
    <w:rsid w:val="69E141D5"/>
    <w:rsid w:val="69F87A79"/>
    <w:rsid w:val="6C540332"/>
    <w:rsid w:val="6DBE3A60"/>
    <w:rsid w:val="6E8A04A9"/>
    <w:rsid w:val="6F3075D5"/>
    <w:rsid w:val="6F5403ED"/>
    <w:rsid w:val="6F540C4C"/>
    <w:rsid w:val="71A236EE"/>
    <w:rsid w:val="73843559"/>
    <w:rsid w:val="75AC088F"/>
    <w:rsid w:val="76590D5F"/>
    <w:rsid w:val="775A5DB7"/>
    <w:rsid w:val="77AD3FB4"/>
    <w:rsid w:val="781B6398"/>
    <w:rsid w:val="7839395D"/>
    <w:rsid w:val="788B613B"/>
    <w:rsid w:val="78935A62"/>
    <w:rsid w:val="7920167B"/>
    <w:rsid w:val="7A3E4F09"/>
    <w:rsid w:val="7BF11232"/>
    <w:rsid w:val="7CE442E1"/>
    <w:rsid w:val="7CEE0D2E"/>
    <w:rsid w:val="7CF76871"/>
    <w:rsid w:val="7D804F3A"/>
    <w:rsid w:val="7E2B2CA4"/>
    <w:rsid w:val="7E791462"/>
    <w:rsid w:val="7F5446E0"/>
    <w:rsid w:val="7F9C2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6"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0"/>
    <w:pPr>
      <w:spacing w:beforeLines="0" w:after="120" w:afterLines="0"/>
    </w:pPr>
    <w:rPr>
      <w:rFonts w:hint="eastAsia"/>
      <w:sz w:val="16"/>
    </w:rPr>
  </w:style>
  <w:style w:type="paragraph" w:styleId="3">
    <w:name w:val="Body Text"/>
    <w:basedOn w:val="1"/>
    <w:next w:val="4"/>
    <w:qFormat/>
    <w:uiPriority w:val="0"/>
    <w:pPr>
      <w:widowControl w:val="0"/>
      <w:spacing w:after="120"/>
      <w:jc w:val="both"/>
    </w:pPr>
    <w:rPr>
      <w:rFonts w:ascii="Calibri" w:hAnsi="Calibri" w:eastAsia="宋体" w:cs="黑体"/>
      <w:kern w:val="2"/>
      <w:sz w:val="21"/>
      <w:szCs w:val="24"/>
      <w:lang w:val="en-US" w:eastAsia="zh-CN" w:bidi="ar-SA"/>
    </w:rPr>
  </w:style>
  <w:style w:type="paragraph" w:styleId="4">
    <w:name w:val="toc 5"/>
    <w:basedOn w:val="1"/>
    <w:next w:val="1"/>
    <w:qFormat/>
    <w:uiPriority w:val="0"/>
    <w:pPr>
      <w:ind w:left="1680" w:leftChars="8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60" b="0" i="0" u="none" strike="noStrike" kern="1200" spc="0" baseline="0">
                <a:solidFill>
                  <a:schemeClr val="tx1">
                    <a:lumMod val="65000"/>
                    <a:lumOff val="35000"/>
                  </a:schemeClr>
                </a:solidFill>
                <a:latin typeface="+mn-lt"/>
                <a:ea typeface="+mn-ea"/>
                <a:cs typeface="+mn-cs"/>
              </a:defRPr>
            </a:pPr>
            <a:r>
              <a:rPr sz="960"/>
              <a:t>紫阳县财政局双桥财政所人员情况图</a:t>
            </a:r>
            <a:endParaRPr sz="960"/>
          </a:p>
        </c:rich>
      </c:tx>
      <c:layout>
        <c:manualLayout>
          <c:xMode val="edge"/>
          <c:yMode val="edge"/>
          <c:x val="0.284961349262122"/>
          <c:y val="0.00628403854210306"/>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1"/>
              </a:solidFill>
              <a:ln w="19050">
                <a:solidFill>
                  <a:schemeClr val="lt1"/>
                </a:solidFill>
              </a:ln>
              <a:effectLst/>
            </c:spPr>
          </c:dPt>
          <c:dLbls>
            <c:dLbl>
              <c:idx val="0"/>
              <c:delete val="1"/>
            </c:dLbl>
            <c:dLbl>
              <c:idx val="1"/>
              <c:layout/>
              <c:tx>
                <c:rich>
                  <a:bodyPr rot="0" spcFirstLastPara="0" vertOverflow="ellipsis" vert="horz" wrap="square" lIns="38100" tIns="19050" rIns="38100" bIns="19050" anchor="ctr" anchorCtr="1"/>
                  <a:lstStyle/>
                  <a:p>
                    <a:pPr defTabSz="914400">
                      <a:defRPr lang="zh-CN" sz="800" b="0" i="0" u="none" strike="noStrike" kern="1200" baseline="0">
                        <a:solidFill>
                          <a:schemeClr val="tx1">
                            <a:lumMod val="75000"/>
                            <a:lumOff val="25000"/>
                          </a:schemeClr>
                        </a:solidFill>
                        <a:latin typeface="+mn-lt"/>
                        <a:ea typeface="+mn-ea"/>
                        <a:cs typeface="+mn-cs"/>
                      </a:defRPr>
                    </a:pPr>
                    <a:r>
                      <a:rPr lang="en-US" altLang="zh-CN" sz="800"/>
                      <a:t>100</a:t>
                    </a:r>
                    <a:r>
                      <a:rPr sz="800"/>
                      <a:t>%</a:t>
                    </a:r>
                    <a:endParaRPr sz="800"/>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事业人员</c:v>
                </c:pt>
                <c:pt idx="1">
                  <c:v>行政人员</c:v>
                </c:pt>
              </c:strCache>
            </c:strRef>
          </c:cat>
          <c:val>
            <c:numRef>
              <c:f>Sheet1!$B$2:$B$3</c:f>
              <c:numCache>
                <c:formatCode>General</c:formatCode>
                <c:ptCount val="2"/>
                <c:pt idx="0">
                  <c:v>0</c:v>
                </c:pt>
                <c:pt idx="1">
                  <c:v>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3057</Words>
  <Characters>3328</Characters>
  <Lines>0</Lines>
  <Paragraphs>0</Paragraphs>
  <TotalTime>23</TotalTime>
  <ScaleCrop>false</ScaleCrop>
  <LinksUpToDate>false</LinksUpToDate>
  <CharactersWithSpaces>3363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2019-11-29T08:56:00Z</dcterms:created>
  <dc:creator>郭超(拟稿)</dc:creator>
  <cp:lastModifiedBy>zhu</cp:lastModifiedBy>
  <cp:lastPrinted>2020-08-03T08:28:00Z</cp:lastPrinted>
  <dcterms:modified xsi:type="dcterms:W3CDTF">2023-09-21T08:06:58Z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CAF4C4EA64404B83B4E6BE0114410B71</vt:lpwstr>
  </property>
</Properties>
</file>