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紫阳县财政局</w:t>
      </w:r>
      <w:r>
        <w:rPr>
          <w:rFonts w:hint="default" w:ascii="黑体" w:hAnsi="黑体" w:eastAsia="黑体" w:cs="黑体"/>
          <w:sz w:val="32"/>
          <w:szCs w:val="32"/>
          <w:lang w:eastAsia="zh-CN"/>
        </w:rPr>
        <w:t>毛坝</w:t>
      </w:r>
      <w:r>
        <w:rPr>
          <w:rFonts w:hint="eastAsia" w:ascii="黑体" w:hAnsi="黑体" w:eastAsia="黑体" w:cs="黑体"/>
          <w:sz w:val="32"/>
          <w:szCs w:val="32"/>
          <w:lang w:eastAsia="zh-CN"/>
        </w:rPr>
        <w:t>财政所</w:t>
      </w:r>
    </w:p>
    <w:p>
      <w:pPr>
        <w:spacing w:line="360" w:lineRule="auto"/>
        <w:ind w:firstLine="640"/>
        <w:jc w:val="center"/>
        <w:rPr>
          <w:rFonts w:ascii="黑体" w:hAnsi="黑体" w:eastAsia="黑体" w:cs="黑体"/>
          <w:sz w:val="32"/>
          <w:szCs w:val="32"/>
        </w:rPr>
      </w:pPr>
      <w:r>
        <w:rPr>
          <w:rFonts w:hint="eastAsia"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年单位预算公开说明</w:t>
      </w:r>
    </w:p>
    <w:p>
      <w:pPr>
        <w:spacing w:line="360" w:lineRule="auto"/>
        <w:ind w:firstLine="643"/>
        <w:jc w:val="center"/>
        <w:rPr>
          <w:rFonts w:hint="eastAsia" w:ascii="仿宋" w:hAnsi="仿宋" w:eastAsia="仿宋" w:cs="仿宋"/>
          <w:b/>
          <w:bCs/>
          <w:sz w:val="32"/>
          <w:szCs w:val="32"/>
        </w:rPr>
      </w:pPr>
      <w:r>
        <w:rPr>
          <w:rFonts w:hint="eastAsia" w:ascii="仿宋" w:hAnsi="仿宋" w:eastAsia="仿宋" w:cs="仿宋"/>
          <w:b/>
          <w:bCs/>
          <w:sz w:val="32"/>
          <w:szCs w:val="32"/>
        </w:rPr>
        <w:t>目  录</w:t>
      </w:r>
    </w:p>
    <w:p>
      <w:pPr>
        <w:spacing w:line="360" w:lineRule="auto"/>
        <w:ind w:firstLine="643"/>
        <w:jc w:val="center"/>
        <w:rPr>
          <w:rFonts w:hint="eastAsia" w:ascii="仿宋" w:hAnsi="仿宋" w:eastAsia="仿宋" w:cs="仿宋"/>
          <w:b/>
          <w:bCs/>
          <w:sz w:val="32"/>
          <w:szCs w:val="32"/>
        </w:rPr>
      </w:pPr>
      <w:r>
        <w:rPr>
          <w:rFonts w:hint="eastAsia" w:ascii="仿宋" w:hAnsi="仿宋" w:eastAsia="仿宋" w:cs="仿宋"/>
          <w:b/>
          <w:bCs/>
          <w:sz w:val="32"/>
          <w:szCs w:val="32"/>
        </w:rPr>
        <w:t>第一部分   单位概况</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一、单位主要职责及机构设置</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二、202</w:t>
      </w:r>
      <w:r>
        <w:rPr>
          <w:rFonts w:hint="eastAsia" w:ascii="仿宋" w:hAnsi="仿宋" w:eastAsia="仿宋" w:cs="仿宋"/>
          <w:sz w:val="32"/>
          <w:szCs w:val="32"/>
          <w:lang w:val="en-US" w:eastAsia="zh-CN"/>
        </w:rPr>
        <w:t>2</w:t>
      </w:r>
      <w:r>
        <w:rPr>
          <w:rFonts w:hint="eastAsia" w:ascii="仿宋" w:hAnsi="仿宋" w:eastAsia="仿宋" w:cs="仿宋"/>
          <w:sz w:val="32"/>
          <w:szCs w:val="32"/>
        </w:rPr>
        <w:t>年年度单位工作任务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三、部门预算单位构成</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、单位人员情况说明</w:t>
      </w:r>
    </w:p>
    <w:p>
      <w:pPr>
        <w:spacing w:line="360" w:lineRule="auto"/>
        <w:ind w:firstLine="643"/>
        <w:jc w:val="center"/>
        <w:rPr>
          <w:rFonts w:hint="eastAsia" w:ascii="仿宋" w:hAnsi="仿宋" w:eastAsia="仿宋" w:cs="仿宋"/>
          <w:b/>
          <w:bCs/>
          <w:sz w:val="32"/>
          <w:szCs w:val="32"/>
        </w:rPr>
      </w:pPr>
      <w:r>
        <w:rPr>
          <w:rFonts w:hint="eastAsia" w:ascii="仿宋" w:hAnsi="仿宋" w:eastAsia="仿宋" w:cs="仿宋"/>
          <w:b/>
          <w:bCs/>
          <w:sz w:val="32"/>
          <w:szCs w:val="32"/>
        </w:rPr>
        <w:t>第二部分   收支情况</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lang w:val="en-US" w:eastAsia="zh-CN"/>
        </w:rPr>
        <w:t>五</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年单位预算收支说明</w:t>
      </w:r>
    </w:p>
    <w:p>
      <w:pPr>
        <w:spacing w:line="360" w:lineRule="auto"/>
        <w:ind w:firstLine="643"/>
        <w:jc w:val="center"/>
        <w:rPr>
          <w:rFonts w:hint="eastAsia" w:ascii="仿宋" w:hAnsi="仿宋" w:eastAsia="仿宋" w:cs="仿宋"/>
          <w:b/>
          <w:bCs/>
          <w:sz w:val="32"/>
          <w:szCs w:val="32"/>
        </w:rPr>
      </w:pPr>
      <w:r>
        <w:rPr>
          <w:rFonts w:hint="eastAsia" w:ascii="仿宋" w:hAnsi="仿宋" w:eastAsia="仿宋" w:cs="仿宋"/>
          <w:b/>
          <w:bCs/>
          <w:sz w:val="32"/>
          <w:szCs w:val="32"/>
        </w:rPr>
        <w:t>第三部分   其他说明情况</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、单位预算“三公”经费等情况说明</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七、单位国有资产占有使用及资产购置情况说明</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八、单位政府采购情况说明</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lang w:val="en-US" w:eastAsia="zh-CN"/>
        </w:rPr>
        <w:t>九</w:t>
      </w:r>
      <w:r>
        <w:rPr>
          <w:rFonts w:hint="eastAsia" w:ascii="仿宋" w:hAnsi="仿宋" w:eastAsia="仿宋" w:cs="仿宋"/>
          <w:sz w:val="32"/>
          <w:szCs w:val="32"/>
        </w:rPr>
        <w:t>、单位预算绩效目标说明</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lang w:val="en-US" w:eastAsia="zh-CN"/>
        </w:rPr>
        <w:t>十</w:t>
      </w:r>
      <w:r>
        <w:rPr>
          <w:rFonts w:hint="eastAsia" w:ascii="仿宋" w:hAnsi="仿宋" w:eastAsia="仿宋" w:cs="仿宋"/>
          <w:sz w:val="32"/>
          <w:szCs w:val="32"/>
        </w:rPr>
        <w:t>、机关运行 经费安排说明</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val="en-US" w:eastAsia="zh-CN"/>
        </w:rPr>
        <w:t>一</w:t>
      </w:r>
      <w:r>
        <w:rPr>
          <w:rFonts w:hint="eastAsia" w:ascii="仿宋" w:hAnsi="仿宋" w:eastAsia="仿宋" w:cs="仿宋"/>
          <w:sz w:val="32"/>
          <w:szCs w:val="32"/>
        </w:rPr>
        <w:t>、专业 名词解释</w:t>
      </w:r>
    </w:p>
    <w:p>
      <w:pPr>
        <w:spacing w:line="360" w:lineRule="auto"/>
        <w:ind w:firstLine="643"/>
        <w:jc w:val="center"/>
        <w:rPr>
          <w:rFonts w:hint="eastAsia" w:ascii="仿宋" w:hAnsi="仿宋" w:eastAsia="仿宋" w:cs="仿宋"/>
          <w:sz w:val="32"/>
          <w:szCs w:val="32"/>
        </w:rPr>
      </w:pPr>
      <w:r>
        <w:rPr>
          <w:rFonts w:hint="eastAsia" w:ascii="仿宋" w:hAnsi="仿宋" w:eastAsia="仿宋" w:cs="仿宋"/>
          <w:b/>
          <w:bCs/>
          <w:sz w:val="32"/>
          <w:szCs w:val="32"/>
        </w:rPr>
        <w:t>第四部分   公开报表</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（具体单位预算公开报表）</w:t>
      </w:r>
    </w:p>
    <w:p>
      <w:pPr>
        <w:spacing w:line="360" w:lineRule="auto"/>
        <w:ind w:firstLine="643"/>
        <w:jc w:val="center"/>
        <w:rPr>
          <w:rFonts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 xml:space="preserve">第一部分  </w:t>
      </w:r>
      <w:r>
        <w:rPr>
          <w:rFonts w:hint="eastAsia" w:ascii="仿宋" w:hAnsi="仿宋" w:eastAsia="仿宋" w:cs="仿宋"/>
          <w:b/>
          <w:bCs/>
          <w:sz w:val="32"/>
          <w:szCs w:val="32"/>
          <w:lang w:eastAsia="zh-CN"/>
        </w:rPr>
        <w:t>单位</w:t>
      </w:r>
      <w:r>
        <w:rPr>
          <w:rFonts w:hint="eastAsia" w:ascii="仿宋" w:hAnsi="仿宋" w:eastAsia="仿宋" w:cs="仿宋"/>
          <w:b/>
          <w:bCs/>
          <w:sz w:val="32"/>
          <w:szCs w:val="32"/>
        </w:rPr>
        <w:t>概况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主要职责及机构设置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（一）单位主要职责</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 w:hAnsi="仿宋" w:eastAsia="仿宋" w:cs="仿宋"/>
          <w:b w:val="0"/>
          <w:bCs w:val="0"/>
          <w:sz w:val="32"/>
          <w:szCs w:val="32"/>
          <w:lang w:val="en-US" w:eastAsia="zh-CN"/>
        </w:rPr>
        <w:t>1.</w:t>
      </w:r>
      <w:r>
        <w:rPr>
          <w:rFonts w:hint="eastAsia" w:ascii="仿宋_GB2312" w:hAnsi="仿宋_GB2312" w:eastAsia="仿宋_GB2312" w:cs="仿宋_GB2312"/>
          <w:b w:val="0"/>
          <w:bCs w:val="0"/>
          <w:color w:val="auto"/>
          <w:sz w:val="32"/>
          <w:szCs w:val="32"/>
        </w:rPr>
        <w:t>负责组织和管理镇财政收入和支出，组织编制执行镇年度预决算；</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负责镇非税收入的管理；负责镇级部门预算资金和各类财政专项资金的监管；</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负责居民补贴资金的发放和监管；</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按照财政财务体制划分负责</w:t>
      </w:r>
      <w:r>
        <w:rPr>
          <w:rFonts w:hint="eastAsia" w:ascii="仿宋_GB2312" w:hAnsi="仿宋_GB2312" w:eastAsia="仿宋_GB2312" w:cs="仿宋_GB2312"/>
          <w:b w:val="0"/>
          <w:bCs w:val="0"/>
          <w:color w:val="auto"/>
          <w:sz w:val="32"/>
          <w:szCs w:val="32"/>
          <w:lang w:eastAsia="zh-CN"/>
        </w:rPr>
        <w:t>对</w:t>
      </w:r>
      <w:r>
        <w:rPr>
          <w:rFonts w:hint="eastAsia" w:ascii="仿宋_GB2312" w:hAnsi="仿宋_GB2312" w:eastAsia="仿宋_GB2312" w:cs="仿宋_GB2312"/>
          <w:b w:val="0"/>
          <w:bCs w:val="0"/>
          <w:color w:val="auto"/>
          <w:sz w:val="32"/>
          <w:szCs w:val="32"/>
        </w:rPr>
        <w:t>镇政府辖区内各单位的财政财务和政府采购</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rPr>
        <w:t>监管；</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负责镇债权债务监管；</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负责镇公共资产管理利用及村集体资产监管；</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负责农村财务管理指导、服务和监督；</w:t>
      </w:r>
    </w:p>
    <w:p>
      <w:pPr>
        <w:keepNext w:val="0"/>
        <w:keepLines w:val="0"/>
        <w:pageBreakBefore w:val="0"/>
        <w:kinsoku/>
        <w:wordWrap/>
        <w:overflowPunct/>
        <w:topLinePunct w:val="0"/>
        <w:autoSpaceDE w:val="0"/>
        <w:autoSpaceDN/>
        <w:bidi w:val="0"/>
        <w:adjustRightInd/>
        <w:snapToGrid/>
        <w:spacing w:line="560" w:lineRule="exact"/>
        <w:ind w:firstLine="640" w:firstLineChars="200"/>
        <w:textAlignment w:val="auto"/>
        <w:rPr>
          <w:rFonts w:hint="eastAsia" w:ascii="楷体" w:hAnsi="楷体" w:eastAsia="楷体"/>
          <w:b/>
          <w:bCs/>
          <w:color w:val="auto"/>
          <w:sz w:val="32"/>
          <w:szCs w:val="32"/>
        </w:rPr>
      </w:pP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承担上级财政部门和法律法规赋予的其他工作等。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green"/>
        </w:rPr>
      </w:pPr>
      <w:r>
        <w:rPr>
          <w:rFonts w:hint="eastAsia" w:ascii="仿宋" w:hAnsi="仿宋" w:eastAsia="仿宋" w:cs="仿宋"/>
          <w:sz w:val="32"/>
          <w:szCs w:val="32"/>
          <w:lang w:val="en-US" w:eastAsia="zh-CN"/>
        </w:rPr>
        <w:t>依据部门三定方案，</w:t>
      </w:r>
      <w:r>
        <w:rPr>
          <w:rFonts w:hint="eastAsia" w:ascii="仿宋" w:hAnsi="仿宋" w:eastAsia="仿宋" w:cs="仿宋"/>
          <w:sz w:val="32"/>
          <w:szCs w:val="32"/>
          <w:highlight w:val="none"/>
          <w:lang w:val="en-US" w:eastAsia="zh-CN"/>
        </w:rPr>
        <w:t>本单位现设紫阳县财政局</w:t>
      </w:r>
      <w:r>
        <w:rPr>
          <w:rFonts w:hint="default" w:ascii="仿宋" w:hAnsi="仿宋" w:eastAsia="仿宋" w:cs="仿宋"/>
          <w:sz w:val="32"/>
          <w:szCs w:val="32"/>
          <w:highlight w:val="none"/>
          <w:lang w:eastAsia="zh-CN"/>
        </w:rPr>
        <w:t>毛坝</w:t>
      </w:r>
      <w:r>
        <w:rPr>
          <w:rFonts w:hint="eastAsia" w:ascii="仿宋" w:hAnsi="仿宋" w:eastAsia="仿宋" w:cs="仿宋"/>
          <w:sz w:val="32"/>
          <w:szCs w:val="32"/>
          <w:highlight w:val="none"/>
          <w:lang w:val="en-US" w:eastAsia="zh-CN"/>
        </w:rPr>
        <w:t>财政所。</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2022年年度单位</w:t>
      </w:r>
      <w:r>
        <w:rPr>
          <w:rFonts w:hint="eastAsia" w:ascii="仿宋" w:hAnsi="仿宋" w:eastAsia="仿宋" w:cs="仿宋"/>
          <w:b/>
          <w:bCs/>
          <w:sz w:val="32"/>
          <w:szCs w:val="32"/>
        </w:rPr>
        <w:t>工作任务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（一）增强财政保障能力。</w:t>
      </w:r>
      <w:r>
        <w:rPr>
          <w:rFonts w:hint="eastAsia" w:ascii="仿宋" w:hAnsi="仿宋" w:eastAsia="仿宋" w:cs="仿宋"/>
          <w:sz w:val="32"/>
          <w:szCs w:val="32"/>
          <w:lang w:eastAsia="zh-CN"/>
        </w:rPr>
        <w:t>坚持依法理财，强化部门主体责任。贯彻落实预算法关于“政府的全部收入和支出都应当纳入预算，经人大会批准的预算，非经法定程序不得调整”的规定，全面落实本单位的预算编制、执行、公开和预算监督的主体的责任。按照“先有预算、后有支出”的要求，强化预算编制的严肃性和预算执行的约束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树立过“紧日子”思想。一是牢固树立过“紧日子”的思想，坚持依法理财、科学理财，对日常性支出从严审核，严格控制一般性支出和“三公”经费支出，降低行政运行成本，反对铺张浪费。二是加大资金使用监督力度，提高财政资金使用的安全性、规范性和有效性，确保财政运行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加强村级财务监管。一是严格按照村级财务管理制度化、规范化的工作要求，切实加强村级财务管理。二是坚持日常管理，严格审批手续，严格执行村集体财务会签制度，不准越权审批和超限额审批，从源头上杜绝不合规财务行为发生。三是规范财务公开，实行民主监督，按照“及时公开、如实公开、全部公开”的原则，指导监督村级财务公开，确保农民群众对农村财务的管理权、知情权、监督权。</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切实抓好民生保障。一是加强惠农补贴资金发放工作，做到信息随时维护和更新，不出现差错，信息变更程序化，确保惠农资金“一卡通”兑付及时准确无误，强化社会政策兜底保障功能。二是认真落实脱贫攻坚和乡村振兴财政资金的项目实施，确保项目资金规范化、程序化，安全有效使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从预算单位构成看，本部门的部门预算包括部门本级（机关）预算和所属事业单位预算。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纳入本部门</w:t>
      </w:r>
      <w:r>
        <w:rPr>
          <w:rFonts w:hint="eastAsia" w:ascii="仿宋" w:hAnsi="仿宋" w:eastAsia="仿宋" w:cs="仿宋"/>
          <w:sz w:val="32"/>
          <w:szCs w:val="32"/>
          <w:lang w:eastAsia="zh-CN"/>
        </w:rPr>
        <w:t>2022年</w:t>
      </w:r>
      <w:r>
        <w:rPr>
          <w:rFonts w:hint="eastAsia" w:ascii="仿宋" w:hAnsi="仿宋" w:eastAsia="仿宋" w:cs="仿宋"/>
          <w:sz w:val="32"/>
          <w:szCs w:val="32"/>
        </w:rPr>
        <w:t>部门预算编制范围的二级预算单位共有</w:t>
      </w:r>
      <w:r>
        <w:rPr>
          <w:rFonts w:hint="eastAsia" w:ascii="仿宋" w:hAnsi="仿宋" w:eastAsia="仿宋" w:cs="仿宋"/>
          <w:sz w:val="32"/>
          <w:szCs w:val="32"/>
          <w:lang w:val="en-US" w:eastAsia="zh-CN"/>
        </w:rPr>
        <w:t>1</w:t>
      </w:r>
      <w:r>
        <w:rPr>
          <w:rFonts w:hint="eastAsia" w:ascii="仿宋" w:hAnsi="仿宋" w:eastAsia="仿宋" w:cs="仿宋"/>
          <w:sz w:val="32"/>
          <w:szCs w:val="32"/>
        </w:rPr>
        <w:t>个，包括：</w:t>
      </w:r>
    </w:p>
    <w:tbl>
      <w:tblPr>
        <w:tblStyle w:val="2"/>
        <w:tblW w:w="8431" w:type="dxa"/>
        <w:jc w:val="center"/>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46"/>
        <w:gridCol w:w="5098"/>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46"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序号</w:t>
            </w:r>
          </w:p>
        </w:tc>
        <w:tc>
          <w:tcPr>
            <w:tcW w:w="5098"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单位名称</w:t>
            </w:r>
          </w:p>
        </w:tc>
        <w:tc>
          <w:tcPr>
            <w:tcW w:w="208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拟变动情况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246"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1</w:t>
            </w:r>
          </w:p>
        </w:tc>
        <w:tc>
          <w:tcPr>
            <w:tcW w:w="5098"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紫阳县财政局毛坝财政所</w:t>
            </w:r>
          </w:p>
        </w:tc>
        <w:tc>
          <w:tcPr>
            <w:tcW w:w="208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outlineLvl w:val="9"/>
              <w:rPr>
                <w:rFonts w:hint="eastAsia" w:ascii="仿宋" w:hAnsi="仿宋" w:eastAsia="仿宋" w:cs="仿宋"/>
                <w:sz w:val="32"/>
                <w:szCs w:val="32"/>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人员情况说明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5080000" cy="3810000"/>
            <wp:effectExtent l="4445" t="4445" r="5715" b="10795"/>
            <wp:docPr id="1" name="图表 1" descr="7b0a202020202263686172745265734964223a202234363639393035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截止</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w:t>
      </w:r>
      <w:r>
        <w:rPr>
          <w:rFonts w:hint="eastAsia" w:ascii="仿宋" w:hAnsi="仿宋" w:eastAsia="仿宋" w:cs="仿宋"/>
          <w:sz w:val="32"/>
          <w:szCs w:val="32"/>
        </w:rPr>
        <w:t>底，本</w:t>
      </w:r>
      <w:r>
        <w:rPr>
          <w:rFonts w:hint="eastAsia" w:ascii="仿宋" w:hAnsi="仿宋" w:eastAsia="仿宋" w:cs="仿宋"/>
          <w:sz w:val="32"/>
          <w:szCs w:val="32"/>
          <w:lang w:eastAsia="zh-CN"/>
        </w:rPr>
        <w:t>单位</w:t>
      </w:r>
      <w:r>
        <w:rPr>
          <w:rFonts w:hint="eastAsia" w:ascii="仿宋" w:hAnsi="仿宋" w:eastAsia="仿宋" w:cs="仿宋"/>
          <w:sz w:val="32"/>
          <w:szCs w:val="32"/>
        </w:rPr>
        <w:t>人员编制</w:t>
      </w:r>
      <w:r>
        <w:rPr>
          <w:rFonts w:hint="eastAsia" w:ascii="仿宋" w:hAnsi="仿宋" w:eastAsia="仿宋" w:cs="仿宋"/>
          <w:sz w:val="32"/>
          <w:szCs w:val="32"/>
          <w:lang w:val="en-US" w:eastAsia="zh-CN"/>
        </w:rPr>
        <w:t>4</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4</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0</w:t>
      </w:r>
      <w:r>
        <w:rPr>
          <w:rFonts w:hint="eastAsia" w:ascii="仿宋" w:hAnsi="仿宋" w:eastAsia="仿宋" w:cs="仿宋"/>
          <w:sz w:val="32"/>
          <w:szCs w:val="32"/>
        </w:rPr>
        <w:t>人；实有人员</w:t>
      </w:r>
      <w:r>
        <w:rPr>
          <w:rFonts w:hint="eastAsia" w:ascii="仿宋" w:hAnsi="仿宋" w:eastAsia="仿宋" w:cs="仿宋"/>
          <w:sz w:val="32"/>
          <w:szCs w:val="32"/>
          <w:lang w:val="en-US" w:eastAsia="zh-CN"/>
        </w:rPr>
        <w:t>4</w:t>
      </w:r>
      <w:r>
        <w:rPr>
          <w:rFonts w:hint="eastAsia" w:ascii="仿宋" w:hAnsi="仿宋" w:eastAsia="仿宋" w:cs="仿宋"/>
          <w:sz w:val="32"/>
          <w:szCs w:val="32"/>
        </w:rPr>
        <w:t>人，其中行政</w:t>
      </w:r>
      <w:r>
        <w:rPr>
          <w:rFonts w:hint="eastAsia" w:ascii="仿宋" w:hAnsi="仿宋" w:eastAsia="仿宋" w:cs="仿宋"/>
          <w:sz w:val="32"/>
          <w:szCs w:val="32"/>
          <w:lang w:val="en-US" w:eastAsia="zh-CN"/>
        </w:rPr>
        <w:t>4</w:t>
      </w:r>
      <w:r>
        <w:rPr>
          <w:rFonts w:hint="eastAsia" w:ascii="仿宋" w:hAnsi="仿宋" w:eastAsia="仿宋" w:cs="仿宋"/>
          <w:sz w:val="32"/>
          <w:szCs w:val="32"/>
        </w:rPr>
        <w:t>人、事业</w:t>
      </w:r>
      <w:r>
        <w:rPr>
          <w:rFonts w:hint="eastAsia" w:ascii="仿宋" w:hAnsi="仿宋" w:eastAsia="仿宋" w:cs="仿宋"/>
          <w:sz w:val="32"/>
          <w:szCs w:val="32"/>
          <w:lang w:val="en-US" w:eastAsia="zh-CN"/>
        </w:rPr>
        <w:t>0</w:t>
      </w:r>
      <w:r>
        <w:rPr>
          <w:rFonts w:hint="eastAsia" w:ascii="仿宋" w:hAnsi="仿宋" w:eastAsia="仿宋" w:cs="仿宋"/>
          <w:sz w:val="32"/>
          <w:szCs w:val="32"/>
        </w:rPr>
        <w:t>人。单位管理的离退休人员</w:t>
      </w:r>
      <w:r>
        <w:rPr>
          <w:rFonts w:hint="eastAsia" w:ascii="仿宋" w:hAnsi="仿宋" w:eastAsia="仿宋" w:cs="仿宋"/>
          <w:sz w:val="32"/>
          <w:szCs w:val="32"/>
          <w:lang w:val="en-US" w:eastAsia="zh-CN"/>
        </w:rPr>
        <w:t>0</w:t>
      </w:r>
      <w:r>
        <w:rPr>
          <w:rFonts w:hint="eastAsia" w:ascii="仿宋" w:hAnsi="仿宋" w:eastAsia="仿宋" w:cs="仿宋"/>
          <w:sz w:val="32"/>
          <w:szCs w:val="32"/>
        </w:rPr>
        <w:t>人。</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lang w:val="en-US" w:eastAsia="zh-CN"/>
        </w:rPr>
        <w:t xml:space="preserve">     </w:t>
      </w:r>
      <w:r>
        <w:rPr>
          <w:rFonts w:hint="eastAsia" w:ascii="仿宋" w:hAnsi="仿宋" w:eastAsia="仿宋" w:cs="仿宋"/>
          <w:b/>
          <w:bCs/>
          <w:sz w:val="32"/>
          <w:szCs w:val="32"/>
        </w:rPr>
        <w:t>第二部分  收支情况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年单位预算收支说明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收支预算总体情况。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5080000" cy="3810000"/>
            <wp:effectExtent l="4445" t="4445" r="5715" b="107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按照综合预算的原则，本</w:t>
      </w:r>
      <w:r>
        <w:rPr>
          <w:rFonts w:hint="eastAsia" w:ascii="仿宋" w:hAnsi="仿宋" w:eastAsia="仿宋" w:cs="仿宋"/>
          <w:sz w:val="32"/>
          <w:szCs w:val="32"/>
          <w:lang w:eastAsia="zh-CN"/>
        </w:rPr>
        <w:t>单位</w:t>
      </w:r>
      <w:r>
        <w:rPr>
          <w:rFonts w:hint="eastAsia" w:ascii="仿宋" w:hAnsi="仿宋" w:eastAsia="仿宋" w:cs="仿宋"/>
          <w:sz w:val="32"/>
          <w:szCs w:val="32"/>
        </w:rPr>
        <w:t>所有收入和支出均纳入</w:t>
      </w:r>
      <w:r>
        <w:rPr>
          <w:rFonts w:hint="eastAsia" w:ascii="仿宋" w:hAnsi="仿宋" w:eastAsia="仿宋" w:cs="仿宋"/>
          <w:sz w:val="32"/>
          <w:szCs w:val="32"/>
          <w:lang w:val="en-US" w:eastAsia="zh-CN"/>
        </w:rPr>
        <w:t>部门</w:t>
      </w:r>
      <w:r>
        <w:rPr>
          <w:rFonts w:hint="eastAsia" w:ascii="仿宋" w:hAnsi="仿宋" w:eastAsia="仿宋" w:cs="仿宋"/>
          <w:sz w:val="32"/>
          <w:szCs w:val="32"/>
        </w:rPr>
        <w:t>预算管理。</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预算收入</w:t>
      </w:r>
      <w:r>
        <w:rPr>
          <w:rFonts w:hint="eastAsia" w:ascii="仿宋" w:hAnsi="仿宋" w:eastAsia="仿宋" w:cs="仿宋"/>
          <w:sz w:val="32"/>
          <w:szCs w:val="32"/>
          <w:lang w:val="en-US" w:eastAsia="zh-CN"/>
        </w:rPr>
        <w:t>59.47</w:t>
      </w:r>
      <w:r>
        <w:rPr>
          <w:rFonts w:hint="eastAsia" w:ascii="仿宋" w:hAnsi="仿宋" w:eastAsia="仿宋" w:cs="仿宋"/>
          <w:sz w:val="32"/>
          <w:szCs w:val="32"/>
        </w:rPr>
        <w:t>万元，其中一般公共预算拨款收入</w:t>
      </w:r>
      <w:r>
        <w:rPr>
          <w:rFonts w:hint="eastAsia" w:ascii="仿宋" w:hAnsi="仿宋" w:eastAsia="仿宋" w:cs="仿宋"/>
          <w:sz w:val="32"/>
          <w:szCs w:val="32"/>
          <w:lang w:val="en-US" w:eastAsia="zh-CN"/>
        </w:rPr>
        <w:t>59.47</w:t>
      </w:r>
      <w:r>
        <w:rPr>
          <w:rFonts w:hint="eastAsia" w:ascii="仿宋" w:hAnsi="仿宋" w:eastAsia="仿宋" w:cs="仿宋"/>
          <w:sz w:val="32"/>
          <w:szCs w:val="32"/>
        </w:rPr>
        <w:t>万元、政府性基金拨款收入</w:t>
      </w:r>
      <w:r>
        <w:rPr>
          <w:rFonts w:hint="eastAsia" w:ascii="仿宋" w:hAnsi="仿宋" w:eastAsia="仿宋" w:cs="仿宋"/>
          <w:sz w:val="32"/>
          <w:szCs w:val="32"/>
          <w:lang w:val="en-US" w:eastAsia="zh-CN"/>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上级补助收入0.00万元、事业收入0.00万元、事业单位经营收入0.00万元、对附属单位上缴收入0.00万元、用事业基金弥补收支差额0.00万元、上年结转0.00万元、上年实户资金余额0.00万元、其他收入0.00万元</w:t>
      </w:r>
      <w:r>
        <w:rPr>
          <w:rFonts w:hint="eastAsia" w:ascii="仿宋" w:hAnsi="仿宋" w:eastAsia="仿宋" w:cs="仿宋"/>
          <w:sz w:val="32"/>
          <w:szCs w:val="32"/>
        </w:rPr>
        <w:t>，</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预算收入较上年增加</w:t>
      </w:r>
      <w:r>
        <w:rPr>
          <w:rFonts w:hint="eastAsia" w:ascii="仿宋" w:hAnsi="仿宋" w:eastAsia="仿宋" w:cs="仿宋"/>
          <w:sz w:val="32"/>
          <w:szCs w:val="32"/>
          <w:lang w:val="en-US" w:eastAsia="zh-CN"/>
        </w:rPr>
        <w:t>59.47</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2021年预算在政府一起</w:t>
      </w:r>
      <w:r>
        <w:rPr>
          <w:rFonts w:hint="eastAsia" w:ascii="仿宋" w:hAnsi="仿宋" w:eastAsia="仿宋" w:cs="仿宋"/>
          <w:sz w:val="32"/>
          <w:szCs w:val="32"/>
        </w:rPr>
        <w:t>；</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预算支出</w:t>
      </w:r>
      <w:r>
        <w:rPr>
          <w:rFonts w:hint="eastAsia" w:ascii="仿宋" w:hAnsi="仿宋" w:eastAsia="仿宋" w:cs="仿宋"/>
          <w:sz w:val="32"/>
          <w:szCs w:val="32"/>
          <w:lang w:val="en-US" w:eastAsia="zh-CN"/>
        </w:rPr>
        <w:t>59.47</w:t>
      </w:r>
      <w:r>
        <w:rPr>
          <w:rFonts w:hint="eastAsia" w:ascii="仿宋" w:hAnsi="仿宋" w:eastAsia="仿宋" w:cs="仿宋"/>
          <w:sz w:val="32"/>
          <w:szCs w:val="32"/>
        </w:rPr>
        <w:t>万元，其中一般公共预算拨款支出</w:t>
      </w:r>
      <w:r>
        <w:rPr>
          <w:rFonts w:hint="eastAsia" w:ascii="仿宋" w:hAnsi="仿宋" w:eastAsia="仿宋" w:cs="仿宋"/>
          <w:sz w:val="32"/>
          <w:szCs w:val="32"/>
          <w:lang w:val="en-US" w:eastAsia="zh-CN"/>
        </w:rPr>
        <w:t>59.47</w:t>
      </w:r>
      <w:r>
        <w:rPr>
          <w:rFonts w:hint="eastAsia" w:ascii="仿宋" w:hAnsi="仿宋" w:eastAsia="仿宋" w:cs="仿宋"/>
          <w:sz w:val="32"/>
          <w:szCs w:val="32"/>
        </w:rPr>
        <w:t>万元、政府性基金拨款支出</w:t>
      </w:r>
      <w:r>
        <w:rPr>
          <w:rFonts w:hint="eastAsia" w:ascii="仿宋" w:hAnsi="仿宋" w:eastAsia="仿宋" w:cs="仿宋"/>
          <w:sz w:val="32"/>
          <w:szCs w:val="32"/>
          <w:lang w:val="en-US" w:eastAsia="zh-CN"/>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事业支出0.00万元、事业单位经营支出0.00万元、对附属单位上缴支出0.00万元、上年实户资金余额支出0.00万元、其他支出0.00万元、上年结转支出0.00万元</w:t>
      </w:r>
      <w:r>
        <w:rPr>
          <w:rFonts w:hint="eastAsia" w:ascii="仿宋" w:hAnsi="仿宋" w:eastAsia="仿宋" w:cs="仿宋"/>
          <w:sz w:val="32"/>
          <w:szCs w:val="32"/>
        </w:rPr>
        <w:t>，</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预算支出较上年增加</w:t>
      </w:r>
      <w:r>
        <w:rPr>
          <w:rFonts w:hint="eastAsia" w:ascii="仿宋" w:hAnsi="仿宋" w:eastAsia="仿宋" w:cs="仿宋"/>
          <w:sz w:val="32"/>
          <w:szCs w:val="32"/>
          <w:lang w:val="en-US" w:eastAsia="zh-CN"/>
        </w:rPr>
        <w:t>59.47</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2021年预算在政府一起</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财政拨款收支情况。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4906645" cy="3671570"/>
            <wp:effectExtent l="4445" t="4445" r="11430" b="1206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outlineLvl w:val="9"/>
        <w:rPr>
          <w:rFonts w:hint="eastAsia" w:ascii="仿宋" w:hAnsi="仿宋" w:eastAsia="仿宋" w:cs="仿宋"/>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财政拨款收入</w:t>
      </w:r>
      <w:r>
        <w:rPr>
          <w:rFonts w:hint="eastAsia" w:ascii="仿宋" w:hAnsi="仿宋" w:eastAsia="仿宋" w:cs="仿宋"/>
          <w:sz w:val="32"/>
          <w:szCs w:val="32"/>
          <w:lang w:val="en-US" w:eastAsia="zh-CN"/>
        </w:rPr>
        <w:t>59.47</w:t>
      </w:r>
      <w:r>
        <w:rPr>
          <w:rFonts w:hint="eastAsia" w:ascii="仿宋" w:hAnsi="仿宋" w:eastAsia="仿宋" w:cs="仿宋"/>
          <w:sz w:val="32"/>
          <w:szCs w:val="32"/>
        </w:rPr>
        <w:t>万元，其中一般公共预算拨款收入</w:t>
      </w:r>
      <w:r>
        <w:rPr>
          <w:rFonts w:hint="eastAsia" w:ascii="仿宋" w:hAnsi="仿宋" w:eastAsia="仿宋" w:cs="仿宋"/>
          <w:sz w:val="32"/>
          <w:szCs w:val="32"/>
          <w:lang w:val="en-US" w:eastAsia="zh-CN"/>
        </w:rPr>
        <w:t>59.47</w:t>
      </w:r>
      <w:r>
        <w:rPr>
          <w:rFonts w:hint="eastAsia" w:ascii="仿宋" w:hAnsi="仿宋" w:eastAsia="仿宋" w:cs="仿宋"/>
          <w:sz w:val="32"/>
          <w:szCs w:val="32"/>
        </w:rPr>
        <w:t>万元、政府性基金拨款收入</w:t>
      </w:r>
      <w:r>
        <w:rPr>
          <w:rFonts w:hint="eastAsia" w:ascii="仿宋" w:hAnsi="仿宋" w:eastAsia="仿宋" w:cs="仿宋"/>
          <w:sz w:val="32"/>
          <w:szCs w:val="32"/>
          <w:lang w:val="en-US" w:eastAsia="zh-CN"/>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上级补助收入0.00万元、事业收入0.00万元、事业单位经营收入0.00万元、对附属单位上缴收入0.00万元、用事业基金弥补收支差额0.00万元、上年结转0.00万元、上年实户资金余额0.00万元、其他收入0.00万元</w:t>
      </w:r>
      <w:r>
        <w:rPr>
          <w:rFonts w:hint="eastAsia" w:ascii="仿宋" w:hAnsi="仿宋" w:eastAsia="仿宋" w:cs="仿宋"/>
          <w:sz w:val="32"/>
          <w:szCs w:val="32"/>
        </w:rPr>
        <w:t>，</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财政拨款收入较上年增加</w:t>
      </w:r>
      <w:r>
        <w:rPr>
          <w:rFonts w:hint="eastAsia" w:ascii="仿宋" w:hAnsi="仿宋" w:eastAsia="仿宋" w:cs="仿宋"/>
          <w:sz w:val="32"/>
          <w:szCs w:val="32"/>
          <w:lang w:val="en-US" w:eastAsia="zh-CN"/>
        </w:rPr>
        <w:t>59.47</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2021年预算在政府一起</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财政拨款支出</w:t>
      </w:r>
      <w:r>
        <w:rPr>
          <w:rFonts w:hint="eastAsia" w:ascii="仿宋" w:hAnsi="仿宋" w:eastAsia="仿宋" w:cs="仿宋"/>
          <w:sz w:val="32"/>
          <w:szCs w:val="32"/>
          <w:lang w:val="en-US" w:eastAsia="zh-CN"/>
        </w:rPr>
        <w:t>59.47</w:t>
      </w:r>
      <w:r>
        <w:rPr>
          <w:rFonts w:hint="eastAsia" w:ascii="仿宋" w:hAnsi="仿宋" w:eastAsia="仿宋" w:cs="仿宋"/>
          <w:sz w:val="32"/>
          <w:szCs w:val="32"/>
        </w:rPr>
        <w:t>万元，其中一般公共预算拨款支出</w:t>
      </w:r>
      <w:r>
        <w:rPr>
          <w:rFonts w:hint="eastAsia" w:ascii="仿宋" w:hAnsi="仿宋" w:eastAsia="仿宋" w:cs="仿宋"/>
          <w:sz w:val="32"/>
          <w:szCs w:val="32"/>
          <w:lang w:val="en-US" w:eastAsia="zh-CN"/>
        </w:rPr>
        <w:t>59.47</w:t>
      </w:r>
      <w:r>
        <w:rPr>
          <w:rFonts w:hint="eastAsia" w:ascii="仿宋" w:hAnsi="仿宋" w:eastAsia="仿宋" w:cs="仿宋"/>
          <w:sz w:val="32"/>
          <w:szCs w:val="32"/>
        </w:rPr>
        <w:t>万元、政府性基金拨款支出</w:t>
      </w:r>
      <w:r>
        <w:rPr>
          <w:rFonts w:hint="eastAsia" w:ascii="仿宋" w:hAnsi="仿宋" w:eastAsia="仿宋" w:cs="仿宋"/>
          <w:sz w:val="32"/>
          <w:szCs w:val="32"/>
          <w:lang w:val="en-US" w:eastAsia="zh-CN"/>
        </w:rPr>
        <w:t>0.00</w:t>
      </w:r>
      <w:r>
        <w:rPr>
          <w:rFonts w:hint="eastAsia" w:ascii="仿宋" w:hAnsi="仿宋" w:eastAsia="仿宋" w:cs="仿宋"/>
          <w:sz w:val="32"/>
          <w:szCs w:val="32"/>
        </w:rPr>
        <w:t>万元、</w:t>
      </w:r>
      <w:r>
        <w:rPr>
          <w:rFonts w:hint="eastAsia" w:ascii="仿宋" w:hAnsi="仿宋" w:eastAsia="仿宋" w:cs="仿宋"/>
          <w:sz w:val="32"/>
          <w:szCs w:val="32"/>
          <w:lang w:val="en-US" w:eastAsia="zh-CN"/>
        </w:rPr>
        <w:t>业支出0.00万元、事业单位经营支出0.00万元、对附属单位上缴支出0.00万元、上年实户资金余额支出0.00万元、其他支出0.00万元、上年结转支出0.00万元</w:t>
      </w:r>
      <w:r>
        <w:rPr>
          <w:rFonts w:hint="eastAsia" w:ascii="仿宋" w:hAnsi="仿宋" w:eastAsia="仿宋" w:cs="仿宋"/>
          <w:sz w:val="32"/>
          <w:szCs w:val="32"/>
        </w:rPr>
        <w:t>，</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财政拨款支出较上年增加</w:t>
      </w:r>
      <w:r>
        <w:rPr>
          <w:rFonts w:hint="eastAsia" w:ascii="仿宋" w:hAnsi="仿宋" w:eastAsia="仿宋" w:cs="仿宋"/>
          <w:sz w:val="32"/>
          <w:szCs w:val="32"/>
          <w:lang w:val="en-US" w:eastAsia="zh-CN"/>
        </w:rPr>
        <w:t>59.47</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2021年预算在政府一起</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（三）一般公共预算拨款支出明细情况。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sz w:val="32"/>
          <w:szCs w:val="32"/>
        </w:rPr>
        <w:t>一般公共预算当年拨款规模变化情况。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当年一般公共预算拨款支出</w:t>
      </w:r>
      <w:r>
        <w:rPr>
          <w:rFonts w:hint="eastAsia" w:ascii="仿宋" w:hAnsi="仿宋" w:eastAsia="仿宋" w:cs="仿宋"/>
          <w:sz w:val="32"/>
          <w:szCs w:val="32"/>
          <w:lang w:val="en-US" w:eastAsia="zh-CN"/>
        </w:rPr>
        <w:t>59.47</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59.47</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2021年预算在政府一起</w:t>
      </w:r>
      <w:r>
        <w:rPr>
          <w:rFonts w:hint="eastAsia" w:ascii="仿宋" w:hAnsi="仿宋" w:eastAsia="仿宋" w:cs="仿宋"/>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支出按功能科目分类的明细情况。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单位202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当年一般公共预算支</w:t>
      </w:r>
      <w:r>
        <w:rPr>
          <w:rFonts w:hint="eastAsia" w:ascii="仿宋" w:hAnsi="仿宋" w:eastAsia="仿宋" w:cs="仿宋"/>
          <w:sz w:val="32"/>
          <w:szCs w:val="32"/>
          <w:lang w:val="en-US" w:eastAsia="zh-CN"/>
        </w:rPr>
        <w:t>59.47</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一般公共服务支出（类）财政事务（款）</w:t>
      </w:r>
      <w:r>
        <w:rPr>
          <w:rFonts w:hint="eastAsia" w:ascii="仿宋" w:hAnsi="仿宋" w:eastAsia="仿宋" w:cs="仿宋"/>
          <w:sz w:val="32"/>
          <w:szCs w:val="32"/>
        </w:rPr>
        <w:t>行政运行</w:t>
      </w:r>
      <w:r>
        <w:rPr>
          <w:rFonts w:hint="eastAsia" w:ascii="仿宋" w:hAnsi="仿宋" w:eastAsia="仿宋" w:cs="仿宋"/>
          <w:sz w:val="32"/>
          <w:szCs w:val="32"/>
          <w:lang w:val="en-US" w:eastAsia="zh-CN"/>
        </w:rPr>
        <w:t>（项）</w:t>
      </w:r>
      <w:r>
        <w:rPr>
          <w:rFonts w:hint="eastAsia" w:ascii="仿宋" w:hAnsi="仿宋" w:eastAsia="仿宋" w:cs="仿宋"/>
          <w:sz w:val="32"/>
          <w:szCs w:val="32"/>
        </w:rPr>
        <w:t>（2010601）</w:t>
      </w:r>
      <w:r>
        <w:rPr>
          <w:rFonts w:hint="eastAsia" w:ascii="仿宋" w:hAnsi="仿宋" w:eastAsia="仿宋" w:cs="仿宋"/>
          <w:sz w:val="32"/>
          <w:szCs w:val="32"/>
          <w:lang w:val="en-US" w:eastAsia="zh-CN"/>
        </w:rPr>
        <w:t>48.19</w:t>
      </w:r>
      <w:r>
        <w:rPr>
          <w:rFonts w:hint="eastAsia" w:ascii="仿宋" w:hAnsi="仿宋" w:eastAsia="仿宋" w:cs="仿宋"/>
          <w:sz w:val="32"/>
          <w:szCs w:val="32"/>
        </w:rPr>
        <w:t>万元，较上年</w:t>
      </w:r>
      <w:r>
        <w:rPr>
          <w:rFonts w:hint="eastAsia" w:ascii="仿宋" w:hAnsi="仿宋" w:eastAsia="仿宋" w:cs="仿宋"/>
          <w:sz w:val="32"/>
          <w:szCs w:val="32"/>
          <w:lang w:val="en-US" w:eastAsia="zh-CN"/>
        </w:rPr>
        <w:t>增加48.19</w:t>
      </w:r>
      <w:r>
        <w:rPr>
          <w:rFonts w:hint="eastAsia" w:ascii="仿宋" w:hAnsi="仿宋" w:eastAsia="仿宋" w:cs="仿宋"/>
          <w:sz w:val="32"/>
          <w:szCs w:val="32"/>
        </w:rPr>
        <w:t>万元，原主要原因是</w:t>
      </w:r>
      <w:r>
        <w:rPr>
          <w:rFonts w:hint="eastAsia" w:ascii="仿宋" w:hAnsi="仿宋" w:eastAsia="仿宋" w:cs="仿宋"/>
          <w:sz w:val="32"/>
          <w:szCs w:val="32"/>
          <w:lang w:val="en-US" w:eastAsia="zh-CN"/>
        </w:rPr>
        <w:t>2021年预算在政府一起</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社会保障和就业支出（类）民政管理事务、行政事业单位离退休（款）其他民政管理事务支出和机关事业单位基本养老保险缴费支出（项）（2080505）4.89</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4.89</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2021年预算在政府一起</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卫生健康支出（类）行政事业单位医疗（款）</w:t>
      </w:r>
      <w:r>
        <w:rPr>
          <w:rFonts w:hint="eastAsia" w:ascii="仿宋" w:hAnsi="仿宋" w:eastAsia="仿宋" w:cs="仿宋"/>
          <w:sz w:val="32"/>
          <w:szCs w:val="32"/>
          <w:lang w:val="en-US" w:eastAsia="zh-CN"/>
        </w:rPr>
        <w:t>行政单位医疗（项）（2101101）2.36万元</w:t>
      </w:r>
      <w:r>
        <w:rPr>
          <w:rFonts w:hint="eastAsia" w:ascii="仿宋" w:hAnsi="仿宋" w:eastAsia="仿宋" w:cs="仿宋"/>
          <w:sz w:val="32"/>
          <w:szCs w:val="32"/>
        </w:rPr>
        <w:t>，较上年增加</w:t>
      </w:r>
      <w:r>
        <w:rPr>
          <w:rFonts w:hint="eastAsia" w:ascii="仿宋" w:hAnsi="仿宋" w:eastAsia="仿宋" w:cs="仿宋"/>
          <w:sz w:val="32"/>
          <w:szCs w:val="32"/>
          <w:lang w:val="en-US" w:eastAsia="zh-CN"/>
        </w:rPr>
        <w:t>2.36</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2021年预算在政府一起</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eastAsia="zh-CN"/>
        </w:rPr>
        <w:t>住房保障支出（类）住房改革支出（款）</w:t>
      </w:r>
      <w:r>
        <w:rPr>
          <w:rFonts w:hint="eastAsia" w:ascii="仿宋" w:hAnsi="仿宋" w:eastAsia="仿宋" w:cs="仿宋"/>
          <w:sz w:val="32"/>
          <w:szCs w:val="32"/>
          <w:lang w:val="en-US" w:eastAsia="zh-CN"/>
        </w:rPr>
        <w:t>住房公积金（项）4.03万元</w:t>
      </w:r>
      <w:r>
        <w:rPr>
          <w:rFonts w:hint="eastAsia" w:ascii="仿宋" w:hAnsi="仿宋" w:eastAsia="仿宋" w:cs="仿宋"/>
          <w:sz w:val="32"/>
          <w:szCs w:val="32"/>
        </w:rPr>
        <w:t>，较上年增加</w:t>
      </w:r>
      <w:r>
        <w:rPr>
          <w:rFonts w:hint="eastAsia" w:ascii="仿宋" w:hAnsi="仿宋" w:eastAsia="仿宋" w:cs="仿宋"/>
          <w:sz w:val="32"/>
          <w:szCs w:val="32"/>
          <w:lang w:val="en-US" w:eastAsia="zh-CN"/>
        </w:rPr>
        <w:t>4.03</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2021年预算在政府一起</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3、</w:t>
      </w:r>
      <w:r>
        <w:rPr>
          <w:rFonts w:hint="eastAsia" w:ascii="仿宋" w:hAnsi="仿宋" w:eastAsia="仿宋" w:cs="仿宋"/>
          <w:sz w:val="32"/>
          <w:szCs w:val="32"/>
        </w:rPr>
        <w:t>支出按经济科目分类的明细情况。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（1）按照</w:t>
      </w:r>
      <w:r>
        <w:rPr>
          <w:rFonts w:hint="eastAsia" w:ascii="仿宋" w:hAnsi="仿宋" w:eastAsia="仿宋" w:cs="仿宋"/>
          <w:sz w:val="32"/>
          <w:szCs w:val="32"/>
          <w:lang w:eastAsia="zh-CN"/>
        </w:rPr>
        <w:t>单位</w:t>
      </w:r>
      <w:r>
        <w:rPr>
          <w:rFonts w:hint="eastAsia" w:ascii="仿宋" w:hAnsi="仿宋" w:eastAsia="仿宋" w:cs="仿宋"/>
          <w:sz w:val="32"/>
          <w:szCs w:val="32"/>
        </w:rPr>
        <w:t>预算支出经济分类的类级科目说明。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工资福利支出（301）</w:t>
      </w:r>
      <w:r>
        <w:rPr>
          <w:rFonts w:hint="eastAsia" w:ascii="仿宋" w:hAnsi="仿宋" w:eastAsia="仿宋" w:cs="仿宋"/>
          <w:sz w:val="32"/>
          <w:szCs w:val="32"/>
          <w:lang w:val="en-US" w:eastAsia="zh-CN"/>
        </w:rPr>
        <w:t>42.8</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42.8</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2021年预算在政府一起</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商品和服务支出（302）</w:t>
      </w:r>
      <w:r>
        <w:rPr>
          <w:rFonts w:hint="eastAsia" w:ascii="仿宋" w:hAnsi="仿宋" w:eastAsia="仿宋" w:cs="仿宋"/>
          <w:sz w:val="32"/>
          <w:szCs w:val="32"/>
          <w:lang w:val="en-US" w:eastAsia="zh-CN"/>
        </w:rPr>
        <w:t>16.67</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16.67万元</w:t>
      </w:r>
      <w:r>
        <w:rPr>
          <w:rFonts w:hint="eastAsia" w:ascii="仿宋" w:hAnsi="仿宋" w:eastAsia="仿宋" w:cs="仿宋"/>
          <w:sz w:val="32"/>
          <w:szCs w:val="32"/>
          <w:lang w:eastAsia="zh-CN"/>
        </w:rPr>
        <w:t>。</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2021年预算在政府一起</w:t>
      </w:r>
      <w:r>
        <w:rPr>
          <w:rFonts w:hint="eastAsia" w:ascii="仿宋" w:hAnsi="仿宋" w:eastAsia="仿宋" w:cs="仿宋"/>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按照政府预算支出经济分类的类级科目说明。</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当年一般公共预算支出</w:t>
      </w:r>
      <w:r>
        <w:rPr>
          <w:rFonts w:hint="eastAsia" w:ascii="仿宋" w:hAnsi="仿宋" w:eastAsia="仿宋" w:cs="仿宋"/>
          <w:sz w:val="32"/>
          <w:szCs w:val="32"/>
          <w:lang w:val="en-US" w:eastAsia="zh-CN"/>
        </w:rPr>
        <w:t>59.47</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机关工资福利支出（501）</w:t>
      </w:r>
      <w:r>
        <w:rPr>
          <w:rFonts w:hint="eastAsia" w:ascii="仿宋" w:hAnsi="仿宋" w:eastAsia="仿宋" w:cs="仿宋"/>
          <w:sz w:val="32"/>
          <w:szCs w:val="32"/>
          <w:lang w:val="en-US" w:eastAsia="zh-CN"/>
        </w:rPr>
        <w:t>42.8</w:t>
      </w:r>
      <w:r>
        <w:rPr>
          <w:rFonts w:hint="eastAsia" w:ascii="仿宋" w:hAnsi="仿宋" w:eastAsia="仿宋" w:cs="仿宋"/>
          <w:sz w:val="32"/>
          <w:szCs w:val="32"/>
        </w:rPr>
        <w:t>万元，</w:t>
      </w:r>
      <w:r>
        <w:rPr>
          <w:rFonts w:hint="eastAsia" w:ascii="仿宋" w:hAnsi="仿宋" w:eastAsia="仿宋" w:cs="仿宋"/>
          <w:sz w:val="32"/>
          <w:szCs w:val="32"/>
          <w:lang w:val="en-US" w:eastAsia="zh-CN"/>
        </w:rPr>
        <w:t>比上年增加42.8万元，</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2021年预算在政府一起</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机关商品和服务支出（502）</w:t>
      </w:r>
      <w:r>
        <w:rPr>
          <w:rFonts w:hint="eastAsia" w:ascii="仿宋" w:hAnsi="仿宋" w:eastAsia="仿宋" w:cs="仿宋"/>
          <w:sz w:val="32"/>
          <w:szCs w:val="32"/>
          <w:lang w:val="en-US" w:eastAsia="zh-CN"/>
        </w:rPr>
        <w:t>16.67</w:t>
      </w:r>
      <w:r>
        <w:rPr>
          <w:rFonts w:hint="eastAsia" w:ascii="仿宋" w:hAnsi="仿宋" w:eastAsia="仿宋" w:cs="仿宋"/>
          <w:sz w:val="32"/>
          <w:szCs w:val="32"/>
        </w:rPr>
        <w:t>万元，</w:t>
      </w:r>
      <w:r>
        <w:rPr>
          <w:rFonts w:hint="eastAsia" w:ascii="仿宋" w:hAnsi="仿宋" w:eastAsia="仿宋" w:cs="仿宋"/>
          <w:sz w:val="32"/>
          <w:szCs w:val="32"/>
          <w:lang w:val="en-US" w:eastAsia="zh-CN"/>
        </w:rPr>
        <w:t>比上年增加16.67万元，</w:t>
      </w:r>
      <w:r>
        <w:rPr>
          <w:rFonts w:hint="eastAsia" w:ascii="仿宋" w:hAnsi="仿宋" w:eastAsia="仿宋" w:cs="仿宋"/>
          <w:sz w:val="32"/>
          <w:szCs w:val="32"/>
        </w:rPr>
        <w:t>主要原因是</w:t>
      </w:r>
      <w:r>
        <w:rPr>
          <w:rFonts w:hint="eastAsia" w:ascii="仿宋" w:hAnsi="仿宋" w:eastAsia="仿宋" w:cs="仿宋"/>
          <w:sz w:val="32"/>
          <w:szCs w:val="32"/>
          <w:lang w:val="en-US" w:eastAsia="zh-CN"/>
        </w:rPr>
        <w:t>2021年预算在政府一起</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4、</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w:t>
      </w:r>
      <w:r>
        <w:rPr>
          <w:rFonts w:hint="eastAsia" w:ascii="仿宋" w:hAnsi="仿宋" w:eastAsia="仿宋" w:cs="仿宋"/>
          <w:sz w:val="32"/>
          <w:szCs w:val="32"/>
        </w:rPr>
        <w:t>结转财政资金一般公共预算拨款支出情况。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无</w:t>
      </w:r>
      <w:r>
        <w:rPr>
          <w:rFonts w:hint="eastAsia" w:ascii="仿宋" w:hAnsi="仿宋" w:eastAsia="仿宋" w:cs="仿宋"/>
          <w:sz w:val="32"/>
          <w:szCs w:val="32"/>
          <w:highlight w:val="none"/>
          <w:lang w:eastAsia="zh-CN"/>
        </w:rPr>
        <w:t>202</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年</w:t>
      </w:r>
      <w:r>
        <w:rPr>
          <w:rFonts w:hint="eastAsia" w:ascii="仿宋" w:hAnsi="仿宋" w:eastAsia="仿宋" w:cs="仿宋"/>
          <w:sz w:val="32"/>
          <w:szCs w:val="32"/>
          <w:highlight w:val="none"/>
        </w:rPr>
        <w:t>结转的一般公共预算拨款资金支出。</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政府性基金预算支出情况。</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当年政府性基金预算支出情况。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本单位无当年政府性基金预算收支，并已公开空表。</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上年结转政府性基金预算支出情况。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highlight w:val="none"/>
          <w:lang w:val="en-US" w:eastAsia="zh-CN"/>
        </w:rPr>
        <w:t>本单位无2021年结转的政府性基金预算拨款支出</w:t>
      </w:r>
      <w:r>
        <w:rPr>
          <w:rFonts w:hint="eastAsia" w:ascii="仿宋" w:hAnsi="仿宋" w:eastAsia="仿宋" w:cs="仿宋"/>
          <w:sz w:val="32"/>
          <w:szCs w:val="32"/>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国有资本经营预算拨款收支情况。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无当年国有资本经营预算拨款收支，并在财政拨款收支总体情况表中列示</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本</w:t>
      </w:r>
      <w:r>
        <w:rPr>
          <w:rFonts w:hint="eastAsia" w:ascii="仿宋" w:hAnsi="仿宋" w:eastAsia="仿宋" w:cs="仿宋"/>
          <w:b w:val="0"/>
          <w:bCs w:val="0"/>
          <w:sz w:val="32"/>
          <w:szCs w:val="32"/>
          <w:highlight w:val="none"/>
          <w:lang w:eastAsia="zh-CN"/>
        </w:rPr>
        <w:t>单位</w:t>
      </w:r>
      <w:r>
        <w:rPr>
          <w:rFonts w:hint="eastAsia" w:ascii="仿宋" w:hAnsi="仿宋" w:eastAsia="仿宋" w:cs="仿宋"/>
          <w:b w:val="0"/>
          <w:bCs w:val="0"/>
          <w:sz w:val="32"/>
          <w:szCs w:val="32"/>
          <w:highlight w:val="none"/>
        </w:rPr>
        <w:t>无</w:t>
      </w:r>
      <w:r>
        <w:rPr>
          <w:rFonts w:hint="eastAsia" w:ascii="仿宋" w:hAnsi="仿宋" w:eastAsia="仿宋" w:cs="仿宋"/>
          <w:b w:val="0"/>
          <w:bCs w:val="0"/>
          <w:sz w:val="32"/>
          <w:szCs w:val="32"/>
          <w:highlight w:val="none"/>
          <w:lang w:eastAsia="zh-CN"/>
        </w:rPr>
        <w:t>202</w:t>
      </w:r>
      <w:r>
        <w:rPr>
          <w:rFonts w:hint="eastAsia" w:ascii="仿宋" w:hAnsi="仿宋" w:eastAsia="仿宋" w:cs="仿宋"/>
          <w:b w:val="0"/>
          <w:bCs w:val="0"/>
          <w:sz w:val="32"/>
          <w:szCs w:val="32"/>
          <w:highlight w:val="none"/>
          <w:lang w:val="en-US" w:eastAsia="zh-CN"/>
        </w:rPr>
        <w:t>1</w:t>
      </w:r>
      <w:r>
        <w:rPr>
          <w:rFonts w:hint="eastAsia" w:ascii="仿宋" w:hAnsi="仿宋" w:eastAsia="仿宋" w:cs="仿宋"/>
          <w:b w:val="0"/>
          <w:bCs w:val="0"/>
          <w:sz w:val="32"/>
          <w:szCs w:val="32"/>
          <w:highlight w:val="none"/>
          <w:lang w:eastAsia="zh-CN"/>
        </w:rPr>
        <w:t>年</w:t>
      </w:r>
      <w:r>
        <w:rPr>
          <w:rFonts w:hint="eastAsia" w:ascii="仿宋" w:hAnsi="仿宋" w:eastAsia="仿宋" w:cs="仿宋"/>
          <w:b w:val="0"/>
          <w:bCs w:val="0"/>
          <w:sz w:val="32"/>
          <w:szCs w:val="32"/>
          <w:highlight w:val="none"/>
        </w:rPr>
        <w:t>结转的国有资本经营预算拨款支出。</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第三部分  其他说明情况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、单位预算“三公”经费等情况说明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年本单位当年一般公共预算“三公”经费预算支出</w:t>
      </w:r>
      <w:r>
        <w:rPr>
          <w:rFonts w:hint="eastAsia" w:ascii="仿宋" w:hAnsi="仿宋" w:eastAsia="仿宋" w:cs="仿宋"/>
          <w:sz w:val="32"/>
          <w:szCs w:val="32"/>
          <w:lang w:val="en-US" w:eastAsia="zh-CN"/>
        </w:rPr>
        <w:t>0.22</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比2021年增加0.22万元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主要是2021年三公经费预算在政府一起。</w:t>
      </w:r>
      <w:r>
        <w:rPr>
          <w:rFonts w:hint="eastAsia" w:ascii="仿宋" w:hAnsi="仿宋" w:eastAsia="仿宋" w:cs="仿宋"/>
          <w:sz w:val="32"/>
          <w:szCs w:val="32"/>
          <w:lang w:eastAsia="zh-CN"/>
        </w:rPr>
        <w:t>其中：因公出国（境）经费</w:t>
      </w:r>
      <w:r>
        <w:rPr>
          <w:rFonts w:hint="eastAsia" w:ascii="仿宋" w:hAnsi="仿宋" w:eastAsia="仿宋" w:cs="仿宋"/>
          <w:sz w:val="32"/>
          <w:szCs w:val="32"/>
          <w:lang w:val="en-US" w:eastAsia="zh-CN"/>
        </w:rPr>
        <w:t>0.00</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比2021年增加0.00万元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主要是2021年三公经费预算在政府一起。</w:t>
      </w:r>
      <w:r>
        <w:rPr>
          <w:rFonts w:hint="eastAsia" w:ascii="仿宋" w:hAnsi="仿宋" w:eastAsia="仿宋" w:cs="仿宋"/>
          <w:sz w:val="32"/>
          <w:szCs w:val="32"/>
          <w:lang w:eastAsia="zh-CN"/>
        </w:rPr>
        <w:t>公务接待费</w:t>
      </w:r>
      <w:r>
        <w:rPr>
          <w:rFonts w:hint="eastAsia" w:ascii="仿宋" w:hAnsi="仿宋" w:eastAsia="仿宋" w:cs="仿宋"/>
          <w:sz w:val="32"/>
          <w:szCs w:val="32"/>
          <w:lang w:val="en-US" w:eastAsia="zh-CN"/>
        </w:rPr>
        <w:t>0.22</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比2021年增加0.22万元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主要是2021年三公经费预算在政府一起。</w:t>
      </w:r>
      <w:r>
        <w:rPr>
          <w:rFonts w:hint="eastAsia" w:ascii="仿宋" w:hAnsi="仿宋" w:eastAsia="仿宋" w:cs="仿宋"/>
          <w:sz w:val="32"/>
          <w:szCs w:val="32"/>
          <w:lang w:eastAsia="zh-CN"/>
        </w:rPr>
        <w:t>公务用车运行费</w:t>
      </w:r>
      <w:r>
        <w:rPr>
          <w:rFonts w:hint="eastAsia" w:ascii="仿宋" w:hAnsi="仿宋" w:eastAsia="仿宋" w:cs="仿宋"/>
          <w:sz w:val="32"/>
          <w:szCs w:val="32"/>
          <w:lang w:val="en-US" w:eastAsia="zh-CN"/>
        </w:rPr>
        <w:t>0.00</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比2021年增加0.00万元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主要是2021年三公经费预算在政府一起。</w:t>
      </w:r>
      <w:r>
        <w:rPr>
          <w:rFonts w:hint="eastAsia" w:ascii="仿宋" w:hAnsi="仿宋" w:eastAsia="仿宋" w:cs="仿宋"/>
          <w:sz w:val="32"/>
          <w:szCs w:val="32"/>
          <w:lang w:eastAsia="zh-CN"/>
        </w:rPr>
        <w:t>公务用车购置费</w:t>
      </w:r>
      <w:r>
        <w:rPr>
          <w:rFonts w:hint="eastAsia" w:ascii="仿宋" w:hAnsi="仿宋" w:eastAsia="仿宋" w:cs="仿宋"/>
          <w:sz w:val="32"/>
          <w:szCs w:val="32"/>
          <w:lang w:val="en-US" w:eastAsia="zh-CN"/>
        </w:rPr>
        <w:t>0.00</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比2021年增加0.00万元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主要是2021年三公经费预算在政府一起。</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年本单位当年会议费预算支出</w:t>
      </w:r>
      <w:r>
        <w:rPr>
          <w:rFonts w:hint="eastAsia" w:ascii="仿宋" w:hAnsi="仿宋" w:eastAsia="仿宋" w:cs="仿宋"/>
          <w:sz w:val="32"/>
          <w:szCs w:val="32"/>
          <w:lang w:val="en-US" w:eastAsia="zh-CN"/>
        </w:rPr>
        <w:t>0.00</w:t>
      </w:r>
      <w:r>
        <w:rPr>
          <w:rFonts w:hint="eastAsia" w:ascii="仿宋" w:hAnsi="仿宋" w:eastAsia="仿宋" w:cs="仿宋"/>
          <w:sz w:val="32"/>
          <w:szCs w:val="32"/>
          <w:lang w:eastAsia="zh-CN"/>
        </w:rPr>
        <w:t>万元，与上年持平。培训费</w:t>
      </w:r>
      <w:r>
        <w:rPr>
          <w:rFonts w:hint="eastAsia" w:ascii="仿宋" w:hAnsi="仿宋" w:eastAsia="仿宋" w:cs="仿宋"/>
          <w:sz w:val="32"/>
          <w:szCs w:val="32"/>
          <w:lang w:val="en-US" w:eastAsia="zh-CN"/>
        </w:rPr>
        <w:t>0.00</w:t>
      </w:r>
      <w:r>
        <w:rPr>
          <w:rFonts w:hint="eastAsia" w:ascii="仿宋" w:hAnsi="仿宋" w:eastAsia="仿宋" w:cs="仿宋"/>
          <w:sz w:val="32"/>
          <w:szCs w:val="32"/>
          <w:lang w:eastAsia="zh-CN"/>
        </w:rPr>
        <w:t>万元，与上年持平</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outlineLvl w:val="9"/>
        <w:rPr>
          <w:rFonts w:hint="eastAsia" w:ascii="仿宋" w:hAnsi="仿宋" w:eastAsia="仿宋" w:cs="仿宋"/>
          <w:sz w:val="32"/>
          <w:szCs w:val="32"/>
          <w:highlight w:val="green"/>
          <w:lang w:eastAsia="zh-CN"/>
        </w:rPr>
      </w:pPr>
      <w:r>
        <w:rPr>
          <w:rFonts w:hint="eastAsia" w:ascii="仿宋" w:hAnsi="仿宋" w:eastAsia="仿宋" w:cs="仿宋"/>
          <w:sz w:val="32"/>
          <w:szCs w:val="32"/>
          <w:lang w:eastAsia="zh-CN"/>
        </w:rPr>
        <w:t>本单位无202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年结转的财政拨款‘三公’经费和会议费、培训费支出。</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国有资产占有使用及资产购置情况说明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截</w:t>
      </w:r>
      <w:r>
        <w:rPr>
          <w:rFonts w:hint="eastAsia" w:ascii="仿宋" w:hAnsi="仿宋" w:eastAsia="仿宋" w:cs="仿宋"/>
          <w:sz w:val="32"/>
          <w:szCs w:val="32"/>
          <w:lang w:eastAsia="zh-CN"/>
        </w:rPr>
        <w:t>止202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年底，本单位所属预算单位共有车辆</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辆，单价20万元以上的设备</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台（套）。202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年当年单位预算安排购置车辆</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辆；安排购置单价20万元以上的设备</w:t>
      </w:r>
      <w:r>
        <w:rPr>
          <w:rFonts w:hint="eastAsia" w:ascii="仿宋" w:hAnsi="仿宋" w:eastAsia="仿宋" w:cs="仿宋"/>
          <w:sz w:val="32"/>
          <w:szCs w:val="32"/>
          <w:lang w:val="en-US" w:eastAsia="zh-CN"/>
        </w:rPr>
        <w:t>0</w:t>
      </w:r>
      <w:r>
        <w:rPr>
          <w:rFonts w:hint="eastAsia" w:ascii="仿宋" w:hAnsi="仿宋" w:eastAsia="仿宋" w:cs="仿宋"/>
          <w:sz w:val="32"/>
          <w:szCs w:val="32"/>
          <w:lang w:eastAsia="zh-CN"/>
        </w:rPr>
        <w:t>台（套）。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无</w:t>
      </w:r>
      <w:r>
        <w:rPr>
          <w:rFonts w:hint="eastAsia" w:ascii="仿宋" w:hAnsi="仿宋" w:eastAsia="仿宋" w:cs="仿宋"/>
          <w:sz w:val="32"/>
          <w:szCs w:val="32"/>
          <w:highlight w:val="none"/>
          <w:lang w:eastAsia="zh-CN"/>
        </w:rPr>
        <w:t>202</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年</w:t>
      </w:r>
      <w:r>
        <w:rPr>
          <w:rFonts w:hint="eastAsia" w:ascii="仿宋" w:hAnsi="仿宋" w:eastAsia="仿宋" w:cs="仿宋"/>
          <w:sz w:val="32"/>
          <w:szCs w:val="32"/>
          <w:highlight w:val="none"/>
        </w:rPr>
        <w:t>结转的财政拨款支出资产购置</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八、单位</w:t>
      </w:r>
      <w:r>
        <w:rPr>
          <w:rFonts w:hint="eastAsia" w:ascii="仿宋" w:hAnsi="仿宋" w:eastAsia="仿宋" w:cs="仿宋"/>
          <w:b/>
          <w:bCs/>
          <w:sz w:val="32"/>
          <w:szCs w:val="32"/>
        </w:rPr>
        <w:t>政府采购情况说明</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年</w:t>
      </w:r>
      <w:r>
        <w:rPr>
          <w:rFonts w:hint="eastAsia" w:ascii="仿宋" w:hAnsi="仿宋" w:eastAsia="仿宋" w:cs="仿宋"/>
          <w:sz w:val="32"/>
          <w:szCs w:val="32"/>
          <w:highlight w:val="none"/>
        </w:rPr>
        <w:t>无政府采购预算，并已公开空表。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无</w:t>
      </w:r>
      <w:r>
        <w:rPr>
          <w:rFonts w:hint="eastAsia" w:ascii="仿宋" w:hAnsi="仿宋" w:eastAsia="仿宋" w:cs="仿宋"/>
          <w:sz w:val="32"/>
          <w:szCs w:val="32"/>
          <w:highlight w:val="none"/>
          <w:lang w:eastAsia="zh-CN"/>
        </w:rPr>
        <w:t>202</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年</w:t>
      </w:r>
      <w:r>
        <w:rPr>
          <w:rFonts w:hint="eastAsia" w:ascii="仿宋" w:hAnsi="仿宋" w:eastAsia="仿宋" w:cs="仿宋"/>
          <w:sz w:val="32"/>
          <w:szCs w:val="32"/>
          <w:highlight w:val="none"/>
        </w:rPr>
        <w:t>结转的政府采购资金支出</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单位预算</w:t>
      </w:r>
      <w:r>
        <w:rPr>
          <w:rFonts w:hint="eastAsia" w:ascii="仿宋" w:hAnsi="仿宋" w:eastAsia="仿宋" w:cs="仿宋"/>
          <w:b/>
          <w:bCs/>
          <w:sz w:val="32"/>
          <w:szCs w:val="32"/>
        </w:rPr>
        <w:t>绩效目标说明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绩效目标管理全覆盖，涉及当年一般公共预算拨款</w:t>
      </w:r>
      <w:r>
        <w:rPr>
          <w:rFonts w:hint="eastAsia" w:ascii="仿宋" w:hAnsi="仿宋" w:eastAsia="仿宋" w:cs="仿宋"/>
          <w:sz w:val="32"/>
          <w:szCs w:val="32"/>
          <w:lang w:val="en-US" w:eastAsia="zh-CN"/>
        </w:rPr>
        <w:t>59.47</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当年政府性基金预算拨款</w:t>
      </w:r>
      <w:r>
        <w:rPr>
          <w:rFonts w:hint="eastAsia" w:ascii="仿宋" w:hAnsi="仿宋" w:eastAsia="仿宋" w:cs="仿宋"/>
          <w:sz w:val="32"/>
          <w:szCs w:val="32"/>
          <w:lang w:val="en-US" w:eastAsia="zh-CN"/>
        </w:rPr>
        <w:t>0.00</w:t>
      </w:r>
      <w:r>
        <w:rPr>
          <w:rFonts w:hint="eastAsia" w:ascii="仿宋" w:hAnsi="仿宋" w:eastAsia="仿宋" w:cs="仿宋"/>
          <w:sz w:val="32"/>
          <w:szCs w:val="32"/>
        </w:rPr>
        <w:t>万元，当年国有资本经营预算拨款</w:t>
      </w:r>
      <w:r>
        <w:rPr>
          <w:rFonts w:hint="eastAsia" w:ascii="仿宋" w:hAnsi="仿宋" w:eastAsia="仿宋" w:cs="仿宋"/>
          <w:sz w:val="32"/>
          <w:szCs w:val="32"/>
          <w:lang w:val="en-US" w:eastAsia="zh-CN"/>
        </w:rPr>
        <w:t>0.00</w:t>
      </w:r>
      <w:r>
        <w:rPr>
          <w:rFonts w:hint="eastAsia" w:ascii="仿宋" w:hAnsi="仿宋" w:eastAsia="仿宋" w:cs="仿宋"/>
          <w:sz w:val="32"/>
          <w:szCs w:val="32"/>
        </w:rPr>
        <w:t>万元（详见公开报表中的绩效目标表）。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red"/>
          <w:lang w:eastAsia="zh-CN"/>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无</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w:t>
      </w:r>
      <w:r>
        <w:rPr>
          <w:rFonts w:hint="eastAsia" w:ascii="仿宋" w:hAnsi="仿宋" w:eastAsia="仿宋" w:cs="仿宋"/>
          <w:sz w:val="32"/>
          <w:szCs w:val="32"/>
        </w:rPr>
        <w:t>结转的财政拨款支出涉及的绩效目标管理。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机关运行经费安排说明</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本</w:t>
      </w:r>
      <w:r>
        <w:rPr>
          <w:rFonts w:hint="eastAsia" w:ascii="仿宋" w:hAnsi="仿宋" w:eastAsia="仿宋" w:cs="仿宋"/>
          <w:sz w:val="32"/>
          <w:szCs w:val="32"/>
          <w:lang w:eastAsia="zh-CN"/>
        </w:rPr>
        <w:t>单位当年机关运行经费预算安排</w:t>
      </w:r>
      <w:r>
        <w:rPr>
          <w:rFonts w:hint="eastAsia" w:ascii="仿宋" w:hAnsi="仿宋" w:eastAsia="仿宋" w:cs="仿宋"/>
          <w:sz w:val="32"/>
          <w:szCs w:val="32"/>
          <w:lang w:val="en-US" w:eastAsia="zh-CN"/>
        </w:rPr>
        <w:t>2.38</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比2021年增加2.38万元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主要是2021年三公经费预算在政府一起。</w:t>
      </w:r>
      <w:r>
        <w:rPr>
          <w:rFonts w:hint="eastAsia" w:ascii="仿宋" w:hAnsi="仿宋" w:eastAsia="仿宋" w:cs="仿宋"/>
          <w:sz w:val="32"/>
          <w:szCs w:val="32"/>
          <w:lang w:eastAsia="zh-CN"/>
        </w:rPr>
        <w:t>本单位无202</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年结转的财政拨款机关运行经费支出。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960" w:leftChars="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十一</w:t>
      </w:r>
      <w:bookmarkStart w:id="0" w:name="_GoBack"/>
      <w:bookmarkEnd w:id="0"/>
      <w:r>
        <w:rPr>
          <w:rFonts w:hint="eastAsia" w:ascii="仿宋" w:hAnsi="仿宋" w:eastAsia="仿宋" w:cs="仿宋"/>
          <w:b/>
          <w:bCs/>
          <w:sz w:val="32"/>
          <w:szCs w:val="32"/>
          <w:lang w:val="en-US" w:eastAsia="zh-CN"/>
        </w:rPr>
        <w:t>、</w:t>
      </w:r>
      <w:r>
        <w:rPr>
          <w:rFonts w:hint="eastAsia" w:ascii="仿宋" w:hAnsi="仿宋" w:eastAsia="仿宋" w:cs="仿宋"/>
          <w:b/>
          <w:bCs/>
          <w:sz w:val="32"/>
          <w:szCs w:val="32"/>
        </w:rPr>
        <w:t>专业名词解释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1.机关运行经费：指各部门的公用经费，包括办公及印刷费、邮电费、差旅费、会议费、福利费、日常维修费、专用材料及一般设备购置费、办公用房水电费、办公用房取暖费、办公用房物业管理费、</w:t>
      </w:r>
      <w:r>
        <w:rPr>
          <w:rFonts w:hint="eastAsia" w:ascii="仿宋" w:hAnsi="仿宋" w:eastAsia="仿宋" w:cs="仿宋"/>
          <w:sz w:val="32"/>
          <w:szCs w:val="32"/>
          <w:lang w:eastAsia="zh-CN"/>
        </w:rPr>
        <w:t>公务用车运行费</w:t>
      </w:r>
      <w:r>
        <w:rPr>
          <w:rFonts w:hint="eastAsia" w:ascii="仿宋" w:hAnsi="仿宋" w:eastAsia="仿宋" w:cs="仿宋"/>
          <w:sz w:val="32"/>
          <w:szCs w:val="32"/>
        </w:rPr>
        <w:t>以及其他费用。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.基本支出：指为保障机构正常运转、完成日常工作任务而发生的各项支出。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.项目支出：指单位为完成特定的行政工作任务或事业发展目标所发生的各项支出。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6.公用经费：指为完成特定的行政工作任务或事业发展目标用于设备设施的维持性费用支出，以及直接用于公务活动的支出，具体包括公务费、业务费、修缮费、设备购置费、其他费用等。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7.工资福利支出：反映开支的在职职工和编制外长期聘用人员的各类劳动报酬，以及上述人员缴纳的各项社会保险费等。</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第四部分  公开报表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详</w:t>
      </w:r>
      <w:r>
        <w:rPr>
          <w:rFonts w:hint="eastAsia" w:ascii="仿宋" w:hAnsi="仿宋" w:eastAsia="仿宋" w:cs="仿宋"/>
          <w:sz w:val="32"/>
          <w:szCs w:val="32"/>
        </w:rPr>
        <w:t>见附</w:t>
      </w:r>
      <w:r>
        <w:rPr>
          <w:rFonts w:hint="eastAsia" w:ascii="仿宋" w:hAnsi="仿宋" w:eastAsia="仿宋" w:cs="仿宋"/>
          <w:sz w:val="32"/>
          <w:szCs w:val="32"/>
          <w:lang w:eastAsia="zh-CN"/>
        </w:rPr>
        <w:t>表</w:t>
      </w:r>
      <w:r>
        <w:rPr>
          <w:rFonts w:hint="eastAsia" w:ascii="仿宋" w:hAnsi="仿宋" w:eastAsia="仿宋" w:cs="仿宋"/>
          <w:sz w:val="32"/>
          <w:szCs w:val="32"/>
        </w:rPr>
        <w:t>）</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CC8E54"/>
    <w:multiLevelType w:val="singleLevel"/>
    <w:tmpl w:val="9ACC8E54"/>
    <w:lvl w:ilvl="0" w:tentative="0">
      <w:start w:val="1"/>
      <w:numFmt w:val="decimal"/>
      <w:suff w:val="nothing"/>
      <w:lvlText w:val="%1、"/>
      <w:lvlJc w:val="left"/>
    </w:lvl>
  </w:abstractNum>
  <w:abstractNum w:abstractNumId="1">
    <w:nsid w:val="02686215"/>
    <w:multiLevelType w:val="singleLevel"/>
    <w:tmpl w:val="02686215"/>
    <w:lvl w:ilvl="0" w:tentative="0">
      <w:start w:val="2"/>
      <w:numFmt w:val="decimal"/>
      <w:suff w:val="nothing"/>
      <w:lvlText w:val="%1、"/>
      <w:lvlJc w:val="left"/>
    </w:lvl>
  </w:abstractNum>
  <w:abstractNum w:abstractNumId="2">
    <w:nsid w:val="27254C28"/>
    <w:multiLevelType w:val="singleLevel"/>
    <w:tmpl w:val="27254C28"/>
    <w:lvl w:ilvl="0" w:tentative="0">
      <w:start w:val="2"/>
      <w:numFmt w:val="decimal"/>
      <w:suff w:val="nothing"/>
      <w:lvlText w:val="（%1）"/>
      <w:lvlJc w:val="left"/>
    </w:lvl>
  </w:abstractNum>
  <w:abstractNum w:abstractNumId="3">
    <w:nsid w:val="4F42A7C2"/>
    <w:multiLevelType w:val="singleLevel"/>
    <w:tmpl w:val="4F42A7C2"/>
    <w:lvl w:ilvl="0" w:tentative="0">
      <w:start w:val="1"/>
      <w:numFmt w:val="chineseCounting"/>
      <w:suff w:val="nothing"/>
      <w:lvlText w:val="（%1）"/>
      <w:lvlJc w:val="left"/>
      <w:rPr>
        <w:rFonts w:hint="eastAsia"/>
      </w:rPr>
    </w:lvl>
  </w:abstractNum>
  <w:abstractNum w:abstractNumId="4">
    <w:nsid w:val="5D0214CA"/>
    <w:multiLevelType w:val="singleLevel"/>
    <w:tmpl w:val="5D0214CA"/>
    <w:lvl w:ilvl="0" w:tentative="0">
      <w:start w:val="4"/>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0NTIwYmVmMTI4MjFjMTViZWE4YTUxYzhhMTNmZDIifQ=="/>
  </w:docVars>
  <w:rsids>
    <w:rsidRoot w:val="1ED0381D"/>
    <w:rsid w:val="00D70262"/>
    <w:rsid w:val="018F2D13"/>
    <w:rsid w:val="02953D9A"/>
    <w:rsid w:val="03791D26"/>
    <w:rsid w:val="0466605A"/>
    <w:rsid w:val="04F35073"/>
    <w:rsid w:val="061D2748"/>
    <w:rsid w:val="06D7231D"/>
    <w:rsid w:val="075D6C6A"/>
    <w:rsid w:val="0773304F"/>
    <w:rsid w:val="089D1D43"/>
    <w:rsid w:val="0A653AEA"/>
    <w:rsid w:val="0AAB1747"/>
    <w:rsid w:val="0B473936"/>
    <w:rsid w:val="0B820553"/>
    <w:rsid w:val="0B8A1B09"/>
    <w:rsid w:val="0C805687"/>
    <w:rsid w:val="0D053BAB"/>
    <w:rsid w:val="0D594F94"/>
    <w:rsid w:val="0E1F698E"/>
    <w:rsid w:val="0FA9052D"/>
    <w:rsid w:val="10163FB4"/>
    <w:rsid w:val="10A536CA"/>
    <w:rsid w:val="12B55B02"/>
    <w:rsid w:val="13DD192D"/>
    <w:rsid w:val="147F7E6C"/>
    <w:rsid w:val="14C85364"/>
    <w:rsid w:val="14FA613E"/>
    <w:rsid w:val="15053ED9"/>
    <w:rsid w:val="15BA67E3"/>
    <w:rsid w:val="15EB6487"/>
    <w:rsid w:val="166918D6"/>
    <w:rsid w:val="176724C1"/>
    <w:rsid w:val="18AF7F70"/>
    <w:rsid w:val="1A431FF4"/>
    <w:rsid w:val="1B746107"/>
    <w:rsid w:val="1CD64124"/>
    <w:rsid w:val="1E0072C5"/>
    <w:rsid w:val="1E1E7AD2"/>
    <w:rsid w:val="1ED0381D"/>
    <w:rsid w:val="20FE50B8"/>
    <w:rsid w:val="210F400E"/>
    <w:rsid w:val="22823449"/>
    <w:rsid w:val="229A281A"/>
    <w:rsid w:val="22A30713"/>
    <w:rsid w:val="2383657E"/>
    <w:rsid w:val="23F45765"/>
    <w:rsid w:val="242E73FF"/>
    <w:rsid w:val="246C5345"/>
    <w:rsid w:val="24AB40AF"/>
    <w:rsid w:val="24F94710"/>
    <w:rsid w:val="24FC6952"/>
    <w:rsid w:val="26CC76FD"/>
    <w:rsid w:val="272308AF"/>
    <w:rsid w:val="28064C78"/>
    <w:rsid w:val="2864072E"/>
    <w:rsid w:val="2A3E38E1"/>
    <w:rsid w:val="2BF2458F"/>
    <w:rsid w:val="2F3B562F"/>
    <w:rsid w:val="2FC8494E"/>
    <w:rsid w:val="314B37FB"/>
    <w:rsid w:val="31B733F7"/>
    <w:rsid w:val="385D1A98"/>
    <w:rsid w:val="38F70388"/>
    <w:rsid w:val="3A4434B4"/>
    <w:rsid w:val="3B055E9C"/>
    <w:rsid w:val="3D28036F"/>
    <w:rsid w:val="3D8407DF"/>
    <w:rsid w:val="3DFF32ED"/>
    <w:rsid w:val="3F503091"/>
    <w:rsid w:val="4008265B"/>
    <w:rsid w:val="41851E44"/>
    <w:rsid w:val="420B5D06"/>
    <w:rsid w:val="4248700C"/>
    <w:rsid w:val="465670F7"/>
    <w:rsid w:val="471D22FA"/>
    <w:rsid w:val="472B48D8"/>
    <w:rsid w:val="4741375D"/>
    <w:rsid w:val="47C702DF"/>
    <w:rsid w:val="48422B9F"/>
    <w:rsid w:val="488947B6"/>
    <w:rsid w:val="4FB64197"/>
    <w:rsid w:val="50572E30"/>
    <w:rsid w:val="51AA26CF"/>
    <w:rsid w:val="51AA5E26"/>
    <w:rsid w:val="52324C02"/>
    <w:rsid w:val="52C93A96"/>
    <w:rsid w:val="531A3416"/>
    <w:rsid w:val="538C5F53"/>
    <w:rsid w:val="54474AB6"/>
    <w:rsid w:val="5582405A"/>
    <w:rsid w:val="56051C6B"/>
    <w:rsid w:val="563F4648"/>
    <w:rsid w:val="57C07DEE"/>
    <w:rsid w:val="58FE3115"/>
    <w:rsid w:val="592D7B67"/>
    <w:rsid w:val="59D947AF"/>
    <w:rsid w:val="59F96CB8"/>
    <w:rsid w:val="5BD23E00"/>
    <w:rsid w:val="5BF47018"/>
    <w:rsid w:val="5C653576"/>
    <w:rsid w:val="5E5C14C1"/>
    <w:rsid w:val="5F635E4B"/>
    <w:rsid w:val="60404B5F"/>
    <w:rsid w:val="6134696F"/>
    <w:rsid w:val="61EE3D1B"/>
    <w:rsid w:val="62460F4D"/>
    <w:rsid w:val="62A365B5"/>
    <w:rsid w:val="65B7439B"/>
    <w:rsid w:val="66607F61"/>
    <w:rsid w:val="67606C1C"/>
    <w:rsid w:val="676942F4"/>
    <w:rsid w:val="68EA113C"/>
    <w:rsid w:val="699E67D8"/>
    <w:rsid w:val="69B23FEC"/>
    <w:rsid w:val="69E141D5"/>
    <w:rsid w:val="69F87A79"/>
    <w:rsid w:val="6C540332"/>
    <w:rsid w:val="6DBE3A60"/>
    <w:rsid w:val="6E8A04A9"/>
    <w:rsid w:val="6F3075D5"/>
    <w:rsid w:val="6F5403ED"/>
    <w:rsid w:val="6F540C4C"/>
    <w:rsid w:val="71A236EE"/>
    <w:rsid w:val="73843559"/>
    <w:rsid w:val="75AC088F"/>
    <w:rsid w:val="76590D5F"/>
    <w:rsid w:val="77AD3FB4"/>
    <w:rsid w:val="7812539D"/>
    <w:rsid w:val="781B6398"/>
    <w:rsid w:val="7839395D"/>
    <w:rsid w:val="788B613B"/>
    <w:rsid w:val="78935A62"/>
    <w:rsid w:val="7920167B"/>
    <w:rsid w:val="7A3E4F09"/>
    <w:rsid w:val="7BF11232"/>
    <w:rsid w:val="7CE442E1"/>
    <w:rsid w:val="7CEE0D2E"/>
    <w:rsid w:val="7CF76871"/>
    <w:rsid w:val="7D804F3A"/>
    <w:rsid w:val="7E2B2CA4"/>
    <w:rsid w:val="7E791462"/>
    <w:rsid w:val="7F544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6" w:lineRule="exact"/>
      <w:ind w:firstLine="200" w:firstLineChars="200"/>
      <w:jc w:val="both"/>
    </w:pPr>
    <w:rPr>
      <w:rFonts w:ascii="Times New Roman" w:hAnsi="Times New Roman" w:eastAsia="宋体" w:cs="Times New Roman"/>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9021298837057"/>
          <c:y val="0.135748200086425"/>
          <c:w val="0.454620056555296"/>
          <c:h val="0.768715707648626"/>
        </c:manualLayout>
      </c:layout>
      <c:pieChart>
        <c:varyColors val="1"/>
        <c:ser>
          <c:idx val="0"/>
          <c:order val="0"/>
          <c:spPr/>
          <c:explosion val="0"/>
          <c:dPt>
            <c:idx val="0"/>
            <c:bubble3D val="0"/>
            <c:spPr>
              <a:solidFill>
                <a:srgbClr val="FDB9B0">
                  <a:alpha val="63000"/>
                </a:srgbClr>
              </a:solidFill>
              <a:ln w="19050">
                <a:noFill/>
              </a:ln>
              <a:effectLst/>
            </c:spPr>
          </c:dPt>
          <c:dPt>
            <c:idx val="1"/>
            <c:bubble3D val="0"/>
            <c:spPr>
              <a:solidFill>
                <a:srgbClr val="FB8C9C"/>
              </a:solidFill>
              <a:ln w="152400">
                <a:solidFill>
                  <a:srgbClr val="FB8C9C"/>
                </a:solidFill>
                <a:miter lim="800000"/>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1200" b="1" i="0" u="none" strike="noStrike" kern="1200" baseline="0">
                    <a:solidFill>
                      <a:srgbClr val="FB8C9C"/>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紫阳县财政局毛坝财政所人员情况图</c:v>
                </c:pt>
                <c:pt idx="1">
                  <c:v>编制人数4人</c:v>
                </c:pt>
                <c:pt idx="2">
                  <c:v>实有人数4人</c:v>
                </c:pt>
              </c:strCache>
            </c:strRef>
          </c:cat>
          <c:val>
            <c:numRef>
              <c:f>Sheet1!$B$1:$B$4</c:f>
              <c:numCache>
                <c:formatCode>General</c:formatCode>
                <c:ptCount val="4"/>
                <c:pt idx="0">
                  <c:v>0</c:v>
                </c:pt>
                <c:pt idx="1">
                  <c:v>4</c:v>
                </c:pt>
                <c:pt idx="2">
                  <c:v>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毛坝镇财政所</a:t>
            </a:r>
            <a:r>
              <a:rPr lang="en-US" altLang="zh-CN"/>
              <a:t>2022</a:t>
            </a:r>
            <a:r>
              <a:rPr altLang="en-US"/>
              <a:t>年收支预算总体情况</a:t>
            </a:r>
            <a:endParaRPr lang="en-US" alt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Sheet1!$A$2:$A$5</c:f>
              <c:strCache>
                <c:ptCount val="4"/>
                <c:pt idx="0">
                  <c:v>2021年</c:v>
                </c:pt>
                <c:pt idx="1">
                  <c:v>2022年</c:v>
                </c:pt>
                <c:pt idx="2">
                  <c:v>增加额</c:v>
                </c:pt>
              </c:strCache>
            </c:strRef>
          </c:cat>
          <c:val>
            <c:numRef>
              <c:f>Sheet1!$B$2:$B$5</c:f>
              <c:numCache>
                <c:formatCode>General</c:formatCode>
                <c:ptCount val="4"/>
                <c:pt idx="0">
                  <c:v>0</c:v>
                </c:pt>
                <c:pt idx="1">
                  <c:v>59.47</c:v>
                </c:pt>
                <c:pt idx="2">
                  <c:v>59.47</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Sheet1!$A$2:$A$5</c:f>
              <c:strCache>
                <c:ptCount val="4"/>
                <c:pt idx="0">
                  <c:v>2021年</c:v>
                </c:pt>
                <c:pt idx="1">
                  <c:v>2022年</c:v>
                </c:pt>
                <c:pt idx="2">
                  <c:v>增加额</c:v>
                </c:pt>
              </c:strCache>
            </c:strRef>
          </c:cat>
          <c:val>
            <c:numRef>
              <c:f>Sheet1!$C$2:$C$5</c:f>
              <c:numCache>
                <c:formatCode>General</c:formatCode>
                <c:ptCount val="4"/>
                <c:pt idx="0">
                  <c:v>0</c:v>
                </c:pt>
                <c:pt idx="1">
                  <c:v>59.48</c:v>
                </c:pt>
                <c:pt idx="2">
                  <c:v>59.47</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Sheet1!$A$2:$A$5</c:f>
              <c:strCache>
                <c:ptCount val="4"/>
                <c:pt idx="0">
                  <c:v>2021年</c:v>
                </c:pt>
                <c:pt idx="1">
                  <c:v>2022年</c:v>
                </c:pt>
                <c:pt idx="2">
                  <c:v>增加额</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643291820"/>
        <c:axId val="242061708"/>
      </c:barChart>
      <c:catAx>
        <c:axId val="64329182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2061708"/>
        <c:crosses val="autoZero"/>
        <c:auto val="1"/>
        <c:lblAlgn val="ctr"/>
        <c:lblOffset val="100"/>
        <c:noMultiLvlLbl val="0"/>
      </c:catAx>
      <c:valAx>
        <c:axId val="2420617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32918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毛坝财政所</a:t>
            </a:r>
            <a:r>
              <a:rPr lang="en-US" altLang="zh-CN"/>
              <a:t>2022</a:t>
            </a:r>
            <a:r>
              <a:rPr altLang="en-US"/>
              <a:t>年财政拨款收支情况表</a:t>
            </a:r>
            <a:endParaRPr lang="en-US" altLang="zh-CN"/>
          </a:p>
        </c:rich>
      </c:tx>
      <c:layout/>
      <c:overlay val="0"/>
      <c:spPr>
        <a:noFill/>
        <a:ln>
          <a:noFill/>
        </a:ln>
        <a:effectLst/>
      </c:spPr>
    </c:title>
    <c:autoTitleDeleted val="0"/>
    <c:plotArea>
      <c:layout>
        <c:manualLayout>
          <c:layoutTarget val="inner"/>
          <c:xMode val="edge"/>
          <c:yMode val="edge"/>
          <c:x val="0.0697036365989388"/>
          <c:y val="0.132307160152196"/>
          <c:w val="0.90182477028601"/>
          <c:h val="0.70570736769284"/>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Sheet1!$A$2:$A$5</c:f>
              <c:strCache>
                <c:ptCount val="4"/>
                <c:pt idx="0">
                  <c:v>2021年</c:v>
                </c:pt>
                <c:pt idx="1">
                  <c:v>2022年</c:v>
                </c:pt>
                <c:pt idx="2">
                  <c:v>增加额</c:v>
                </c:pt>
              </c:strCache>
            </c:strRef>
          </c:cat>
          <c:val>
            <c:numRef>
              <c:f>Sheet1!$B$2:$B$5</c:f>
              <c:numCache>
                <c:formatCode>General</c:formatCode>
                <c:ptCount val="4"/>
                <c:pt idx="0">
                  <c:v>0</c:v>
                </c:pt>
                <c:pt idx="1">
                  <c:v>59.47</c:v>
                </c:pt>
                <c:pt idx="2">
                  <c:v>59.47</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Sheet1!$A$2:$A$5</c:f>
              <c:strCache>
                <c:ptCount val="4"/>
                <c:pt idx="0">
                  <c:v>2021年</c:v>
                </c:pt>
                <c:pt idx="1">
                  <c:v>2022年</c:v>
                </c:pt>
                <c:pt idx="2">
                  <c:v>增加额</c:v>
                </c:pt>
              </c:strCache>
            </c:strRef>
          </c:cat>
          <c:val>
            <c:numRef>
              <c:f>Sheet1!$C$2:$C$5</c:f>
              <c:numCache>
                <c:formatCode>General</c:formatCode>
                <c:ptCount val="4"/>
                <c:pt idx="0">
                  <c:v>0</c:v>
                </c:pt>
                <c:pt idx="1">
                  <c:v>59.47</c:v>
                </c:pt>
                <c:pt idx="2">
                  <c:v>59.47</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2021年</c:v>
                </c:pt>
                <c:pt idx="1">
                  <c:v>2022年</c:v>
                </c:pt>
                <c:pt idx="2">
                  <c:v>增加额</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829571785"/>
        <c:axId val="310595388"/>
      </c:barChart>
      <c:catAx>
        <c:axId val="82957178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0595388"/>
        <c:crosses val="autoZero"/>
        <c:auto val="1"/>
        <c:lblAlgn val="ctr"/>
        <c:lblOffset val="100"/>
        <c:noMultiLvlLbl val="0"/>
      </c:catAx>
      <c:valAx>
        <c:axId val="3105953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957178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3685</Words>
  <Characters>4066</Characters>
  <Lines>0</Lines>
  <Paragraphs>0</Paragraphs>
  <TotalTime>17</TotalTime>
  <ScaleCrop>false</ScaleCrop>
  <LinksUpToDate>false</LinksUpToDate>
  <CharactersWithSpaces>4109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2019-11-29T08:56:00Z</dcterms:created>
  <dc:creator>郭超(拟稿)</dc:creator>
  <cp:lastModifiedBy>czs888</cp:lastModifiedBy>
  <cp:lastPrinted>2023-09-21T06:56:59Z</cp:lastPrinted>
  <dcterms:modified xsi:type="dcterms:W3CDTF">2023-09-21T07:12:06Z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CAF4C4EA64404B83B4E6BE0114410B71</vt:lpwstr>
  </property>
</Properties>
</file>