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紫阳县财政局麻柳财政所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eastAsia="zh-CN"/>
        </w:rPr>
        <w:t>（</w:t>
      </w:r>
      <w:r>
        <w:rPr>
          <w:rFonts w:hint="eastAsia" w:ascii="仿宋" w:hAnsi="仿宋" w:eastAsia="仿宋" w:cs="仿宋"/>
          <w:sz w:val="32"/>
          <w:szCs w:val="32"/>
          <w:highlight w:val="none"/>
          <w:lang w:val="en-US"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1、主要承担促进农村经济社会发展、加强镇财政管理的职能；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3、负责镇非税收入的管理;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6、按照财政财务体制划分负责镇政府辖区内各单位的财政财务和政府采购活动的监管；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7、负责镇债权债务监管；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10、承担上级财政部门和法律法规赋予的其他工作。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本所为副科级规格，设所长 1名(副科级），干部3人，为财政局下属二级单位。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仿宋_GB2312" w:hAnsi="仿宋_GB2312" w:eastAsia="仿宋_GB2312" w:cs="仿宋_GB2312"/>
          <w:color w:val="000000"/>
          <w:kern w:val="0"/>
          <w:sz w:val="31"/>
          <w:szCs w:val="31"/>
          <w:lang w:val="en-US" w:eastAsia="zh-CN" w:bidi="ar-SA"/>
        </w:rPr>
      </w:pPr>
      <w:r>
        <w:rPr>
          <w:rFonts w:hint="eastAsia" w:ascii="仿宋_GB2312" w:hAnsi="仿宋_GB2312" w:eastAsia="仿宋_GB2312" w:cs="仿宋_GB2312"/>
          <w:color w:val="000000"/>
          <w:kern w:val="0"/>
          <w:sz w:val="31"/>
          <w:szCs w:val="31"/>
          <w:lang w:val="en-US" w:eastAsia="zh-CN" w:bidi="ar-SA"/>
        </w:rPr>
        <w:t>1</w:t>
      </w:r>
      <w:r>
        <w:rPr>
          <w:rFonts w:hint="default" w:ascii="仿宋_GB2312" w:hAnsi="仿宋_GB2312" w:eastAsia="仿宋_GB2312" w:cs="仿宋_GB2312"/>
          <w:color w:val="000000"/>
          <w:kern w:val="0"/>
          <w:sz w:val="31"/>
          <w:szCs w:val="31"/>
          <w:lang w:val="en-US" w:eastAsia="zh-CN" w:bidi="ar-SA"/>
        </w:rPr>
        <w:t>、围绕公共财政，优化支出结构，保障社会事业协调发展。围绕公共财政建设目标，不断调整优化支出结构，努力实现社会事业的全面协调发展。一是本着“一要吃饭，二要建设”的原则，区分轻重缓急，统筹安排资金，重点确保人员工资按时发放，养老</w:t>
      </w:r>
      <w:r>
        <w:rPr>
          <w:rFonts w:hint="eastAsia" w:ascii="仿宋_GB2312" w:hAnsi="仿宋_GB2312" w:eastAsia="仿宋_GB2312" w:cs="仿宋_GB2312"/>
          <w:color w:val="000000"/>
          <w:kern w:val="0"/>
          <w:sz w:val="31"/>
          <w:szCs w:val="31"/>
          <w:lang w:val="en-US" w:eastAsia="zh-CN" w:bidi="ar-SA"/>
        </w:rPr>
        <w:t>、</w:t>
      </w:r>
      <w:r>
        <w:rPr>
          <w:rFonts w:hint="default" w:ascii="仿宋_GB2312" w:hAnsi="仿宋_GB2312" w:eastAsia="仿宋_GB2312" w:cs="仿宋_GB2312"/>
          <w:color w:val="000000"/>
          <w:kern w:val="0"/>
          <w:sz w:val="31"/>
          <w:szCs w:val="31"/>
          <w:lang w:val="en-US" w:eastAsia="zh-CN" w:bidi="ar-SA"/>
        </w:rPr>
        <w:t>医保经费的及时缴纳</w:t>
      </w:r>
      <w:r>
        <w:rPr>
          <w:rFonts w:hint="eastAsia" w:ascii="仿宋_GB2312" w:hAnsi="仿宋_GB2312" w:eastAsia="仿宋_GB2312" w:cs="仿宋_GB2312"/>
          <w:color w:val="000000"/>
          <w:kern w:val="0"/>
          <w:sz w:val="31"/>
          <w:szCs w:val="31"/>
          <w:lang w:val="en-US" w:eastAsia="zh-CN" w:bidi="ar-SA"/>
        </w:rPr>
        <w:t>，</w:t>
      </w:r>
      <w:r>
        <w:rPr>
          <w:rFonts w:hint="default" w:ascii="仿宋_GB2312" w:hAnsi="仿宋_GB2312" w:eastAsia="仿宋_GB2312" w:cs="仿宋_GB2312"/>
          <w:color w:val="000000"/>
          <w:kern w:val="0"/>
          <w:sz w:val="31"/>
          <w:szCs w:val="31"/>
          <w:lang w:val="en-US" w:eastAsia="zh-CN" w:bidi="ar-SA"/>
        </w:rPr>
        <w:t>民政低保五保人员补助金按时发放。针对行政事业单位的运行现状，及时调整经费供给办法，确保了各部门的履职支出。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default" w:ascii="仿宋_GB2312" w:hAnsi="仿宋_GB2312" w:eastAsia="仿宋_GB2312" w:cs="仿宋_GB2312"/>
          <w:color w:val="000000"/>
          <w:kern w:val="0"/>
          <w:sz w:val="31"/>
          <w:szCs w:val="31"/>
          <w:lang w:val="en-US" w:eastAsia="zh-CN" w:bidi="ar-SA"/>
        </w:rPr>
      </w:pPr>
      <w:r>
        <w:rPr>
          <w:rFonts w:hint="eastAsia" w:ascii="仿宋_GB2312" w:hAnsi="仿宋_GB2312" w:eastAsia="仿宋_GB2312" w:cs="仿宋_GB2312"/>
          <w:color w:val="000000"/>
          <w:kern w:val="0"/>
          <w:sz w:val="31"/>
          <w:szCs w:val="31"/>
          <w:lang w:val="en-US" w:eastAsia="zh-CN" w:bidi="ar-SA"/>
        </w:rPr>
        <w:t>2</w:t>
      </w:r>
      <w:r>
        <w:rPr>
          <w:rFonts w:hint="default" w:ascii="仿宋_GB2312" w:hAnsi="仿宋_GB2312" w:eastAsia="仿宋_GB2312" w:cs="仿宋_GB2312"/>
          <w:color w:val="000000"/>
          <w:kern w:val="0"/>
          <w:sz w:val="31"/>
          <w:szCs w:val="31"/>
          <w:lang w:val="en-US" w:eastAsia="zh-CN" w:bidi="ar-SA"/>
        </w:rPr>
        <w:t>、围绕改善民生，构建和谐社会，加快社会主义新农村建设。我们坚持“多予，少取”的方针，着力改善民生。支农力度不断加大，投入结构不断优化，惠农政策取得实效。认真落实惠农政策，粮食直补、农资综合补贴等</w:t>
      </w:r>
      <w:r>
        <w:rPr>
          <w:rFonts w:hint="eastAsia" w:ascii="仿宋_GB2312" w:hAnsi="仿宋_GB2312" w:eastAsia="仿宋_GB2312" w:cs="仿宋_GB2312"/>
          <w:color w:val="000000"/>
          <w:kern w:val="0"/>
          <w:sz w:val="31"/>
          <w:szCs w:val="31"/>
          <w:lang w:val="en-US" w:eastAsia="zh-CN" w:bidi="ar-SA"/>
        </w:rPr>
        <w:t>41</w:t>
      </w:r>
      <w:r>
        <w:rPr>
          <w:rFonts w:hint="default" w:ascii="仿宋_GB2312" w:hAnsi="仿宋_GB2312" w:eastAsia="仿宋_GB2312" w:cs="仿宋_GB2312"/>
          <w:color w:val="000000"/>
          <w:kern w:val="0"/>
          <w:sz w:val="31"/>
          <w:szCs w:val="31"/>
          <w:lang w:val="en-US" w:eastAsia="zh-CN" w:bidi="ar-SA"/>
        </w:rPr>
        <w:t>个涉农补贴项目资金通过“一卡通”直接打卡发放到农户。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仿宋_GB2312" w:hAnsi="仿宋_GB2312" w:eastAsia="仿宋_GB2312" w:cs="仿宋_GB2312"/>
          <w:color w:val="000000"/>
          <w:kern w:val="0"/>
          <w:sz w:val="31"/>
          <w:szCs w:val="31"/>
          <w:lang w:val="en-US" w:eastAsia="zh-CN" w:bidi="ar-SA"/>
        </w:rPr>
      </w:pPr>
      <w:r>
        <w:rPr>
          <w:rFonts w:hint="eastAsia" w:ascii="仿宋_GB2312" w:hAnsi="仿宋_GB2312" w:eastAsia="仿宋_GB2312" w:cs="仿宋_GB2312"/>
          <w:color w:val="000000"/>
          <w:kern w:val="0"/>
          <w:sz w:val="31"/>
          <w:szCs w:val="31"/>
          <w:lang w:val="en-US" w:eastAsia="zh-CN" w:bidi="ar-SA"/>
        </w:rPr>
        <w:t>3</w:t>
      </w:r>
      <w:r>
        <w:rPr>
          <w:rFonts w:hint="default" w:ascii="仿宋_GB2312" w:hAnsi="仿宋_GB2312" w:eastAsia="仿宋_GB2312" w:cs="仿宋_GB2312"/>
          <w:color w:val="000000"/>
          <w:kern w:val="0"/>
          <w:sz w:val="31"/>
          <w:szCs w:val="31"/>
          <w:lang w:val="en-US" w:eastAsia="zh-CN" w:bidi="ar-SA"/>
        </w:rPr>
        <w:t>、围绕财政资金安全，加大监管力度，提高财政资金使用绩效。</w:t>
      </w:r>
      <w:r>
        <w:rPr>
          <w:rFonts w:hint="eastAsia" w:ascii="仿宋_GB2312" w:hAnsi="仿宋_GB2312" w:eastAsia="仿宋_GB2312" w:cs="仿宋_GB2312"/>
          <w:color w:val="000000"/>
          <w:kern w:val="0"/>
          <w:sz w:val="31"/>
          <w:szCs w:val="31"/>
          <w:lang w:val="en-US" w:eastAsia="zh-CN" w:bidi="ar-SA"/>
        </w:rPr>
        <w:t>一</w:t>
      </w:r>
      <w:r>
        <w:rPr>
          <w:rFonts w:hint="default" w:ascii="仿宋_GB2312" w:hAnsi="仿宋_GB2312" w:eastAsia="仿宋_GB2312" w:cs="仿宋_GB2312"/>
          <w:color w:val="000000"/>
          <w:kern w:val="0"/>
          <w:sz w:val="31"/>
          <w:szCs w:val="31"/>
          <w:lang w:val="en-US" w:eastAsia="zh-CN" w:bidi="ar-SA"/>
        </w:rPr>
        <w:t>是认真组织民生资金专项自查、完善内控制度，健全各项财务手续和资金申拨流程，真正让资金运行做到公开透明、全程留痕</w:t>
      </w:r>
      <w:r>
        <w:rPr>
          <w:rFonts w:hint="eastAsia" w:ascii="仿宋_GB2312" w:hAnsi="仿宋_GB2312" w:eastAsia="仿宋_GB2312" w:cs="仿宋_GB2312"/>
          <w:color w:val="000000"/>
          <w:kern w:val="0"/>
          <w:sz w:val="31"/>
          <w:szCs w:val="31"/>
          <w:lang w:val="en-US" w:eastAsia="zh-CN" w:bidi="ar-SA"/>
        </w:rPr>
        <w:t>，</w:t>
      </w:r>
      <w:r>
        <w:rPr>
          <w:rFonts w:hint="default" w:ascii="仿宋_GB2312" w:hAnsi="仿宋_GB2312" w:eastAsia="仿宋_GB2312" w:cs="仿宋_GB2312"/>
          <w:color w:val="000000"/>
          <w:kern w:val="0"/>
          <w:sz w:val="31"/>
          <w:szCs w:val="31"/>
          <w:lang w:val="en-US" w:eastAsia="zh-CN" w:bidi="ar-SA"/>
        </w:rPr>
        <w:t>确保</w:t>
      </w:r>
      <w:r>
        <w:rPr>
          <w:rFonts w:hint="eastAsia" w:ascii="仿宋_GB2312" w:hAnsi="仿宋_GB2312" w:eastAsia="仿宋_GB2312" w:cs="仿宋_GB2312"/>
          <w:color w:val="000000"/>
          <w:kern w:val="0"/>
          <w:sz w:val="31"/>
          <w:szCs w:val="31"/>
          <w:lang w:val="en-US" w:eastAsia="zh-CN" w:bidi="ar-SA"/>
        </w:rPr>
        <w:t>资金支付</w:t>
      </w:r>
      <w:r>
        <w:rPr>
          <w:rFonts w:hint="default" w:ascii="仿宋_GB2312" w:hAnsi="仿宋_GB2312" w:eastAsia="仿宋_GB2312" w:cs="仿宋_GB2312"/>
          <w:color w:val="000000"/>
          <w:kern w:val="0"/>
          <w:sz w:val="31"/>
          <w:szCs w:val="31"/>
          <w:lang w:val="en-US" w:eastAsia="zh-CN" w:bidi="ar-SA"/>
        </w:rPr>
        <w:t>规范有序</w:t>
      </w:r>
      <w:r>
        <w:rPr>
          <w:rFonts w:hint="eastAsia" w:ascii="仿宋_GB2312" w:hAnsi="仿宋_GB2312" w:eastAsia="仿宋_GB2312" w:cs="仿宋_GB2312"/>
          <w:color w:val="000000"/>
          <w:kern w:val="0"/>
          <w:sz w:val="31"/>
          <w:szCs w:val="31"/>
          <w:lang w:val="en-US" w:eastAsia="zh-CN" w:bidi="ar-SA"/>
        </w:rPr>
        <w:t>；二是强化预算绩效管理，严格从事前、事中、事后优化预算绩效管理方式，注重结果导向，强调成本效益</w:t>
      </w:r>
      <w:r>
        <w:rPr>
          <w:rFonts w:hint="default" w:ascii="仿宋_GB2312" w:hAnsi="仿宋_GB2312" w:eastAsia="仿宋_GB2312" w:cs="仿宋_GB2312"/>
          <w:color w:val="000000"/>
          <w:kern w:val="0"/>
          <w:sz w:val="31"/>
          <w:szCs w:val="31"/>
          <w:lang w:val="en-US" w:eastAsia="zh-CN" w:bidi="ar-SA"/>
        </w:rPr>
        <w:t>。</w:t>
      </w:r>
      <w:r>
        <w:rPr>
          <w:rFonts w:hint="eastAsia" w:ascii="仿宋_GB2312" w:hAnsi="仿宋_GB2312" w:eastAsia="仿宋_GB2312" w:cs="仿宋_GB2312"/>
          <w:color w:val="000000"/>
          <w:kern w:val="0"/>
          <w:sz w:val="31"/>
          <w:szCs w:val="31"/>
          <w:lang w:val="en-US" w:eastAsia="zh-CN" w:bidi="ar-SA"/>
        </w:rPr>
        <w:t>牢固树立“花钱必问效，无效必问责问”的理念，建立以绩效为导向的预算机制，切实提高财政资金使用效益。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r>
        <w:rPr>
          <w:rFonts w:hint="eastAsia" w:ascii="仿宋" w:hAnsi="仿宋" w:eastAsia="仿宋" w:cs="仿宋"/>
          <w:sz w:val="32"/>
          <w:szCs w:val="32"/>
          <w:lang w:eastAsia="zh-CN"/>
        </w:rPr>
        <w:t>紫阳县财政局麻柳财政所。</w:t>
      </w:r>
    </w:p>
    <w:p>
      <w:pPr>
        <w:pStyle w:val="2"/>
        <w:rPr>
          <w:rFonts w:hint="eastAsia"/>
        </w:rPr>
      </w:pP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紫阳县财政局麻柳财政所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 w:hAnsi="仿宋" w:eastAsia="仿宋" w:cs="仿宋"/>
                <w:sz w:val="32"/>
                <w:szCs w:val="32"/>
                <w:lang w:val="en-US" w:eastAsia="zh-CN"/>
              </w:rPr>
            </w:pP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eastAsia="仿宋"/>
          <w:lang w:val="en-US" w:eastAsia="zh-CN"/>
        </w:rPr>
      </w:pPr>
      <w:r>
        <w:rPr>
          <w:rFonts w:hint="eastAsia" w:ascii="仿宋" w:hAnsi="仿宋" w:eastAsia="仿宋" w:cs="仿宋"/>
          <w:sz w:val="32"/>
          <w:szCs w:val="32"/>
        </w:rPr>
        <w:t>截止</w:t>
      </w:r>
      <w:r>
        <w:rPr>
          <w:rFonts w:hint="eastAsia" w:ascii="仿宋" w:hAnsi="仿宋" w:eastAsia="仿宋" w:cs="仿宋"/>
          <w:sz w:val="32"/>
          <w:szCs w:val="32"/>
          <w:lang w:eastAsia="zh-CN"/>
        </w:rPr>
        <w:t>2021年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r>
        <w:drawing>
          <wp:inline distT="0" distB="0" distL="114300" distR="114300">
            <wp:extent cx="4572000" cy="3124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63.83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63.83</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32.37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人员经费支出预算增加</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32.37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人员经费支出预算增加。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63.83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63.83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32.37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人员经费支出预算增加</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32.37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人员经费支出预算增加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32.37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人员经费支出预算增加</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52.98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30.05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人员经费支出预算增加；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（2）机关事业单位基本养老保险缴费支出（</w:t>
      </w:r>
      <w:r>
        <w:rPr>
          <w:rFonts w:hint="eastAsia" w:ascii="仿宋" w:hAnsi="仿宋" w:eastAsia="仿宋" w:cs="仿宋"/>
          <w:sz w:val="32"/>
          <w:szCs w:val="32"/>
          <w:lang w:val="en-US" w:eastAsia="zh-CN"/>
        </w:rPr>
        <w:t>2080505</w:t>
      </w:r>
      <w:r>
        <w:rPr>
          <w:rFonts w:hint="eastAsia" w:ascii="仿宋" w:hAnsi="仿宋" w:eastAsia="仿宋" w:cs="仿宋"/>
          <w:sz w:val="32"/>
          <w:szCs w:val="32"/>
        </w:rPr>
        <w:t>）</w:t>
      </w:r>
      <w:r>
        <w:rPr>
          <w:rFonts w:hint="eastAsia" w:ascii="仿宋" w:hAnsi="仿宋" w:eastAsia="仿宋" w:cs="仿宋"/>
          <w:sz w:val="32"/>
          <w:szCs w:val="32"/>
          <w:lang w:val="en-US" w:eastAsia="zh-CN"/>
        </w:rPr>
        <w:t>4.66</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2.34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人员增加，预算增加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（3）行政单位医疗（</w:t>
      </w:r>
      <w:r>
        <w:rPr>
          <w:rFonts w:hint="eastAsia" w:ascii="仿宋" w:hAnsi="仿宋" w:eastAsia="仿宋" w:cs="仿宋"/>
          <w:sz w:val="32"/>
          <w:szCs w:val="32"/>
          <w:lang w:val="en-US" w:eastAsia="zh-CN"/>
        </w:rPr>
        <w:t>2101101</w:t>
      </w:r>
      <w:r>
        <w:rPr>
          <w:rFonts w:hint="eastAsia" w:ascii="仿宋" w:hAnsi="仿宋" w:eastAsia="仿宋" w:cs="仿宋"/>
          <w:sz w:val="32"/>
          <w:szCs w:val="32"/>
        </w:rPr>
        <w:t>）</w:t>
      </w:r>
      <w:r>
        <w:rPr>
          <w:rFonts w:hint="eastAsia" w:ascii="仿宋" w:hAnsi="仿宋" w:eastAsia="仿宋" w:cs="仿宋"/>
          <w:sz w:val="32"/>
          <w:szCs w:val="32"/>
          <w:lang w:val="en-US" w:eastAsia="zh-CN"/>
        </w:rPr>
        <w:t>2.28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人员增加，预算增加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（4）住房公积金（</w:t>
      </w:r>
      <w:r>
        <w:rPr>
          <w:rFonts w:hint="eastAsia" w:ascii="仿宋" w:hAnsi="仿宋" w:eastAsia="仿宋" w:cs="仿宋"/>
          <w:sz w:val="32"/>
          <w:szCs w:val="32"/>
          <w:lang w:val="en-US" w:eastAsia="zh-CN"/>
        </w:rPr>
        <w:t>2210201</w:t>
      </w:r>
      <w:r>
        <w:rPr>
          <w:rFonts w:hint="eastAsia" w:ascii="仿宋" w:hAnsi="仿宋" w:eastAsia="仿宋" w:cs="仿宋"/>
          <w:sz w:val="32"/>
          <w:szCs w:val="32"/>
        </w:rPr>
        <w:t>）</w:t>
      </w:r>
      <w:r>
        <w:rPr>
          <w:rFonts w:hint="eastAsia" w:ascii="仿宋" w:hAnsi="仿宋" w:eastAsia="仿宋" w:cs="仿宋"/>
          <w:sz w:val="32"/>
          <w:szCs w:val="32"/>
          <w:lang w:val="en-US" w:eastAsia="zh-CN"/>
        </w:rPr>
        <w:t>3.91</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1.96</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人员增加，预算增加。</w:t>
      </w:r>
    </w:p>
    <w:p>
      <w:pPr>
        <w:pStyle w:val="2"/>
        <w:rPr>
          <w:rFonts w:hint="eastAsia" w:ascii="仿宋" w:hAnsi="仿宋" w:eastAsia="仿宋" w:cs="仿宋"/>
          <w:sz w:val="32"/>
          <w:szCs w:val="32"/>
          <w:lang w:eastAsia="zh-CN"/>
        </w:rPr>
      </w:pPr>
    </w:p>
    <w:p>
      <w:pPr>
        <w:pStyle w:val="3"/>
        <w:ind w:left="0" w:leftChars="0" w:firstLine="0" w:firstLineChars="0"/>
        <w:rPr>
          <w:rFonts w:hint="eastAsia" w:ascii="仿宋" w:hAnsi="仿宋" w:eastAsia="仿宋" w:cs="仿宋"/>
          <w:sz w:val="32"/>
          <w:szCs w:val="32"/>
          <w:lang w:eastAsia="zh-CN"/>
        </w:rPr>
      </w:pPr>
      <w:r>
        <w:rPr>
          <w:rFonts w:hint="eastAsia"/>
          <w:lang w:val="en-US" w:eastAsia="zh-CN"/>
        </w:rPr>
        <w:t xml:space="preserve">      </w:t>
      </w:r>
      <w:r>
        <w:drawing>
          <wp:inline distT="0" distB="0" distL="114300" distR="114300">
            <wp:extent cx="4572000" cy="3456305"/>
            <wp:effectExtent l="4445" t="4445" r="14605" b="63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（1）按照部门预算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51.43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23.27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人员增加，预算增加</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12.4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4.21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人员增加，预算增加。</w:t>
      </w:r>
    </w:p>
    <w:p>
      <w:pPr>
        <w:pStyle w:val="3"/>
        <w:rPr>
          <w:rFonts w:hint="eastAsia" w:ascii="仿宋" w:hAnsi="仿宋" w:eastAsia="仿宋" w:cs="仿宋"/>
          <w:sz w:val="32"/>
          <w:szCs w:val="32"/>
          <w:lang w:eastAsia="zh-CN"/>
        </w:rPr>
      </w:pPr>
      <w:r>
        <w:rPr>
          <w:rFonts w:hint="eastAsia"/>
          <w:lang w:val="en-US" w:eastAsia="zh-CN"/>
        </w:rPr>
        <w:t xml:space="preserve">   </w:t>
      </w:r>
      <w:r>
        <w:drawing>
          <wp:inline distT="0" distB="0" distL="114300" distR="114300">
            <wp:extent cx="4572000" cy="317182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63.83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54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23.27</w:t>
      </w:r>
      <w:r>
        <w:rPr>
          <w:rFonts w:hint="eastAsia" w:ascii="仿宋" w:hAnsi="仿宋" w:eastAsia="仿宋" w:cs="仿宋"/>
          <w:sz w:val="32"/>
          <w:szCs w:val="32"/>
        </w:rPr>
        <w:t>万元，</w:t>
      </w:r>
      <w:r>
        <w:rPr>
          <w:rFonts w:hint="eastAsia" w:ascii="仿宋" w:hAnsi="仿宋" w:eastAsia="仿宋" w:cs="仿宋"/>
          <w:sz w:val="32"/>
          <w:szCs w:val="32"/>
          <w:lang w:eastAsia="zh-CN"/>
        </w:rPr>
        <w:t>人员增加，预算增加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9.38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1.19</w:t>
      </w:r>
      <w:r>
        <w:rPr>
          <w:rFonts w:hint="eastAsia" w:ascii="仿宋" w:hAnsi="仿宋" w:eastAsia="仿宋" w:cs="仿宋"/>
          <w:sz w:val="32"/>
          <w:szCs w:val="32"/>
        </w:rPr>
        <w:t>万元，</w:t>
      </w:r>
      <w:r>
        <w:rPr>
          <w:rFonts w:hint="eastAsia" w:ascii="仿宋" w:hAnsi="仿宋" w:eastAsia="仿宋" w:cs="仿宋"/>
          <w:sz w:val="32"/>
          <w:szCs w:val="32"/>
          <w:lang w:eastAsia="zh-CN"/>
        </w:rPr>
        <w:t>人员增加，预算增加。</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drawing>
          <wp:inline distT="0" distB="0" distL="114300" distR="114300">
            <wp:extent cx="4705350" cy="3258185"/>
            <wp:effectExtent l="4445" t="4445" r="14605" b="1397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2021年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本部门无2021年结转的政府性基金预算拨款支出，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2021年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0.11</w:t>
      </w:r>
      <w:r>
        <w:rPr>
          <w:rFonts w:hint="eastAsia" w:ascii="仿宋" w:hAnsi="仿宋" w:eastAsia="仿宋" w:cs="仿宋"/>
          <w:sz w:val="32"/>
          <w:szCs w:val="32"/>
        </w:rPr>
        <w:t>万元（</w:t>
      </w:r>
      <w:r>
        <w:rPr>
          <w:rFonts w:hint="eastAsia" w:ascii="仿宋" w:hAnsi="仿宋" w:eastAsia="仿宋" w:cs="仿宋"/>
          <w:sz w:val="32"/>
          <w:szCs w:val="32"/>
          <w:lang w:val="en-US" w:eastAsia="zh-CN"/>
        </w:rPr>
        <w:t>100</w:t>
      </w:r>
      <w:r>
        <w:rPr>
          <w:rFonts w:hint="eastAsia" w:ascii="仿宋" w:hAnsi="仿宋" w:eastAsia="仿宋" w:cs="仿宋"/>
          <w:sz w:val="32"/>
          <w:szCs w:val="32"/>
        </w:rPr>
        <w:t>%），增加的主要原因是</w:t>
      </w:r>
      <w:r>
        <w:rPr>
          <w:rFonts w:hint="eastAsia" w:ascii="仿宋" w:hAnsi="仿宋" w:eastAsia="仿宋" w:cs="仿宋"/>
          <w:sz w:val="32"/>
          <w:szCs w:val="32"/>
          <w:lang w:eastAsia="zh-CN"/>
        </w:rPr>
        <w:t>人员增加，预算增加</w:t>
      </w:r>
      <w:r>
        <w:rPr>
          <w:rFonts w:hint="eastAsia" w:ascii="仿宋" w:hAnsi="仿宋" w:eastAsia="仿宋" w:cs="仿宋"/>
          <w:sz w:val="32"/>
          <w:szCs w:val="32"/>
        </w:rPr>
        <w:t>。其中：因公出国（境）经费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0.11</w:t>
      </w:r>
      <w:r>
        <w:rPr>
          <w:rFonts w:hint="eastAsia" w:ascii="仿宋" w:hAnsi="仿宋" w:eastAsia="仿宋" w:cs="仿宋"/>
          <w:sz w:val="32"/>
          <w:szCs w:val="32"/>
        </w:rPr>
        <w:t>万元（</w:t>
      </w:r>
      <w:r>
        <w:rPr>
          <w:rFonts w:hint="eastAsia" w:ascii="仿宋" w:hAnsi="仿宋" w:eastAsia="仿宋" w:cs="仿宋"/>
          <w:sz w:val="32"/>
          <w:szCs w:val="32"/>
          <w:lang w:val="en-US" w:eastAsia="zh-CN"/>
        </w:rPr>
        <w:t>100</w:t>
      </w:r>
      <w:r>
        <w:rPr>
          <w:rFonts w:hint="eastAsia" w:ascii="仿宋" w:hAnsi="仿宋" w:eastAsia="仿宋" w:cs="仿宋"/>
          <w:sz w:val="32"/>
          <w:szCs w:val="32"/>
        </w:rPr>
        <w:t>%），增加的主要原因是</w:t>
      </w:r>
      <w:r>
        <w:rPr>
          <w:rFonts w:hint="eastAsia" w:ascii="仿宋" w:hAnsi="仿宋" w:eastAsia="仿宋" w:cs="仿宋"/>
          <w:sz w:val="32"/>
          <w:szCs w:val="32"/>
          <w:lang w:eastAsia="zh-CN"/>
        </w:rPr>
        <w:t>人员增加，预算增加</w:t>
      </w:r>
      <w:r>
        <w:rPr>
          <w:rFonts w:hint="eastAsia" w:ascii="仿宋" w:hAnsi="仿宋" w:eastAsia="仿宋" w:cs="仿宋"/>
          <w:sz w:val="32"/>
          <w:szCs w:val="32"/>
        </w:rPr>
        <w:t>；</w:t>
      </w:r>
      <w:r>
        <w:rPr>
          <w:rFonts w:hint="eastAsia" w:ascii="仿宋" w:hAnsi="仿宋" w:eastAsia="仿宋" w:cs="仿宋"/>
          <w:sz w:val="32"/>
          <w:szCs w:val="32"/>
          <w:lang w:eastAsia="zh-CN"/>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较上年增加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）2022年本部门当年会议费预算支出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万元。培训费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w:t>
      </w:r>
      <w:r>
        <w:rPr>
          <w:rFonts w:hint="eastAsia" w:ascii="仿宋" w:hAnsi="仿宋" w:eastAsia="仿宋" w:cs="仿宋"/>
          <w:sz w:val="32"/>
          <w:szCs w:val="32"/>
        </w:rPr>
        <w:t>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2021年</w:t>
      </w:r>
      <w:r>
        <w:rPr>
          <w:rFonts w:hint="eastAsia" w:ascii="仿宋" w:hAnsi="仿宋" w:eastAsia="仿宋" w:cs="仿宋"/>
          <w:sz w:val="32"/>
          <w:szCs w:val="32"/>
        </w:rPr>
        <w:t>底，本部门所属预算</w:t>
      </w:r>
      <w:r>
        <w:rPr>
          <w:rFonts w:hint="eastAsia" w:ascii="仿宋" w:hAnsi="仿宋" w:eastAsia="仿宋" w:cs="仿宋"/>
          <w:sz w:val="32"/>
          <w:szCs w:val="32"/>
          <w:lang w:eastAsia="zh-CN"/>
        </w:rPr>
        <w:t>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r>
        <w:rPr>
          <w:rFonts w:hint="eastAsia" w:ascii="仿宋" w:hAnsi="仿宋" w:eastAsia="仿宋" w:cs="仿宋"/>
          <w:sz w:val="32"/>
          <w:szCs w:val="32"/>
          <w:lang w:eastAsia="zh-CN"/>
        </w:rPr>
        <w:t>2022年当年部门</w:t>
      </w:r>
      <w:r>
        <w:rPr>
          <w:rFonts w:hint="eastAsia" w:ascii="仿宋" w:hAnsi="仿宋" w:eastAsia="仿宋" w:cs="仿宋"/>
          <w:sz w:val="32"/>
          <w:szCs w:val="32"/>
        </w:rPr>
        <w:t>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无政府采购预算，并已公开空表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结转的政府采购资金支出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63.83</w:t>
      </w:r>
      <w:r>
        <w:rPr>
          <w:rFonts w:hint="eastAsia" w:ascii="仿宋" w:hAnsi="仿宋" w:eastAsia="仿宋" w:cs="仿宋"/>
          <w:sz w:val="32"/>
          <w:szCs w:val="32"/>
        </w:rPr>
        <w:t>万元,当年政府性基金预算拨款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2022年，本部门专项资金未纳入部门预算，并已公开空表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2.38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人员增加，预算增加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333333"/>
          <w:kern w:val="0"/>
          <w:sz w:val="32"/>
          <w:szCs w:val="32"/>
          <w:shd w:val="clear" w:color="auto" w:fill="FFFFFF"/>
          <w:lang w:bidi="ar"/>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0381D"/>
    <w:rsid w:val="00D70262"/>
    <w:rsid w:val="018F2D13"/>
    <w:rsid w:val="02722E3D"/>
    <w:rsid w:val="02953D9A"/>
    <w:rsid w:val="03791D26"/>
    <w:rsid w:val="04F35073"/>
    <w:rsid w:val="061D2748"/>
    <w:rsid w:val="06D7231D"/>
    <w:rsid w:val="06DD5595"/>
    <w:rsid w:val="075D6C6A"/>
    <w:rsid w:val="0773304F"/>
    <w:rsid w:val="089D1D43"/>
    <w:rsid w:val="0A653AEA"/>
    <w:rsid w:val="0AAB1747"/>
    <w:rsid w:val="0B473936"/>
    <w:rsid w:val="0B820553"/>
    <w:rsid w:val="0B8A1B09"/>
    <w:rsid w:val="0C805687"/>
    <w:rsid w:val="0D053BAB"/>
    <w:rsid w:val="0D594F94"/>
    <w:rsid w:val="0E1F698E"/>
    <w:rsid w:val="0F4B0C4F"/>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9FE6A55"/>
    <w:rsid w:val="2A3E38E1"/>
    <w:rsid w:val="2BF2458F"/>
    <w:rsid w:val="2F3B562F"/>
    <w:rsid w:val="2FC8494E"/>
    <w:rsid w:val="314B37FB"/>
    <w:rsid w:val="31B733F7"/>
    <w:rsid w:val="385D1A98"/>
    <w:rsid w:val="38F70388"/>
    <w:rsid w:val="3A4434B4"/>
    <w:rsid w:val="3B055E9C"/>
    <w:rsid w:val="3D28036F"/>
    <w:rsid w:val="3D8407DF"/>
    <w:rsid w:val="3DFF32ED"/>
    <w:rsid w:val="3F503091"/>
    <w:rsid w:val="41851E44"/>
    <w:rsid w:val="420B5D06"/>
    <w:rsid w:val="4248700C"/>
    <w:rsid w:val="44E82CFF"/>
    <w:rsid w:val="465670F7"/>
    <w:rsid w:val="471D22FA"/>
    <w:rsid w:val="472B48D8"/>
    <w:rsid w:val="4741375D"/>
    <w:rsid w:val="47C702DF"/>
    <w:rsid w:val="48422B9F"/>
    <w:rsid w:val="488947B6"/>
    <w:rsid w:val="4FB64197"/>
    <w:rsid w:val="50572E30"/>
    <w:rsid w:val="51AA26CF"/>
    <w:rsid w:val="51AA5E26"/>
    <w:rsid w:val="52C93A96"/>
    <w:rsid w:val="531A3416"/>
    <w:rsid w:val="538C5F53"/>
    <w:rsid w:val="54474AB6"/>
    <w:rsid w:val="5582405A"/>
    <w:rsid w:val="56051C6B"/>
    <w:rsid w:val="563F4648"/>
    <w:rsid w:val="57C07DEE"/>
    <w:rsid w:val="58FE3115"/>
    <w:rsid w:val="592D7B67"/>
    <w:rsid w:val="59D947AF"/>
    <w:rsid w:val="59F96CB8"/>
    <w:rsid w:val="59FD7183"/>
    <w:rsid w:val="5BD23E00"/>
    <w:rsid w:val="5BF47018"/>
    <w:rsid w:val="5C653576"/>
    <w:rsid w:val="5D571AEF"/>
    <w:rsid w:val="5E5C14C1"/>
    <w:rsid w:val="5F635E4B"/>
    <w:rsid w:val="60404B5F"/>
    <w:rsid w:val="6134696F"/>
    <w:rsid w:val="61EE3D1B"/>
    <w:rsid w:val="62460F4D"/>
    <w:rsid w:val="62A365B5"/>
    <w:rsid w:val="64631C08"/>
    <w:rsid w:val="655F4028"/>
    <w:rsid w:val="65B7439B"/>
    <w:rsid w:val="66607F61"/>
    <w:rsid w:val="67606C1C"/>
    <w:rsid w:val="676942F4"/>
    <w:rsid w:val="68EA113C"/>
    <w:rsid w:val="699E67D8"/>
    <w:rsid w:val="69B23FEC"/>
    <w:rsid w:val="69E141D5"/>
    <w:rsid w:val="69F87A79"/>
    <w:rsid w:val="6C540332"/>
    <w:rsid w:val="6DBE3A60"/>
    <w:rsid w:val="6E1418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麻柳财政所人员结构图</a:t>
            </a:r>
          </a:p>
        </c:rich>
      </c:tx>
      <c:layout>
        <c:manualLayout>
          <c:xMode val="edge"/>
          <c:yMode val="edge"/>
          <c:x val="0.349861111111111"/>
          <c:y val="0.021164021164021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工作表.xls]Sheet1'!$C$4:$C$5</c:f>
              <c:strCache>
                <c:ptCount val="2"/>
                <c:pt idx="0">
                  <c:v>编制人员</c:v>
                </c:pt>
                <c:pt idx="1">
                  <c:v>实有人员</c:v>
                </c:pt>
              </c:strCache>
            </c:strRef>
          </c:cat>
          <c:val>
            <c:numRef>
              <c:f>'[新建 XLS 工作表.xls]Sheet1'!$D$4:$D$5</c:f>
              <c:numCache>
                <c:formatCode>General</c:formatCode>
                <c:ptCount val="2"/>
                <c:pt idx="0">
                  <c:v>4</c:v>
                </c:pt>
                <c:pt idx="1">
                  <c:v>4</c:v>
                </c:pt>
              </c:numCache>
            </c:numRef>
          </c:val>
        </c:ser>
        <c:dLbls>
          <c:showLegendKey val="0"/>
          <c:showVal val="1"/>
          <c:showCatName val="0"/>
          <c:showSerName val="0"/>
          <c:showPercent val="0"/>
          <c:showBubbleSize val="0"/>
        </c:dLbls>
        <c:gapWidth val="219"/>
        <c:overlap val="-27"/>
        <c:axId val="47042985"/>
        <c:axId val="809778270"/>
      </c:barChart>
      <c:catAx>
        <c:axId val="470429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778270"/>
        <c:crosses val="autoZero"/>
        <c:auto val="1"/>
        <c:lblAlgn val="ctr"/>
        <c:lblOffset val="100"/>
        <c:noMultiLvlLbl val="0"/>
      </c:catAx>
      <c:valAx>
        <c:axId val="8097782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42985"/>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spc="0" baseline="0">
                <a:solidFill>
                  <a:schemeClr val="tx1">
                    <a:lumMod val="65000"/>
                    <a:lumOff val="35000"/>
                  </a:schemeClr>
                </a:solidFill>
                <a:latin typeface="+mn-lt"/>
                <a:ea typeface="+mn-ea"/>
                <a:cs typeface="+mn-cs"/>
              </a:defRPr>
            </a:pPr>
            <a:r>
              <a:rPr sz="1400"/>
              <a:t>一般公共预算支出（支出按功能科目分类）</a:t>
            </a:r>
            <a:endParaRPr sz="1400"/>
          </a:p>
        </c:rich>
      </c:tx>
      <c:layout>
        <c:manualLayout>
          <c:xMode val="edge"/>
          <c:yMode val="edge"/>
          <c:x val="0.149861111111111"/>
          <c:y val="0.019805248390823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工作表.xls]Sheet1'!$C$4:$C$7</c:f>
              <c:strCache>
                <c:ptCount val="4"/>
                <c:pt idx="0">
                  <c:v>行政运行</c:v>
                </c:pt>
                <c:pt idx="1">
                  <c:v>机关事业单位基本养老保险缴费支出</c:v>
                </c:pt>
                <c:pt idx="2">
                  <c:v>行政单位医疗</c:v>
                </c:pt>
                <c:pt idx="3">
                  <c:v>住房公积金</c:v>
                </c:pt>
              </c:strCache>
            </c:strRef>
          </c:cat>
          <c:val>
            <c:numRef>
              <c:f>'[新建 XLS 工作表.xls]Sheet1'!$D$4:$D$7</c:f>
              <c:numCache>
                <c:formatCode>General</c:formatCode>
                <c:ptCount val="4"/>
                <c:pt idx="0">
                  <c:v>52.98</c:v>
                </c:pt>
                <c:pt idx="1">
                  <c:v>4.66</c:v>
                </c:pt>
                <c:pt idx="2">
                  <c:v>2.28</c:v>
                </c:pt>
                <c:pt idx="3">
                  <c:v>3.91</c:v>
                </c:pt>
              </c:numCache>
            </c:numRef>
          </c:val>
        </c:ser>
        <c:dLbls>
          <c:showLegendKey val="0"/>
          <c:showVal val="1"/>
          <c:showCatName val="0"/>
          <c:showSerName val="0"/>
          <c:showPercent val="0"/>
          <c:showBubbleSize val="0"/>
        </c:dLbls>
        <c:gapWidth val="219"/>
        <c:overlap val="-27"/>
        <c:axId val="181960910"/>
        <c:axId val="121123289"/>
      </c:barChart>
      <c:catAx>
        <c:axId val="1819609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123289"/>
        <c:crosses val="autoZero"/>
        <c:auto val="1"/>
        <c:lblAlgn val="ctr"/>
        <c:lblOffset val="100"/>
        <c:noMultiLvlLbl val="0"/>
      </c:catAx>
      <c:valAx>
        <c:axId val="1211232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960910"/>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一般公共预算支出（支出按经济科目分类）</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工作表.xls]Sheet1'!$C$4:$C$5</c:f>
              <c:strCache>
                <c:ptCount val="2"/>
                <c:pt idx="0">
                  <c:v>工资福利支出</c:v>
                </c:pt>
                <c:pt idx="1">
                  <c:v>商品和服务支出</c:v>
                </c:pt>
              </c:strCache>
            </c:strRef>
          </c:cat>
          <c:val>
            <c:numRef>
              <c:f>'[新建 XLS 工作表.xls]Sheet1'!$D$4:$D$5</c:f>
              <c:numCache>
                <c:formatCode>General</c:formatCode>
                <c:ptCount val="2"/>
                <c:pt idx="0">
                  <c:v>51.43</c:v>
                </c:pt>
                <c:pt idx="1">
                  <c:v>12.4</c:v>
                </c:pt>
              </c:numCache>
            </c:numRef>
          </c:val>
        </c:ser>
        <c:dLbls>
          <c:showLegendKey val="0"/>
          <c:showVal val="1"/>
          <c:showCatName val="0"/>
          <c:showSerName val="0"/>
          <c:showPercent val="0"/>
          <c:showBubbleSize val="0"/>
        </c:dLbls>
        <c:gapWidth val="219"/>
        <c:overlap val="-27"/>
        <c:axId val="812673443"/>
        <c:axId val="63606620"/>
      </c:barChart>
      <c:catAx>
        <c:axId val="8126734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06620"/>
        <c:crosses val="autoZero"/>
        <c:auto val="1"/>
        <c:lblAlgn val="ctr"/>
        <c:lblOffset val="100"/>
        <c:noMultiLvlLbl val="0"/>
      </c:catAx>
      <c:valAx>
        <c:axId val="636066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673443"/>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一般公共预算支出（按照政府预算支出经济分类）</a:t>
            </a:r>
          </a:p>
        </c:rich>
      </c:tx>
      <c:layout>
        <c:manualLayout>
          <c:xMode val="edge"/>
          <c:yMode val="edge"/>
          <c:x val="0.157456568765237"/>
          <c:y val="0.03733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工作表.xls]Sheet1'!$C$4:$C$5</c:f>
              <c:strCache>
                <c:ptCount val="2"/>
                <c:pt idx="0">
                  <c:v>机关工资福利支出</c:v>
                </c:pt>
                <c:pt idx="1">
                  <c:v>机关商品和服务支出</c:v>
                </c:pt>
              </c:strCache>
            </c:strRef>
          </c:cat>
          <c:val>
            <c:numRef>
              <c:f>'[新建 XLS 工作表.xls]Sheet1'!$D$4:$D$5</c:f>
              <c:numCache>
                <c:formatCode>General</c:formatCode>
                <c:ptCount val="2"/>
                <c:pt idx="0">
                  <c:v>54</c:v>
                </c:pt>
                <c:pt idx="1">
                  <c:v>9.38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4381</Words>
  <Characters>4718</Characters>
  <Lines>0</Lines>
  <Paragraphs>0</Paragraphs>
  <TotalTime>9</TotalTime>
  <ScaleCrop>false</ScaleCrop>
  <LinksUpToDate>false</LinksUpToDate>
  <CharactersWithSpaces>4768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Administrator</cp:lastModifiedBy>
  <cp:lastPrinted>2020-08-03T08:28:00Z</cp:lastPrinted>
  <dcterms:modified xsi:type="dcterms:W3CDTF">2023-09-21T07:33:32Z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CAF4C4EA64404B83B4E6BE0114410B71</vt:lpwstr>
  </property>
</Properties>
</file>