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紫阳县财政局红椿财政所</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2022</w:t>
      </w:r>
      <w:r>
        <w:rPr>
          <w:rFonts w:hint="eastAsia" w:ascii="黑体" w:hAnsi="黑体" w:eastAsia="黑体" w:cs="黑体"/>
          <w:sz w:val="32"/>
          <w:szCs w:val="32"/>
        </w:rPr>
        <w:t>年部门综合预算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目  录</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2022年</w:t>
      </w:r>
      <w:r>
        <w:rPr>
          <w:rFonts w:hint="eastAsia" w:ascii="仿宋" w:hAnsi="仿宋" w:eastAsia="仿宋" w:cs="仿宋"/>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2022年</w:t>
      </w:r>
      <w:r>
        <w:rPr>
          <w:rFonts w:hint="eastAsia" w:ascii="仿宋" w:hAnsi="仿宋" w:eastAsia="仿宋" w:cs="仿宋"/>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六、部门预算“三公”经费等情况说明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八、部门政府采购情况说明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十一、专业名词解释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（具体部门预算公开报表）</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（一）部门主要职责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1、贯彻执行国家有关财政管理等方面的法律、法规和规章；拟定和执行乡镇财政发展规划及其他有关政策。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2、编制镇年度财政预算草案并组织执行；向镇人大报告财政决算；管理和监督乡镇各项财政收支。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3、管理各类政策性补贴等资金，建立惠农资金补助对象管理新机制，进一步完善财政补贴农民资金“一卡(折)通”发放机制。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4、负责对各类专项资金的监管，提高财政资金使用效率。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、提出加强财政管理的政策建议；负责财政、税收政策法规的宣传工作。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、执行会计集中核算，落实“村</w:t>
      </w:r>
      <w:r>
        <w:rPr>
          <w:rFonts w:hint="eastAsia" w:ascii="仿宋" w:hAnsi="仿宋" w:eastAsia="仿宋" w:cs="仿宋"/>
          <w:sz w:val="32"/>
          <w:szCs w:val="32"/>
          <w:lang w:eastAsia="zh-CN"/>
        </w:rPr>
        <w:t>账</w:t>
      </w:r>
      <w:r>
        <w:rPr>
          <w:rFonts w:hint="eastAsia" w:ascii="仿宋" w:hAnsi="仿宋" w:eastAsia="仿宋" w:cs="仿宋"/>
          <w:sz w:val="32"/>
          <w:szCs w:val="32"/>
        </w:rPr>
        <w:t>乡监”等管理制度，严格按照上级财政部门规定的工作程序开展工作，充分发挥财政资金效益。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、负责本乡镇国有资产监督管理工作。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、承办乡镇党委、政府及上级财政部门交办的其他事项。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green"/>
        </w:rPr>
      </w:pPr>
      <w:r>
        <w:rPr>
          <w:rFonts w:hint="eastAsia" w:ascii="仿宋" w:hAnsi="仿宋" w:eastAsia="仿宋" w:cs="仿宋"/>
          <w:sz w:val="32"/>
          <w:szCs w:val="32"/>
          <w:highlight w:val="none"/>
        </w:rPr>
        <w:t>依据</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三定方案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本单位现设紫阳县财政局红椿财政所。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度部门工作任务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做好财政预决算，确保财政收支合理。正确处理好厉行节约和保障重点的关系，严格控制一般性支出，集中财力保障重点项目、民生项目建设资金需求，确保全乡经济社会事业持续健康发展，各项惠民实事如期完成。努力保障资金使用效益，提高财政支出的均衡性和有效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加强专项资金监管和审计，提高资金使用效益。强化对专项资金监管，实行专项资金规范化管理，专设账户，专款专用，按规定拨付使用，严格执行政策，手续完备。同时，配合上级部门，做好各种专项资金审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文明办公，规范服务</w:t>
      </w:r>
      <w:r>
        <w:rPr>
          <w:rFonts w:hint="eastAsia" w:ascii="仿宋" w:hAnsi="仿宋" w:eastAsia="仿宋" w:cs="仿宋"/>
          <w:sz w:val="32"/>
          <w:szCs w:val="32"/>
          <w:lang w:eastAsia="zh-CN"/>
        </w:rPr>
        <w:t>。</w:t>
      </w:r>
      <w:r>
        <w:rPr>
          <w:rFonts w:hint="eastAsia" w:ascii="仿宋" w:hAnsi="仿宋" w:eastAsia="仿宋" w:cs="仿宋"/>
          <w:sz w:val="32"/>
          <w:szCs w:val="32"/>
        </w:rPr>
        <w:t>全所人员进一步转变服务理念，做到管理有序、制度健全、工作效率高、服务质量好</w:t>
      </w:r>
      <w:r>
        <w:rPr>
          <w:rFonts w:hint="eastAsia" w:ascii="仿宋" w:hAnsi="仿宋" w:eastAsia="仿宋" w:cs="仿宋"/>
          <w:sz w:val="32"/>
          <w:szCs w:val="32"/>
          <w:lang w:eastAsia="zh-CN"/>
        </w:rPr>
        <w:t>，</w:t>
      </w:r>
      <w:r>
        <w:rPr>
          <w:rFonts w:hint="eastAsia" w:ascii="仿宋" w:hAnsi="仿宋" w:eastAsia="仿宋" w:cs="仿宋"/>
          <w:sz w:val="32"/>
          <w:szCs w:val="32"/>
        </w:rPr>
        <w:t>围绕建设社会主义新农村大局，确保涉农补贴资金按时足额到户，积极落实中央惠农政策</w:t>
      </w:r>
      <w:r>
        <w:rPr>
          <w:rFonts w:hint="eastAsia" w:ascii="仿宋" w:hAnsi="仿宋" w:eastAsia="仿宋" w:cs="仿宋"/>
          <w:sz w:val="32"/>
          <w:szCs w:val="32"/>
          <w:lang w:eastAsia="zh-CN"/>
        </w:rPr>
        <w:t>，</w:t>
      </w:r>
      <w:r>
        <w:rPr>
          <w:rFonts w:hint="eastAsia" w:ascii="仿宋" w:hAnsi="仿宋" w:eastAsia="仿宋" w:cs="仿宋"/>
          <w:sz w:val="32"/>
          <w:szCs w:val="32"/>
        </w:rPr>
        <w:t>落实党风廉政责任制</w:t>
      </w:r>
      <w:r>
        <w:rPr>
          <w:rFonts w:hint="eastAsia" w:ascii="仿宋" w:hAnsi="仿宋" w:eastAsia="仿宋" w:cs="仿宋"/>
          <w:sz w:val="32"/>
          <w:szCs w:val="32"/>
          <w:lang w:eastAsia="zh-CN"/>
        </w:rPr>
        <w:t>，</w:t>
      </w:r>
      <w:r>
        <w:rPr>
          <w:rFonts w:hint="eastAsia" w:ascii="仿宋" w:hAnsi="仿宋" w:eastAsia="仿宋" w:cs="仿宋"/>
          <w:sz w:val="32"/>
          <w:szCs w:val="32"/>
        </w:rPr>
        <w:t>杜绝门难进、脸难看、事难办或刁难群众、作风粗暴、办事马虎、效率低下、敷衍塞责"等不良现象。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四、部门人员情况说明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2021年</w:t>
      </w:r>
      <w:r>
        <w:rPr>
          <w:rFonts w:hint="eastAsia" w:ascii="仿宋" w:hAnsi="仿宋" w:eastAsia="仿宋" w:cs="仿宋"/>
          <w:sz w:val="32"/>
          <w:szCs w:val="32"/>
        </w:rPr>
        <w:t>底，本部门人员编制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3</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3</w:t>
      </w:r>
      <w:r>
        <w:rPr>
          <w:rFonts w:hint="eastAsia" w:ascii="仿宋" w:hAnsi="仿宋" w:eastAsia="仿宋" w:cs="仿宋"/>
          <w:sz w:val="32"/>
          <w:szCs w:val="32"/>
        </w:rPr>
        <w:t>人、事业</w:t>
      </w:r>
      <w:r>
        <w:rPr>
          <w:rFonts w:hint="eastAsia" w:ascii="仿宋" w:hAnsi="仿宋" w:eastAsia="仿宋" w:cs="仿宋"/>
          <w:sz w:val="32"/>
          <w:szCs w:val="32"/>
          <w:lang w:val="en-US" w:eastAsia="zh-CN"/>
        </w:rPr>
        <w:t>3</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3</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drawing>
          <wp:inline distT="0" distB="0" distL="114300" distR="114300">
            <wp:extent cx="5080000" cy="3810000"/>
            <wp:effectExtent l="13970" t="13970" r="30480" b="241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2022年</w:t>
      </w:r>
      <w:r>
        <w:rPr>
          <w:rFonts w:hint="eastAsia" w:ascii="仿宋" w:hAnsi="仿宋" w:eastAsia="仿宋" w:cs="仿宋"/>
          <w:b/>
          <w:bCs/>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（一）收支预算总体情况。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按照综合预算的原则，本部门所有收入和支出均纳入部门预算管理。</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w:t>
      </w:r>
      <w:r>
        <w:rPr>
          <w:rFonts w:hint="eastAsia" w:ascii="仿宋" w:hAnsi="仿宋" w:eastAsia="仿宋" w:cs="仿宋"/>
          <w:sz w:val="32"/>
          <w:szCs w:val="32"/>
          <w:lang w:val="en-US" w:eastAsia="zh-CN"/>
        </w:rPr>
        <w:t>44.68</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44.68</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本部门预算收入较上年增加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人员经费增加</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本部门预算支出较上年增加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人员经费增加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（二）财政拨款收支情况。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w:t>
      </w:r>
      <w:r>
        <w:rPr>
          <w:rFonts w:hint="eastAsia" w:ascii="仿宋" w:hAnsi="仿宋" w:eastAsia="仿宋" w:cs="仿宋"/>
          <w:sz w:val="32"/>
          <w:szCs w:val="32"/>
          <w:lang w:val="en-US" w:eastAsia="zh-CN"/>
        </w:rPr>
        <w:t>44.68</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44.68</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本部门财政拨款收入较上年增加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人员经费增加</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本部门财政拨款支出较上年增加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人员经费增加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w:t>
      </w:r>
      <w:r>
        <w:rPr>
          <w:rFonts w:hint="eastAsia" w:ascii="仿宋" w:hAnsi="仿宋" w:eastAsia="仿宋" w:cs="仿宋"/>
          <w:sz w:val="32"/>
          <w:szCs w:val="32"/>
          <w:highlight w:val="none"/>
        </w:rPr>
        <w:t>当年</w:t>
      </w:r>
      <w:r>
        <w:rPr>
          <w:rFonts w:hint="eastAsia" w:ascii="仿宋" w:hAnsi="仿宋" w:eastAsia="仿宋" w:cs="仿宋"/>
          <w:sz w:val="32"/>
          <w:szCs w:val="32"/>
        </w:rPr>
        <w:t>拨款规模变化情况。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本部门当年一般公共预算拨款支出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万元，主要原因是</w:t>
      </w:r>
      <w:r>
        <w:rPr>
          <w:rFonts w:hint="eastAsia" w:ascii="仿宋" w:hAnsi="仿宋" w:eastAsia="仿宋" w:cs="仿宋"/>
          <w:sz w:val="32"/>
          <w:szCs w:val="32"/>
          <w:lang w:eastAsia="zh-CN"/>
        </w:rPr>
        <w:t>人员经费增加</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支出按</w:t>
      </w:r>
      <w:r>
        <w:rPr>
          <w:rFonts w:hint="eastAsia" w:ascii="仿宋" w:hAnsi="仿宋" w:eastAsia="仿宋" w:cs="仿宋"/>
          <w:sz w:val="32"/>
          <w:szCs w:val="32"/>
          <w:highlight w:val="none"/>
        </w:rPr>
        <w:t>功能</w:t>
      </w:r>
      <w:r>
        <w:rPr>
          <w:rFonts w:hint="eastAsia" w:ascii="仿宋" w:hAnsi="仿宋" w:eastAsia="仿宋" w:cs="仿宋"/>
          <w:sz w:val="32"/>
          <w:szCs w:val="32"/>
        </w:rPr>
        <w:t>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bookmarkStart w:id="0" w:name="_GoBack"/>
      <w:bookmarkEnd w:id="0"/>
      <w:r>
        <w:rPr>
          <w:rFonts w:hint="eastAsia" w:ascii="仿宋" w:hAnsi="仿宋" w:eastAsia="仿宋" w:cs="仿宋"/>
          <w:sz w:val="32"/>
          <w:szCs w:val="32"/>
        </w:rPr>
        <w:t>本部门</w:t>
      </w:r>
      <w:r>
        <w:rPr>
          <w:rFonts w:hint="eastAsia" w:ascii="仿宋" w:hAnsi="仿宋" w:eastAsia="仿宋" w:cs="仿宋"/>
          <w:sz w:val="32"/>
          <w:szCs w:val="32"/>
          <w:lang w:eastAsia="zh-CN"/>
        </w:rPr>
        <w:t>2022年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44.68</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（1）行政运行（2010601）</w:t>
      </w:r>
      <w:r>
        <w:rPr>
          <w:rFonts w:hint="eastAsia" w:ascii="仿宋" w:hAnsi="仿宋" w:eastAsia="仿宋" w:cs="仿宋"/>
          <w:sz w:val="32"/>
          <w:szCs w:val="32"/>
          <w:lang w:val="en-US" w:eastAsia="zh-CN"/>
        </w:rPr>
        <w:t>40.37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4.51</w:t>
      </w:r>
      <w:r>
        <w:rPr>
          <w:rFonts w:hint="eastAsia" w:ascii="仿宋" w:hAnsi="仿宋" w:eastAsia="仿宋" w:cs="仿宋"/>
          <w:sz w:val="32"/>
          <w:szCs w:val="32"/>
        </w:rPr>
        <w:t>万元，原因是</w:t>
      </w:r>
      <w:r>
        <w:rPr>
          <w:rFonts w:hint="eastAsia" w:ascii="仿宋" w:hAnsi="仿宋" w:eastAsia="仿宋" w:cs="仿宋"/>
          <w:sz w:val="32"/>
          <w:szCs w:val="32"/>
          <w:lang w:eastAsia="zh-CN"/>
        </w:rPr>
        <w:t>人员工资调资，人员经费增加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（2）机关事业单位基本养老保险缴费支出（</w:t>
      </w:r>
      <w:r>
        <w:rPr>
          <w:rFonts w:hint="eastAsia" w:ascii="仿宋" w:hAnsi="仿宋" w:eastAsia="仿宋" w:cs="仿宋"/>
          <w:sz w:val="32"/>
          <w:szCs w:val="32"/>
          <w:lang w:val="en-US" w:eastAsia="zh-CN"/>
        </w:rPr>
        <w:t>2080505</w:t>
      </w:r>
      <w:r>
        <w:rPr>
          <w:rFonts w:hint="eastAsia" w:ascii="仿宋" w:hAnsi="仿宋" w:eastAsia="仿宋" w:cs="仿宋"/>
          <w:sz w:val="32"/>
          <w:szCs w:val="32"/>
        </w:rPr>
        <w:t>）</w:t>
      </w:r>
      <w:r>
        <w:rPr>
          <w:rFonts w:hint="eastAsia" w:ascii="仿宋" w:hAnsi="仿宋" w:eastAsia="仿宋" w:cs="仿宋"/>
          <w:sz w:val="32"/>
          <w:szCs w:val="32"/>
          <w:lang w:val="en-US" w:eastAsia="zh-CN"/>
        </w:rPr>
        <w:t>2.89</w:t>
      </w:r>
      <w:r>
        <w:rPr>
          <w:rFonts w:hint="eastAsia" w:ascii="仿宋" w:hAnsi="仿宋" w:eastAsia="仿宋" w:cs="仿宋"/>
          <w:sz w:val="32"/>
          <w:szCs w:val="32"/>
        </w:rPr>
        <w:t>万元，较上年</w:t>
      </w:r>
      <w:r>
        <w:rPr>
          <w:rFonts w:hint="eastAsia" w:ascii="仿宋" w:hAnsi="仿宋" w:eastAsia="仿宋" w:cs="仿宋"/>
          <w:sz w:val="32"/>
          <w:szCs w:val="32"/>
          <w:lang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（3）行政单位医疗（2101101）</w:t>
      </w:r>
      <w:r>
        <w:rPr>
          <w:rFonts w:hint="eastAsia" w:ascii="仿宋" w:hAnsi="仿宋" w:eastAsia="仿宋" w:cs="仿宋"/>
          <w:sz w:val="32"/>
          <w:szCs w:val="32"/>
          <w:lang w:val="en-US" w:eastAsia="zh-CN"/>
        </w:rPr>
        <w:t>1.42</w:t>
      </w:r>
      <w:r>
        <w:rPr>
          <w:rFonts w:hint="eastAsia" w:ascii="仿宋" w:hAnsi="仿宋" w:eastAsia="仿宋" w:cs="仿宋"/>
          <w:sz w:val="32"/>
          <w:szCs w:val="32"/>
        </w:rPr>
        <w:t>万元，较上年增加</w:t>
      </w:r>
      <w:r>
        <w:rPr>
          <w:rFonts w:hint="eastAsia" w:ascii="仿宋" w:hAnsi="仿宋" w:eastAsia="仿宋" w:cs="仿宋"/>
          <w:sz w:val="32"/>
          <w:szCs w:val="32"/>
          <w:lang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b/>
          <w:bCs/>
          <w:sz w:val="32"/>
          <w:szCs w:val="32"/>
        </w:rPr>
        <w:t>3、</w:t>
      </w:r>
      <w:r>
        <w:rPr>
          <w:rFonts w:hint="eastAsia" w:ascii="仿宋" w:hAnsi="仿宋" w:eastAsia="仿宋" w:cs="仿宋"/>
          <w:sz w:val="32"/>
          <w:szCs w:val="32"/>
        </w:rPr>
        <w:t>支出</w:t>
      </w:r>
      <w:r>
        <w:rPr>
          <w:rFonts w:hint="eastAsia" w:ascii="仿宋" w:hAnsi="仿宋" w:eastAsia="仿宋" w:cs="仿宋"/>
          <w:sz w:val="32"/>
          <w:szCs w:val="32"/>
          <w:highlight w:val="none"/>
        </w:rPr>
        <w:t>按经济科目分类的明细情况。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示例：</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本部门当年一般公共预算支出</w:t>
      </w:r>
      <w:r>
        <w:rPr>
          <w:rFonts w:hint="eastAsia" w:ascii="仿宋" w:hAnsi="仿宋" w:eastAsia="仿宋" w:cs="仿宋"/>
          <w:sz w:val="32"/>
          <w:szCs w:val="32"/>
          <w:highlight w:val="none"/>
          <w:lang w:val="en-US" w:eastAsia="zh-CN"/>
        </w:rPr>
        <w:t>44.68</w:t>
      </w:r>
      <w:r>
        <w:rPr>
          <w:rFonts w:hint="eastAsia" w:ascii="仿宋" w:hAnsi="仿宋" w:eastAsia="仿宋" w:cs="仿宋"/>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工资福利支出（301）</w:t>
      </w:r>
      <w:r>
        <w:rPr>
          <w:rFonts w:hint="eastAsia" w:ascii="仿宋" w:hAnsi="仿宋" w:eastAsia="仿宋" w:cs="仿宋"/>
          <w:sz w:val="32"/>
          <w:szCs w:val="32"/>
          <w:highlight w:val="none"/>
          <w:lang w:val="en-US" w:eastAsia="zh-CN"/>
        </w:rPr>
        <w:t>34.34</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4.51</w:t>
      </w:r>
      <w:r>
        <w:rPr>
          <w:rFonts w:hint="eastAsia" w:ascii="仿宋" w:hAnsi="仿宋" w:eastAsia="仿宋" w:cs="仿宋"/>
          <w:sz w:val="32"/>
          <w:szCs w:val="32"/>
          <w:highlight w:val="none"/>
        </w:rPr>
        <w:t>万元，原因是</w:t>
      </w:r>
      <w:r>
        <w:rPr>
          <w:rFonts w:hint="eastAsia" w:ascii="仿宋" w:hAnsi="仿宋" w:eastAsia="仿宋" w:cs="仿宋"/>
          <w:sz w:val="32"/>
          <w:szCs w:val="32"/>
          <w:highlight w:val="none"/>
          <w:lang w:eastAsia="zh-CN"/>
        </w:rPr>
        <w:t>人员工资调资，人员经费增加</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商品和服务支出（302）</w:t>
      </w:r>
      <w:r>
        <w:rPr>
          <w:rFonts w:hint="eastAsia" w:ascii="仿宋" w:hAnsi="仿宋" w:eastAsia="仿宋" w:cs="仿宋"/>
          <w:sz w:val="32"/>
          <w:szCs w:val="32"/>
          <w:highlight w:val="none"/>
          <w:lang w:val="en-US" w:eastAsia="zh-CN"/>
        </w:rPr>
        <w:t>8.78</w:t>
      </w:r>
      <w:r>
        <w:rPr>
          <w:rFonts w:hint="eastAsia" w:ascii="仿宋" w:hAnsi="仿宋" w:eastAsia="仿宋" w:cs="仿宋"/>
          <w:sz w:val="32"/>
          <w:szCs w:val="32"/>
          <w:highlight w:val="none"/>
        </w:rPr>
        <w:t>万元，较上年</w:t>
      </w:r>
      <w:r>
        <w:rPr>
          <w:rFonts w:hint="eastAsia" w:ascii="仿宋" w:hAnsi="仿宋" w:eastAsia="仿宋" w:cs="仿宋"/>
          <w:sz w:val="32"/>
          <w:szCs w:val="32"/>
          <w:highlight w:val="none"/>
          <w:lang w:eastAsia="zh-CN"/>
        </w:rPr>
        <w:t>无变化</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对个人和家庭的补助支出（303）</w:t>
      </w:r>
      <w:r>
        <w:rPr>
          <w:rFonts w:hint="eastAsia" w:ascii="仿宋" w:hAnsi="仿宋" w:eastAsia="仿宋" w:cs="仿宋"/>
          <w:sz w:val="32"/>
          <w:szCs w:val="32"/>
          <w:highlight w:val="none"/>
          <w:lang w:val="en-US" w:eastAsia="zh-CN"/>
        </w:rPr>
        <w:t>1.56</w:t>
      </w:r>
      <w:r>
        <w:rPr>
          <w:rFonts w:hint="eastAsia" w:ascii="仿宋" w:hAnsi="仿宋" w:eastAsia="仿宋" w:cs="仿宋"/>
          <w:sz w:val="32"/>
          <w:szCs w:val="32"/>
          <w:highlight w:val="none"/>
        </w:rPr>
        <w:t>万元，较上年</w:t>
      </w:r>
      <w:r>
        <w:rPr>
          <w:rFonts w:hint="eastAsia" w:ascii="仿宋" w:hAnsi="仿宋" w:eastAsia="仿宋" w:cs="仿宋"/>
          <w:sz w:val="32"/>
          <w:szCs w:val="32"/>
          <w:highlight w:val="none"/>
          <w:lang w:eastAsia="zh-CN"/>
        </w:rPr>
        <w:t>无变化</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2021年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本部门无当年政府性基金预算收支，并已公开空表。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本部门无2021年结转的政府性基金预算拨款支出，</w:t>
      </w:r>
      <w:r>
        <w:rPr>
          <w:rFonts w:hint="eastAsia" w:ascii="仿宋" w:hAnsi="仿宋" w:eastAsia="仿宋" w:cs="仿宋"/>
          <w:sz w:val="32"/>
          <w:szCs w:val="32"/>
        </w:rPr>
        <w:t>并已公开空表。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本部门无当年国有资本经营预算拨款收支，并在财政拨款收支总体情况表中列示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本部门无</w:t>
      </w:r>
      <w:r>
        <w:rPr>
          <w:rFonts w:hint="eastAsia" w:ascii="仿宋" w:hAnsi="仿宋" w:eastAsia="仿宋" w:cs="仿宋"/>
          <w:b w:val="0"/>
          <w:bCs w:val="0"/>
          <w:sz w:val="32"/>
          <w:szCs w:val="32"/>
          <w:highlight w:val="none"/>
          <w:lang w:eastAsia="zh-CN"/>
        </w:rPr>
        <w:t>2021年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六、部门预算“三公”经费等预算情况说明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）2022年</w:t>
      </w:r>
      <w:r>
        <w:rPr>
          <w:rFonts w:hint="eastAsia" w:ascii="仿宋" w:hAnsi="仿宋" w:eastAsia="仿宋" w:cs="仿宋"/>
          <w:sz w:val="32"/>
          <w:szCs w:val="32"/>
        </w:rPr>
        <w:t>本部门当年一般公共预算“三公”经费预算支出</w:t>
      </w:r>
      <w:r>
        <w:rPr>
          <w:rFonts w:hint="eastAsia" w:ascii="仿宋" w:hAnsi="仿宋" w:eastAsia="仿宋" w:cs="仿宋"/>
          <w:sz w:val="32"/>
          <w:szCs w:val="32"/>
          <w:lang w:val="en-US" w:eastAsia="zh-CN"/>
        </w:rPr>
        <w:t>0.16</w:t>
      </w:r>
      <w:r>
        <w:rPr>
          <w:rFonts w:hint="eastAsia" w:ascii="仿宋" w:hAnsi="仿宋" w:eastAsia="仿宋" w:cs="仿宋"/>
          <w:sz w:val="32"/>
          <w:szCs w:val="32"/>
        </w:rPr>
        <w:t>万元，较上年</w:t>
      </w:r>
      <w:r>
        <w:rPr>
          <w:rFonts w:hint="eastAsia" w:ascii="仿宋" w:hAnsi="仿宋" w:eastAsia="仿宋" w:cs="仿宋"/>
          <w:sz w:val="32"/>
          <w:szCs w:val="32"/>
          <w:lang w:eastAsia="zh-CN"/>
        </w:rPr>
        <w:t>无变化</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highlight w:val="none"/>
        </w:rPr>
        <w:t>公务接待费</w:t>
      </w:r>
      <w:r>
        <w:rPr>
          <w:rFonts w:hint="eastAsia" w:ascii="仿宋" w:hAnsi="仿宋" w:eastAsia="仿宋" w:cs="仿宋"/>
          <w:sz w:val="32"/>
          <w:szCs w:val="32"/>
          <w:lang w:val="en-US" w:eastAsia="zh-CN"/>
        </w:rPr>
        <w:t>0.16</w:t>
      </w:r>
      <w:r>
        <w:rPr>
          <w:rFonts w:hint="eastAsia" w:ascii="仿宋" w:hAnsi="仿宋" w:eastAsia="仿宋" w:cs="仿宋"/>
          <w:sz w:val="32"/>
          <w:szCs w:val="32"/>
        </w:rPr>
        <w:t>万元，较上年</w:t>
      </w:r>
      <w:r>
        <w:rPr>
          <w:rFonts w:hint="eastAsia" w:ascii="仿宋" w:hAnsi="仿宋" w:eastAsia="仿宋" w:cs="仿宋"/>
          <w:sz w:val="32"/>
          <w:szCs w:val="32"/>
          <w:lang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eastAsia="zh-CN"/>
        </w:rPr>
        <w:t>2022</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lang w:eastAsia="zh-CN"/>
        </w:rPr>
        <w:t>无国</w:t>
      </w:r>
      <w:r>
        <w:rPr>
          <w:rFonts w:hint="eastAsia" w:ascii="仿宋" w:hAnsi="仿宋" w:eastAsia="仿宋" w:cs="仿宋"/>
          <w:b w:val="0"/>
          <w:bCs w:val="0"/>
          <w:sz w:val="32"/>
          <w:szCs w:val="32"/>
        </w:rPr>
        <w:t>有资产占有使用及资产购置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结转的财政拨款支出资产购置</w:t>
      </w:r>
      <w:r>
        <w:rPr>
          <w:rFonts w:hint="eastAsia" w:ascii="仿宋" w:hAnsi="仿宋" w:eastAsia="仿宋" w:cs="仿宋"/>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317" w:leftChars="0" w:firstLine="480" w:firstLine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部门政府采购情况说明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九、部门预算绩效目标说明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结转的财政拨款支出涉及的绩效目标管理。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2022年，本部门专项资金未纳入部门预算，并已公开空表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960" w:firstLineChars="300"/>
        <w:textAlignment w:val="auto"/>
        <w:outlineLvl w:val="9"/>
        <w:rPr>
          <w:rFonts w:hint="eastAsia" w:ascii="仿宋" w:hAnsi="仿宋" w:eastAsia="仿宋" w:cs="仿宋"/>
          <w:sz w:val="32"/>
          <w:szCs w:val="32"/>
        </w:rPr>
      </w:pPr>
      <w:r>
        <w:rPr>
          <w:rFonts w:hint="eastAsia" w:ascii="仿宋" w:hAnsi="仿宋" w:eastAsia="仿宋" w:cs="仿宋"/>
          <w:sz w:val="32"/>
          <w:szCs w:val="32"/>
        </w:rPr>
        <w:t>本部门当年机关运行经费预算安排</w:t>
      </w:r>
      <w:r>
        <w:rPr>
          <w:rFonts w:hint="eastAsia" w:ascii="仿宋" w:hAnsi="仿宋" w:eastAsia="仿宋" w:cs="仿宋"/>
          <w:sz w:val="32"/>
          <w:szCs w:val="32"/>
          <w:lang w:val="en-US" w:eastAsia="zh-CN"/>
        </w:rPr>
        <w:t>7</w:t>
      </w:r>
      <w:r>
        <w:rPr>
          <w:rFonts w:hint="eastAsia" w:ascii="仿宋" w:hAnsi="仿宋" w:eastAsia="仿宋" w:cs="仿宋"/>
          <w:sz w:val="32"/>
          <w:szCs w:val="32"/>
        </w:rPr>
        <w:t>万元，较上年增</w:t>
      </w:r>
      <w:r>
        <w:rPr>
          <w:rFonts w:hint="eastAsia" w:ascii="仿宋" w:hAnsi="仿宋" w:eastAsia="仿宋" w:cs="仿宋"/>
          <w:sz w:val="32"/>
          <w:szCs w:val="32"/>
          <w:lang w:eastAsia="zh-CN"/>
        </w:rPr>
        <w:t>无变化</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本部门无</w:t>
      </w:r>
      <w:r>
        <w:rPr>
          <w:rFonts w:hint="eastAsia" w:ascii="仿宋" w:hAnsi="仿宋" w:eastAsia="仿宋" w:cs="仿宋"/>
          <w:sz w:val="32"/>
          <w:szCs w:val="32"/>
          <w:highlight w:val="none"/>
          <w:lang w:eastAsia="zh-CN"/>
        </w:rPr>
        <w:t>2021年</w:t>
      </w:r>
      <w:r>
        <w:rPr>
          <w:rFonts w:hint="eastAsia" w:ascii="仿宋" w:hAnsi="仿宋" w:eastAsia="仿宋" w:cs="仿宋"/>
          <w:sz w:val="32"/>
          <w:szCs w:val="32"/>
          <w:highlight w:val="none"/>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6.公用经费：指为完成特定的行政工作任务或事业发展目标用于设备设施的维持性费用支出，以及直接用于公务活动的支出，具体包括公务费、业务费、修缮费、设备购置费、其他费用等。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7.工资福利支出：反映开支的在职职工和编制外长期聘用人员的各类劳动报酬，以及上述人员缴纳的各项社会保险费等。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A61CBF2F"/>
    <w:multiLevelType w:val="singleLevel"/>
    <w:tmpl w:val="A61CBF2F"/>
    <w:lvl w:ilvl="0" w:tentative="0">
      <w:start w:val="1"/>
      <w:numFmt w:val="chineseCounting"/>
      <w:suff w:val="nothing"/>
      <w:lvlText w:val="（%1）"/>
      <w:lvlJc w:val="left"/>
      <w:rPr>
        <w:rFonts w:hint="eastAsia"/>
      </w:rPr>
    </w:lvl>
  </w:abstractNum>
  <w:abstractNum w:abstractNumId="2">
    <w:nsid w:val="02686215"/>
    <w:multiLevelType w:val="singleLevel"/>
    <w:tmpl w:val="02686215"/>
    <w:lvl w:ilvl="0" w:tentative="0">
      <w:start w:val="2"/>
      <w:numFmt w:val="decimal"/>
      <w:suff w:val="nothing"/>
      <w:lvlText w:val="%1、"/>
      <w:lvlJc w:val="left"/>
    </w:lvl>
  </w:abstractNum>
  <w:abstractNum w:abstractNumId="3">
    <w:nsid w:val="0745B2B8"/>
    <w:multiLevelType w:val="singleLevel"/>
    <w:tmpl w:val="0745B2B8"/>
    <w:lvl w:ilvl="0" w:tentative="0">
      <w:start w:val="8"/>
      <w:numFmt w:val="chineseCounting"/>
      <w:suff w:val="nothing"/>
      <w:lvlText w:val="%1、"/>
      <w:lvlJc w:val="left"/>
      <w:pPr>
        <w:ind w:left="317"/>
      </w:pPr>
      <w:rPr>
        <w:rFonts w:hint="eastAsia"/>
      </w:rPr>
    </w:lvl>
  </w:abstractNum>
  <w:abstractNum w:abstractNumId="4">
    <w:nsid w:val="5D0214CA"/>
    <w:multiLevelType w:val="singleLevel"/>
    <w:tmpl w:val="5D0214CA"/>
    <w:lvl w:ilvl="0" w:tentative="0">
      <w:start w:val="4"/>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YzAwM2U4YjVmYjlmNjhmZDY4NjNiY2EyNjNhMDkifQ=="/>
  </w:docVars>
  <w:rsids>
    <w:rsidRoot w:val="1ED0381D"/>
    <w:rsid w:val="00D70262"/>
    <w:rsid w:val="018F2D13"/>
    <w:rsid w:val="02953D9A"/>
    <w:rsid w:val="03791D26"/>
    <w:rsid w:val="04F35073"/>
    <w:rsid w:val="061D2748"/>
    <w:rsid w:val="06D7231D"/>
    <w:rsid w:val="075D6C6A"/>
    <w:rsid w:val="0773304F"/>
    <w:rsid w:val="089D1D43"/>
    <w:rsid w:val="0A653AEA"/>
    <w:rsid w:val="0AAB1747"/>
    <w:rsid w:val="0B473936"/>
    <w:rsid w:val="0B820553"/>
    <w:rsid w:val="0B8A1B09"/>
    <w:rsid w:val="0C805687"/>
    <w:rsid w:val="0D053BAB"/>
    <w:rsid w:val="0D594F94"/>
    <w:rsid w:val="0E1F698E"/>
    <w:rsid w:val="0FA9052D"/>
    <w:rsid w:val="10163FB4"/>
    <w:rsid w:val="10A536CA"/>
    <w:rsid w:val="12B55B02"/>
    <w:rsid w:val="13DD192D"/>
    <w:rsid w:val="147F7E6C"/>
    <w:rsid w:val="14C85364"/>
    <w:rsid w:val="14FA613E"/>
    <w:rsid w:val="15053ED9"/>
    <w:rsid w:val="15BA67E3"/>
    <w:rsid w:val="15EB6487"/>
    <w:rsid w:val="166918D6"/>
    <w:rsid w:val="176724C1"/>
    <w:rsid w:val="18AF7F70"/>
    <w:rsid w:val="1A431FF4"/>
    <w:rsid w:val="1B746107"/>
    <w:rsid w:val="1CD64124"/>
    <w:rsid w:val="1E0072C5"/>
    <w:rsid w:val="1E1E7AD2"/>
    <w:rsid w:val="1ED0381D"/>
    <w:rsid w:val="20FE50B8"/>
    <w:rsid w:val="210F400E"/>
    <w:rsid w:val="229A281A"/>
    <w:rsid w:val="2383657E"/>
    <w:rsid w:val="23F45765"/>
    <w:rsid w:val="242E73FF"/>
    <w:rsid w:val="246C5345"/>
    <w:rsid w:val="24AB40AF"/>
    <w:rsid w:val="24FC6952"/>
    <w:rsid w:val="26CC76FD"/>
    <w:rsid w:val="272308AF"/>
    <w:rsid w:val="28064C78"/>
    <w:rsid w:val="2864072E"/>
    <w:rsid w:val="2A3E38E1"/>
    <w:rsid w:val="2BF2458F"/>
    <w:rsid w:val="2F3B562F"/>
    <w:rsid w:val="2FC8494E"/>
    <w:rsid w:val="314B37FB"/>
    <w:rsid w:val="31B733F7"/>
    <w:rsid w:val="385D1A98"/>
    <w:rsid w:val="38F70388"/>
    <w:rsid w:val="3A4434B4"/>
    <w:rsid w:val="3B055E9C"/>
    <w:rsid w:val="3D28036F"/>
    <w:rsid w:val="3D8407DF"/>
    <w:rsid w:val="3DFF32ED"/>
    <w:rsid w:val="3F503091"/>
    <w:rsid w:val="41851E44"/>
    <w:rsid w:val="420B5D06"/>
    <w:rsid w:val="4248700C"/>
    <w:rsid w:val="465670F7"/>
    <w:rsid w:val="471D22FA"/>
    <w:rsid w:val="472B48D8"/>
    <w:rsid w:val="4741375D"/>
    <w:rsid w:val="47C702DF"/>
    <w:rsid w:val="48422B9F"/>
    <w:rsid w:val="488947B6"/>
    <w:rsid w:val="4FB64197"/>
    <w:rsid w:val="50572E30"/>
    <w:rsid w:val="51AA26CF"/>
    <w:rsid w:val="51AA5E26"/>
    <w:rsid w:val="52C93A96"/>
    <w:rsid w:val="531A3416"/>
    <w:rsid w:val="538C5F53"/>
    <w:rsid w:val="54474AB6"/>
    <w:rsid w:val="5582405A"/>
    <w:rsid w:val="56051C6B"/>
    <w:rsid w:val="561A473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2B152B9"/>
    <w:rsid w:val="65B7439B"/>
    <w:rsid w:val="66607F61"/>
    <w:rsid w:val="67606C1C"/>
    <w:rsid w:val="676942F4"/>
    <w:rsid w:val="68EA113C"/>
    <w:rsid w:val="699E67D8"/>
    <w:rsid w:val="69B23FEC"/>
    <w:rsid w:val="69E141D5"/>
    <w:rsid w:val="69F87A79"/>
    <w:rsid w:val="6C540332"/>
    <w:rsid w:val="6DBE3A60"/>
    <w:rsid w:val="6E8A04A9"/>
    <w:rsid w:val="6F3075D5"/>
    <w:rsid w:val="6F5403ED"/>
    <w:rsid w:val="71A236EE"/>
    <w:rsid w:val="73843559"/>
    <w:rsid w:val="75AC088F"/>
    <w:rsid w:val="76590D5F"/>
    <w:rsid w:val="77AD3FB4"/>
    <w:rsid w:val="781B6398"/>
    <w:rsid w:val="7839395D"/>
    <w:rsid w:val="788B613B"/>
    <w:rsid w:val="78935A62"/>
    <w:rsid w:val="7920167B"/>
    <w:rsid w:val="7A3E4F09"/>
    <w:rsid w:val="7BF11232"/>
    <w:rsid w:val="7CE442E1"/>
    <w:rsid w:val="7CEE0D2E"/>
    <w:rsid w:val="7CF76871"/>
    <w:rsid w:val="7D804F3A"/>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紫阳县财政局红椿财政所人员情况图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行政编制</c:v>
                </c:pt>
              </c:strCache>
            </c:strRef>
          </c:tx>
          <c:spPr>
            <a:solidFill>
              <a:schemeClr val="accent1"/>
            </a:solidFill>
            <a:ln>
              <a:noFill/>
            </a:ln>
            <a:effectLst/>
          </c:spPr>
          <c:invertIfNegative val="0"/>
          <c:dLbls>
            <c:delete val="1"/>
          </c:dLbls>
          <c:cat>
            <c:strRef>
              <c:f>Sheet1!$A$2:$A$5</c:f>
              <c:strCache>
                <c:ptCount val="4"/>
                <c:pt idx="0">
                  <c:v>人员编制</c:v>
                </c:pt>
                <c:pt idx="1">
                  <c:v>实有人数</c:v>
                </c:pt>
                <c:pt idx="2">
                  <c:v>退休人员</c:v>
                </c:pt>
              </c:strCache>
            </c:strRef>
          </c:cat>
          <c:val>
            <c:numRef>
              <c:f>Sheet1!$B$2:$B$5</c:f>
              <c:numCache>
                <c:formatCode>General</c:formatCode>
                <c:ptCount val="4"/>
                <c:pt idx="0">
                  <c:v>4</c:v>
                </c:pt>
                <c:pt idx="1">
                  <c:v>3</c:v>
                </c:pt>
                <c:pt idx="2">
                  <c:v>0</c:v>
                </c:pt>
              </c:numCache>
            </c:numRef>
          </c:val>
        </c:ser>
        <c:ser>
          <c:idx val="1"/>
          <c:order val="1"/>
          <c:tx>
            <c:strRef>
              <c:f>Sheet1!$C$1</c:f>
              <c:strCache>
                <c:ptCount val="1"/>
                <c:pt idx="0">
                  <c:v>事业编制</c:v>
                </c:pt>
              </c:strCache>
            </c:strRef>
          </c:tx>
          <c:spPr>
            <a:solidFill>
              <a:schemeClr val="accent2"/>
            </a:solidFill>
            <a:ln>
              <a:noFill/>
            </a:ln>
            <a:effectLst/>
          </c:spPr>
          <c:invertIfNegative val="0"/>
          <c:dLbls>
            <c:delete val="1"/>
          </c:dLbls>
          <c:cat>
            <c:strRef>
              <c:f>Sheet1!$A$2:$A$5</c:f>
              <c:strCache>
                <c:ptCount val="4"/>
                <c:pt idx="0">
                  <c:v>人员编制</c:v>
                </c:pt>
                <c:pt idx="1">
                  <c:v>实有人数</c:v>
                </c:pt>
                <c:pt idx="2">
                  <c:v>退休人员</c:v>
                </c:pt>
              </c:strCache>
            </c:strRef>
          </c:cat>
          <c:val>
            <c:numRef>
              <c:f>Sheet1!$C$2:$C$5</c:f>
              <c:numCache>
                <c:formatCode>General</c:formatCode>
                <c:ptCount val="4"/>
                <c:pt idx="0">
                  <c:v>0</c:v>
                </c:pt>
                <c:pt idx="1">
                  <c:v>0</c:v>
                </c:pt>
                <c:pt idx="2">
                  <c:v>0</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人员编制</c:v>
                </c:pt>
                <c:pt idx="1">
                  <c:v>实有人数</c:v>
                </c:pt>
                <c:pt idx="2">
                  <c:v>退休人员</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00666182"/>
        <c:axId val="141146775"/>
      </c:barChart>
      <c:catAx>
        <c:axId val="9006661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146775"/>
        <c:crosses val="autoZero"/>
        <c:auto val="1"/>
        <c:lblAlgn val="ctr"/>
        <c:lblOffset val="100"/>
        <c:noMultiLvlLbl val="0"/>
      </c:catAx>
      <c:valAx>
        <c:axId val="141146775"/>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666182"/>
        <c:crosses val="autoZero"/>
        <c:crossBetween val="between"/>
        <c:majorUnit val="1"/>
      </c:valAx>
      <c:spPr>
        <a:noFill/>
        <a:ln>
          <a:noFill/>
        </a:ln>
        <a:effectLst>
          <a:glow>
            <a:schemeClr val="tx1"/>
          </a:glow>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alpha val="41000"/>
      </a:schemeClr>
    </a:solidFill>
    <a:ln w="28575" cap="flat" cmpd="sng" algn="ctr">
      <a:solidFill>
        <a:schemeClr val="bg2"/>
      </a:solidFill>
      <a:prstDash val="solid"/>
      <a:round/>
    </a:ln>
    <a:effectLst>
      <a:glow>
        <a:schemeClr val="accent1">
          <a:alpha val="40000"/>
        </a:schemeClr>
      </a:glow>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4381</Words>
  <Characters>4718</Characters>
  <Lines>0</Lines>
  <Paragraphs>0</Paragraphs>
  <TotalTime>0</TotalTime>
  <ScaleCrop>false</ScaleCrop>
  <LinksUpToDate>false</LinksUpToDate>
  <CharactersWithSpaces>4768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嬉笑太盛</cp:lastModifiedBy>
  <cp:lastPrinted>2020-08-03T08:28:00Z</cp:lastPrinted>
  <dcterms:modified xsi:type="dcterms:W3CDTF">2023-09-21T09:01:27Z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AE5F070A0B504394A87FEF982A101480_13</vt:lpwstr>
  </property>
</Properties>
</file>