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洞河镇人民政府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1.促进经济发展，增加农民收入。做好镇村发展规划，培育主导产业，推动产业结构调整，提高农业综合生产能力。促进民营经济发展，引导农民多渠道转移就业，增加农民收入，不断提高人民生活水平。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强化公共服务，着力改善民生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救助工作。发展农村老龄服务，完善农村公共服务，形成管理有序、服务完善、文明祥和的社会生活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加强社会管理，维护农村稳定。加强民主法制宣传教育。加强社会治安综合治理，完善农村治安防控体系，保障人民生命财产安全。协助县级有关部门做好安全生产、市场监管、劳动监察、环境保护等方面的工作。保证社会公正，维护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本部门现设有四个未独立核算的办公室，包含政府、农综站、社保站和文化服务站。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实巩固衔接，阔步乡村振兴征程。严格按照“四个不摘”要求，落实防返贫动态监测帮扶机制，重点关注患重大病、低收入人口及分散供养五保户等特殊群体的常态化动态监测，定期开展风险排查研判，做实落细帮扶措施，坚决守牢不发生规模性返贫底线。狠抓群众增收，启用二台子高标准社区工厂，持续强化就业技能培训，开展职业推介服务活动，提升群众创业就业能力，组织好劳务输出用好公益性岗位，确保有劳动力家庭至少一人就业。发展壮大村集体经济，完善集体经济－企业－农户利益联结机制，进一步拓宽群众增收渠道，消除集体经济收入低于5万元的村，争取打造2个集体经济收入超30万元的村。示范创建引领，持续打造田榜村乡村振兴示范村，推进前河、石家村乡村振兴示范点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盯项目建设，助力经济高质发展。抢抓巩固衔接及乡村振兴战略政策机遇，精心策划储备一批优质项目，镇主要领导及班子成员逐村开展座谈，听取村（社区）2023年发展规划和想法，立足实际分析研判，找准各村发展定位和项目谋划思路。建立项目建设工作专班，主要领导每月调度项目建设进度，解决推进中的难题，做好项目实施的前期用地、用林等审批。举全力争取洞河跨汉江大桥项目落地，围绕产业路、灾毁路建设，畅通出村、出镇、出县道路，改善群众出行条件。围绕产业发展、文旅康养等方面积极策划招商引资项目，按季度举办招商引资大会，细化“项目事前精准策划，项目实施精准服务，项目建成精准回访”的项目包抓推进机制，全力打好招商引资“感情牌”，吸引外出创业成功人士返乡投资兴业，助力经济社会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优化升级，拓宽群众增收渠道。紧紧围绕镇“一片叶子、三个篮子”产业并举的产业发展布局，培育壮大茶叶、畜牧养殖、林果、蔬菜等优势产业，推动农业产业高质量发展。一是守好粮食生产安全底线。坚决扛起粮食安全政治责任，强化耕地保护、撂荒地治理，建设红岩、马家庄、前河村粮蔬种植示范基地，切实抓好粮食生产工作。二是立足优势延伸产业链。以市场为导向持之以恒抓好富硒茶首位产业，管护好现有1万亩茶园，积极引进中小茶企。依托沃农生态农业养羊龙头企业，积极探索“龙头企业+合作社+农户”的联农带农机制，建设沃农生态农业生物有机肥项目，实现从“牧草种植→牧草（秸秆）加工→畜牧养殖→粪便→有机肥加工→肥料还田”的绿色生态循环农业，全力打造畜牧养殖产业的链主企业。建成石家、洞河村蔬菜保供基地，新建大棚100亩，辐射带动周边群众发展露天蔬菜300亩；在G541沿线发展李子、金钱橘产业，打造沿江林果经济带，在菜园村发展庭院经济。同时积极发展大水面养殖、魔芋及中药材种植等产业。三是强化技术培训。通过邀请市县技术人员到镇村开展农业实用技术培训，为产业发展提供技术人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城乡建设，打造库区移民重点镇。立足全县沿江特色小镇定位及库区移民大镇的基础，抢抓全域旅游机遇，主动到市县对接汇报争取，启动陕南水乡特色民居改造项目，发展民宿产业；启动汉江生态保护文化园建设，新建观江步道联通现有河堤及码头，围绕“十年禁捕”及生态环保主题，在河堤边设置汉江保护鱼类、鸟类雕塑及保护知识牌，打造汉江生态环境保护青少年教育实践基地。同时，结合全县产业链发展布局，建设富硒美食、文旅康养产业链，鼓励周边群众开办渔家乐、清真宴，开发水上运动旅游项目，不断完善吃住游乐基础设施，为下一步发展全域旅游奠定基础，实现高点定位全力打造“渔乡小镇·水韵洞河”。持续深化“一街两线三百”工作思路，抓好人居环境整治工作，在人口集聚区域实施污水处理站点及管网建设，以整村推进模式，全面完成沿江村住户改厕工作，实现农户改厕普及率达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筑牢发展底线，厚植经济社会发展底气。一是抓好应急管理。以基层应急能力体系建设为契机，做实“321”基层治理，整合安全生产、防汛抗旱、森林防灭火等应急职责，夯实网格员职责，打造共建共治共享的应急管理格局。二是常态化做好疫情防控工作。坚持“人物同防”，科学精准防控，加强应急物资保障，完善应急预案，进一步提高应急保障和处置能力，织密织牢疫情防控网。三是严守生态环保底线。牢记国之大者，持续做好明华煤矿植被恢复工作和小米溪沟水污染日常应急处理，确保中央环保督察通报典型案例反馈问题整改到位、见到实效。同时加大汉江水质保护力度，确保汉江洞河段出境断面水质常年保持在Ⅱ类标准以上。四是做好信访维稳。健全信访维稳工作机制，突出信访问题和矛盾纠纷化解工作，严格落实“一人四管”制度，坚决打击非访、闹访、缠访行为，主动有序化解一批老难信访案件，促进信访化解工作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个，包括：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紫阳县洞河镇人民政府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紫阳县洞河镇文化站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紫阳县洞河镇农业综合服务站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紫阳县洞河镇社会保障服务站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人，其中行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45053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涉及人员划转的部门，人员划转手续未办结的，仍在原部门单位进行说明。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上级补助收入0.00万元、事业收入0.00万元、事业单位经营收入0.00万元、对附属单位上缴收入0.0000万元、用事业基金弥补收支差额0.00万元、上年结转0.00万元、上年实户资金余额0.00万元、其他收入0.00万元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176.92</w:t>
      </w:r>
      <w:r>
        <w:rPr>
          <w:rFonts w:hint="eastAsia" w:ascii="仿宋" w:hAnsi="仿宋" w:eastAsia="仿宋" w:cs="仿宋"/>
          <w:sz w:val="32"/>
          <w:szCs w:val="32"/>
        </w:rPr>
        <w:t>万元，主要原因是人员经费和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事业收入0.00万元、事业单位经营收入0.00万元、对附属单位上缴收入0.00万元、上年实户资金余额0.00万元、其他收入0.00万元、上年结转0.00万元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176.92</w:t>
      </w:r>
      <w:r>
        <w:rPr>
          <w:rFonts w:hint="eastAsia" w:ascii="仿宋" w:hAnsi="仿宋" w:eastAsia="仿宋" w:cs="仿宋"/>
          <w:sz w:val="32"/>
          <w:szCs w:val="32"/>
        </w:rPr>
        <w:t>万元，主要原因是人员经费和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万元、上年结转0.00万元，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176.92</w:t>
      </w:r>
      <w:r>
        <w:rPr>
          <w:rFonts w:hint="eastAsia" w:ascii="仿宋" w:hAnsi="仿宋" w:eastAsia="仿宋" w:cs="仿宋"/>
          <w:sz w:val="32"/>
          <w:szCs w:val="32"/>
        </w:rPr>
        <w:t>万元，主要原因是人员经费和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万元、上年结转0.00万元，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176.92</w:t>
      </w:r>
      <w:r>
        <w:rPr>
          <w:rFonts w:hint="eastAsia" w:ascii="仿宋" w:hAnsi="仿宋" w:eastAsia="仿宋" w:cs="仿宋"/>
          <w:sz w:val="32"/>
          <w:szCs w:val="32"/>
        </w:rPr>
        <w:t>万元，主要原因是人员经费和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176.92</w:t>
      </w:r>
      <w:r>
        <w:rPr>
          <w:rFonts w:hint="eastAsia" w:ascii="仿宋" w:hAnsi="仿宋" w:eastAsia="仿宋" w:cs="仿宋"/>
          <w:sz w:val="32"/>
          <w:szCs w:val="32"/>
        </w:rPr>
        <w:t>万元，主要原因是人员经费和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公用经费</w:t>
      </w:r>
      <w:r>
        <w:rPr>
          <w:rFonts w:hint="eastAsia" w:ascii="仿宋" w:hAnsi="仿宋" w:eastAsia="仿宋" w:cs="仿宋"/>
          <w:sz w:val="32"/>
          <w:szCs w:val="32"/>
        </w:rPr>
        <w:t>增加。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675.01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146.35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80505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69.55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15.76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（3）行政单位医疗（2101101）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34.33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7.90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52.50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6.91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（1）按照部门预算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686.89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159.79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128.00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17.04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公用经费增加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16.50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退休人员增加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686.89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159.79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128.00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17.04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公用经费增加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16.50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0.09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退休人员增加。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10.97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0.32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%），增加的主要原因是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公务接待费增加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2.97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%），增加的主要原因是一般性公务接待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2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143"/>
        <w:gridCol w:w="2438"/>
        <w:gridCol w:w="787"/>
        <w:gridCol w:w="89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洞河镇重点工作安排部署会（镇村干部大会）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2023年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75人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0.22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全年会议共计20余次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831.39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40.67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3.56</w:t>
      </w:r>
      <w:r>
        <w:rPr>
          <w:rFonts w:hint="eastAsia" w:ascii="仿宋" w:hAnsi="仿宋" w:eastAsia="仿宋" w:cs="仿宋"/>
          <w:sz w:val="32"/>
          <w:szCs w:val="32"/>
        </w:rPr>
        <w:t>万元，主要原因是公用经费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D70262"/>
    <w:rsid w:val="018F2D13"/>
    <w:rsid w:val="02953D9A"/>
    <w:rsid w:val="03791D26"/>
    <w:rsid w:val="0466605A"/>
    <w:rsid w:val="04D310FE"/>
    <w:rsid w:val="04F35073"/>
    <w:rsid w:val="05CC76FF"/>
    <w:rsid w:val="061D2748"/>
    <w:rsid w:val="06D7231D"/>
    <w:rsid w:val="075D6C6A"/>
    <w:rsid w:val="0773304F"/>
    <w:rsid w:val="089D1D43"/>
    <w:rsid w:val="0A653AEA"/>
    <w:rsid w:val="0AAB1747"/>
    <w:rsid w:val="0B3F0C39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D705450"/>
    <w:rsid w:val="1E0072C5"/>
    <w:rsid w:val="1E1E7AD2"/>
    <w:rsid w:val="1ED0381D"/>
    <w:rsid w:val="20FE50B8"/>
    <w:rsid w:val="210F400E"/>
    <w:rsid w:val="21444836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72361F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3DC72BE"/>
    <w:rsid w:val="53F7211F"/>
    <w:rsid w:val="54474AB6"/>
    <w:rsid w:val="5582405A"/>
    <w:rsid w:val="56051C6B"/>
    <w:rsid w:val="563B38C9"/>
    <w:rsid w:val="563F4648"/>
    <w:rsid w:val="57C07DEE"/>
    <w:rsid w:val="57D907D0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7D12FDD"/>
    <w:rsid w:val="68EA113C"/>
    <w:rsid w:val="699E67D8"/>
    <w:rsid w:val="69B23FEC"/>
    <w:rsid w:val="69E141D5"/>
    <w:rsid w:val="69F87A79"/>
    <w:rsid w:val="6A9E0F71"/>
    <w:rsid w:val="6C540332"/>
    <w:rsid w:val="6DBE3A60"/>
    <w:rsid w:val="6E8A04A9"/>
    <w:rsid w:val="6F3075D5"/>
    <w:rsid w:val="6F5403ED"/>
    <w:rsid w:val="71A236EE"/>
    <w:rsid w:val="73843559"/>
    <w:rsid w:val="73D25BFB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03162C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3&#39044;&#31639;&#20844;&#24320;\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52008456659619"/>
          <c:y val="0.155555554562145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[柱形图.xlsx]Sheet1!$F$1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plosion val="0"/>
          </c:dPt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[柱形图.xlsx]Sheet1!$F$2:$F$4</c:f>
              <c:numCache>
                <c:formatCode>General</c:formatCode>
                <c:ptCount val="2"/>
                <c:pt idx="0">
                  <c:v>30</c:v>
                </c:pt>
                <c:pt idx="1">
                  <c:v>28</c:v>
                </c:pt>
              </c:numCache>
            </c:numRef>
          </c:val>
        </c:ser>
        <c:ser>
          <c:idx val="1"/>
          <c:order val="1"/>
          <c:tx>
            <c:strRef>
              <c:f>[柱形图.xlsx]Sheet1!$G$1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[柱形图.xlsx]Sheet1!$G$2:$G$4</c:f>
              <c:numCache>
                <c:formatCode>General</c:formatCode>
                <c:ptCount val="2"/>
                <c:pt idx="0">
                  <c:v>34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0"/>
        <c:axId val="140531588"/>
        <c:axId val="410230685"/>
      </c:barChart>
      <c:catAx>
        <c:axId val="1405315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30685"/>
        <c:crosses val="autoZero"/>
        <c:auto val="1"/>
        <c:lblAlgn val="ctr"/>
        <c:lblOffset val="100"/>
        <c:noMultiLvlLbl val="0"/>
      </c:catAx>
      <c:valAx>
        <c:axId val="4102306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5315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5193</Words>
  <Characters>5648</Characters>
  <Lines>0</Lines>
  <Paragraphs>0</Paragraphs>
  <TotalTime>4</TotalTime>
  <ScaleCrop>false</ScaleCrop>
  <LinksUpToDate>false</LinksUpToDate>
  <CharactersWithSpaces>5682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2023-08-04T08:59:23Z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CAF4C4EA64404B83B4E6BE0114410B71</vt:lpwstr>
  </property>
</Properties>
</file>