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w:t>
      </w:r>
      <w:r>
        <w:rPr>
          <w:rFonts w:hint="eastAsia" w:ascii="黑体" w:hAnsi="黑体" w:eastAsia="黑体" w:cs="黑体"/>
          <w:sz w:val="32"/>
          <w:szCs w:val="32"/>
          <w:lang w:val="en-US" w:eastAsia="zh-CN"/>
        </w:rPr>
        <w:t>瓦庙</w:t>
      </w:r>
      <w:r>
        <w:rPr>
          <w:rFonts w:hint="eastAsia" w:ascii="黑体" w:hAnsi="黑体" w:eastAsia="黑体" w:cs="黑体"/>
          <w:sz w:val="32"/>
          <w:szCs w:val="32"/>
          <w:lang w:eastAsia="zh-CN"/>
        </w:rPr>
        <w:t>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 w:val="0"/>
          <w:bCs w:val="0"/>
          <w:color w:val="auto"/>
          <w:sz w:val="32"/>
          <w:szCs w:val="32"/>
        </w:rPr>
        <w:t>负责组织和管理镇财政收入和支出，组织编制执行镇年度预决算；</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负责镇非税收入的管理；负责镇级部门预算资金和各类财政专项资金的监管；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负责居民补贴资金的发放和监管；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按照财政财务体制划分负责</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镇政府辖区内各单位的财政财务和政府采购</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负责镇债权债务监管；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负责镇公共资产管理利用及村集体资产监管；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负责农村财务管理指导、服务和监督；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b/>
          <w:bCs/>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lang w:val="en-US" w:eastAsia="zh-CN"/>
        </w:rPr>
        <w:t>依据部门三定方案，</w:t>
      </w:r>
      <w:r>
        <w:rPr>
          <w:rFonts w:hint="eastAsia" w:ascii="仿宋" w:hAnsi="仿宋" w:eastAsia="仿宋" w:cs="仿宋"/>
          <w:sz w:val="32"/>
          <w:szCs w:val="32"/>
          <w:highlight w:val="none"/>
          <w:lang w:val="en-US" w:eastAsia="zh-CN"/>
        </w:rPr>
        <w:t>本单位现设紫阳县财政局瓦庙财政所。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1.加强财政所干部理论素养和专业技能的提升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3.对镇级部门预算资金和各类财政专项资金进行监管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4.完成居民补贴资金的发放和监管；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5.按照财政财务体制划分负责对镇政府辖区内各单位的财政财务和政府采购的监管，加强业务培训及指导；</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6.梳理瓦庙镇债权债务，同时加强监管；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7.完成镇公共资产管理利用及村集体资产监管；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8.对农村财务管理做好指导、服务和监督；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10.购置空调2台，装订机1台，会议用电视1台等办公设备。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单位</w:t>
      </w:r>
      <w:r>
        <w:rPr>
          <w:rFonts w:hint="eastAsia" w:ascii="仿宋" w:hAnsi="仿宋" w:eastAsia="仿宋" w:cs="仿宋"/>
          <w:b/>
          <w:bCs/>
          <w:sz w:val="32"/>
          <w:szCs w:val="32"/>
          <w:highlight w:val="none"/>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drawing>
          <wp:inline distT="0" distB="0" distL="114300" distR="114300">
            <wp:extent cx="2558415" cy="1865630"/>
            <wp:effectExtent l="5080" t="4445" r="12065"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highlight w:val="none"/>
        </w:rPr>
        <w:t>收支预算总体情况。</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lang w:val="en-US" w:eastAsia="zh-CN"/>
        </w:rPr>
        <w:drawing>
          <wp:inline distT="0" distB="0" distL="114300" distR="114300">
            <wp:extent cx="5102860" cy="2458720"/>
            <wp:effectExtent l="4445" t="4445" r="13335"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67.12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67.12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highlight w:val="none"/>
          <w:lang w:val="en-US" w:eastAsia="zh-CN"/>
        </w:rPr>
        <w:t xml:space="preserve"> 30.37 </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lang w:val="en-US" w:eastAsia="zh-CN"/>
        </w:rPr>
        <w:t>以及驻村第一书记及工作队工作专项经费纳入本级财政年初预算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67.12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67.12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highlight w:val="none"/>
          <w:lang w:val="en-US" w:eastAsia="zh-CN"/>
        </w:rPr>
        <w:t xml:space="preserve"> 30.37  </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lang w:val="en-US" w:eastAsia="zh-CN"/>
        </w:rPr>
        <w:t>以及驻村第一书记及工作队工作专项经费纳入本级财政年初预算</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财政拨款收支情况。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drawing>
          <wp:inline distT="0" distB="0" distL="114300" distR="114300">
            <wp:extent cx="4724400" cy="3543300"/>
            <wp:effectExtent l="5080" t="4445" r="1397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67.12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67.12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highlight w:val="none"/>
          <w:lang w:val="en-US" w:eastAsia="zh-CN"/>
        </w:rPr>
        <w:t xml:space="preserve"> 30.37 </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lang w:val="en-US" w:eastAsia="zh-CN"/>
        </w:rPr>
        <w:t>以及驻村第一书记及工作队工作专项经费纳入本级财政年初预算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67.12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67.12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highlight w:val="none"/>
          <w:lang w:val="en-US" w:eastAsia="zh-CN"/>
        </w:rPr>
        <w:t xml:space="preserve"> 30.37 </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lang w:val="en-US" w:eastAsia="zh-CN"/>
        </w:rPr>
        <w:t>以及驻村第一书记及工作队工作专项经费纳入本级财政年初预算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67.12</w:t>
      </w:r>
      <w:r>
        <w:rPr>
          <w:rFonts w:hint="eastAsia" w:ascii="仿宋" w:hAnsi="仿宋" w:eastAsia="仿宋" w:cs="仿宋"/>
          <w:sz w:val="32"/>
          <w:szCs w:val="32"/>
        </w:rPr>
        <w:t>万元，较上年增加</w:t>
      </w:r>
      <w:r>
        <w:rPr>
          <w:rFonts w:hint="eastAsia" w:ascii="仿宋" w:hAnsi="仿宋" w:eastAsia="仿宋" w:cs="仿宋"/>
          <w:sz w:val="32"/>
          <w:szCs w:val="32"/>
          <w:highlight w:val="none"/>
          <w:lang w:val="en-US" w:eastAsia="zh-CN"/>
        </w:rPr>
        <w:t xml:space="preserve"> 30.37 </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lang w:val="en-US" w:eastAsia="zh-CN"/>
        </w:rPr>
        <w:t>以及驻村第一书记及工作队工作专项经费纳入本级财政年初预算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drawing>
          <wp:inline distT="0" distB="0" distL="114300" distR="114300">
            <wp:extent cx="4819015" cy="3614420"/>
            <wp:effectExtent l="5080" t="4445" r="14605" b="196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支出按功能科目分类的明细情况。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186555" cy="3140075"/>
            <wp:effectExtent l="4445" t="4445" r="19050" b="177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67.12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highlight w:val="none"/>
          <w:lang w:val="en-US" w:eastAsia="zh-CN"/>
        </w:rPr>
        <w:t>43.63</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增加10.04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工资调整及公积金财政配套纳入本级财政年初预算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w:t>
      </w:r>
      <w:r>
        <w:rPr>
          <w:rFonts w:hint="eastAsia" w:ascii="仿宋" w:hAnsi="仿宋" w:eastAsia="仿宋" w:cs="仿宋"/>
          <w:sz w:val="32"/>
          <w:szCs w:val="32"/>
          <w:highlight w:val="none"/>
          <w:lang w:val="en-US" w:eastAsia="zh-CN"/>
        </w:rPr>
        <w:t>4.24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0.63</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w:t>
      </w:r>
      <w:r>
        <w:rPr>
          <w:rFonts w:hint="eastAsia" w:ascii="仿宋" w:hAnsi="仿宋" w:eastAsia="仿宋" w:cs="仿宋"/>
          <w:sz w:val="32"/>
          <w:szCs w:val="32"/>
          <w:highlight w:val="none"/>
          <w:lang w:val="en-US" w:eastAsia="zh-CN"/>
        </w:rPr>
        <w:t>2.08</w:t>
      </w:r>
      <w:r>
        <w:rPr>
          <w:rFonts w:hint="eastAsia" w:ascii="仿宋" w:hAnsi="仿宋" w:eastAsia="仿宋" w:cs="仿宋"/>
          <w:sz w:val="32"/>
          <w:szCs w:val="32"/>
          <w:lang w:val="en-US" w:eastAsia="zh-CN"/>
        </w:rPr>
        <w:t>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0.31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农林水支出（类）生产发展（款）</w:t>
      </w:r>
      <w:r>
        <w:rPr>
          <w:rFonts w:hint="eastAsia" w:ascii="仿宋" w:hAnsi="仿宋" w:eastAsia="仿宋" w:cs="仿宋"/>
          <w:sz w:val="32"/>
          <w:szCs w:val="32"/>
          <w:lang w:val="en-US" w:eastAsia="zh-CN"/>
        </w:rPr>
        <w:t>其他巩固脱贫攻坚成果衔接乡村振兴支出（项）（2130599）</w:t>
      </w:r>
      <w:r>
        <w:rPr>
          <w:rFonts w:hint="eastAsia" w:ascii="仿宋" w:hAnsi="仿宋" w:eastAsia="仿宋" w:cs="仿宋"/>
          <w:sz w:val="32"/>
          <w:szCs w:val="32"/>
          <w:highlight w:val="none"/>
          <w:lang w:val="en-US" w:eastAsia="zh-CN"/>
        </w:rPr>
        <w:t>14.00万元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14</w:t>
      </w:r>
      <w:r>
        <w:rPr>
          <w:rFonts w:hint="eastAsia" w:ascii="仿宋" w:hAnsi="仿宋" w:eastAsia="仿宋" w:cs="仿宋"/>
          <w:sz w:val="32"/>
          <w:szCs w:val="32"/>
        </w:rPr>
        <w:t>万元；</w:t>
      </w:r>
      <w:r>
        <w:rPr>
          <w:rFonts w:hint="eastAsia" w:ascii="仿宋" w:hAnsi="仿宋" w:eastAsia="仿宋" w:cs="仿宋"/>
          <w:sz w:val="32"/>
          <w:szCs w:val="32"/>
          <w:lang w:val="en-US" w:eastAsia="zh-CN"/>
        </w:rPr>
        <w:t>原因是驻村第一书记及工作队工作专项经费纳入财政年初预算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住房公积金（项）（2210201）</w:t>
      </w:r>
      <w:r>
        <w:rPr>
          <w:rFonts w:hint="eastAsia" w:ascii="仿宋" w:hAnsi="仿宋" w:eastAsia="仿宋" w:cs="仿宋"/>
          <w:sz w:val="32"/>
          <w:szCs w:val="32"/>
          <w:highlight w:val="none"/>
          <w:lang w:val="en-US" w:eastAsia="zh-CN"/>
        </w:rPr>
        <w:t>3.17</w:t>
      </w:r>
      <w:r>
        <w:rPr>
          <w:rFonts w:hint="eastAsia" w:ascii="仿宋" w:hAnsi="仿宋" w:eastAsia="仿宋" w:cs="仿宋"/>
          <w:sz w:val="32"/>
          <w:szCs w:val="32"/>
          <w:lang w:val="en-US" w:eastAsia="zh-CN"/>
        </w:rPr>
        <w:t>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3.17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公积金财政配套纳入本级财政年初预算。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30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677410" cy="3508375"/>
            <wp:effectExtent l="4445" t="4445" r="23495" b="1143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highlight w:val="none"/>
          <w:lang w:val="en-US" w:eastAsia="zh-CN"/>
        </w:rPr>
        <w:t>43.12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14.15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lang w:val="en-US" w:eastAsia="zh-CN"/>
        </w:rPr>
        <w:t>以及公积金财政配套纳入本级财政年初预算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highlight w:val="none"/>
          <w:lang w:val="en-US" w:eastAsia="zh-CN"/>
        </w:rPr>
        <w:t>22.9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驻村第一书记及工作队工作专项经费纳入财政年初预算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310</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rPr>
        <w:t>万元，</w:t>
      </w:r>
      <w:r>
        <w:rPr>
          <w:rFonts w:hint="eastAsia" w:ascii="仿宋" w:hAnsi="仿宋" w:eastAsia="仿宋" w:cs="仿宋"/>
          <w:sz w:val="32"/>
          <w:szCs w:val="32"/>
          <w:lang w:val="en-US" w:eastAsia="zh-CN"/>
        </w:rPr>
        <w:t>比上年减少0.9万元。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按照政府预算支出经济分类的类级科目说明。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56175" cy="3717290"/>
            <wp:effectExtent l="4445" t="4445" r="11430" b="1206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rPr>
        <w:t>机关工资福利支出（501）</w:t>
      </w:r>
      <w:r>
        <w:rPr>
          <w:rFonts w:hint="eastAsia" w:ascii="仿宋" w:hAnsi="仿宋" w:eastAsia="仿宋" w:cs="仿宋"/>
          <w:sz w:val="32"/>
          <w:szCs w:val="32"/>
          <w:highlight w:val="none"/>
          <w:lang w:val="en-US" w:eastAsia="zh-CN"/>
        </w:rPr>
        <w:t>43.12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bookmarkStart w:id="0" w:name="_GoBack"/>
      <w:bookmarkEnd w:id="0"/>
      <w:r>
        <w:rPr>
          <w:rFonts w:hint="eastAsia" w:ascii="仿宋" w:hAnsi="仿宋" w:eastAsia="仿宋" w:cs="仿宋"/>
          <w:sz w:val="32"/>
          <w:szCs w:val="32"/>
          <w:highlight w:val="none"/>
        </w:rPr>
        <w:t>较上年增加</w:t>
      </w:r>
      <w:r>
        <w:rPr>
          <w:rFonts w:hint="eastAsia" w:ascii="仿宋" w:hAnsi="仿宋" w:eastAsia="仿宋" w:cs="仿宋"/>
          <w:sz w:val="32"/>
          <w:szCs w:val="32"/>
          <w:highlight w:val="none"/>
          <w:lang w:val="en-US" w:eastAsia="zh-CN"/>
        </w:rPr>
        <w:t>14.15</w:t>
      </w:r>
      <w:r>
        <w:rPr>
          <w:rFonts w:hint="eastAsia" w:ascii="仿宋" w:hAnsi="仿宋" w:eastAsia="仿宋" w:cs="仿宋"/>
          <w:sz w:val="32"/>
          <w:szCs w:val="32"/>
          <w:highlight w:val="none"/>
        </w:rPr>
        <w:t>万元，</w:t>
      </w:r>
      <w:r>
        <w:rPr>
          <w:rFonts w:hint="eastAsia" w:ascii="仿宋" w:hAnsi="仿宋" w:eastAsia="仿宋" w:cs="仿宋"/>
          <w:sz w:val="32"/>
          <w:szCs w:val="32"/>
        </w:rPr>
        <w:t>原因是</w:t>
      </w:r>
      <w:r>
        <w:rPr>
          <w:rFonts w:hint="eastAsia" w:ascii="仿宋" w:hAnsi="仿宋" w:eastAsia="仿宋" w:cs="仿宋"/>
          <w:sz w:val="32"/>
          <w:szCs w:val="32"/>
          <w:lang w:eastAsia="zh-CN"/>
        </w:rPr>
        <w:t>人员经费增加</w:t>
      </w:r>
      <w:r>
        <w:rPr>
          <w:rFonts w:hint="eastAsia" w:ascii="仿宋" w:hAnsi="仿宋" w:eastAsia="仿宋" w:cs="仿宋"/>
          <w:sz w:val="32"/>
          <w:szCs w:val="32"/>
          <w:lang w:val="en-US" w:eastAsia="zh-CN"/>
        </w:rPr>
        <w:t>以及公积金财政配套纳入本级财政年初预算</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机关商品和服务支出（502）</w:t>
      </w:r>
      <w:r>
        <w:rPr>
          <w:rFonts w:hint="eastAsia" w:ascii="仿宋" w:hAnsi="仿宋" w:eastAsia="仿宋" w:cs="仿宋"/>
          <w:sz w:val="32"/>
          <w:szCs w:val="32"/>
          <w:highlight w:val="none"/>
          <w:lang w:val="en-US" w:eastAsia="zh-CN"/>
        </w:rPr>
        <w:t>22.9</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万元，主要原因是</w:t>
      </w:r>
      <w:r>
        <w:rPr>
          <w:rFonts w:hint="eastAsia" w:ascii="仿宋" w:hAnsi="仿宋" w:eastAsia="仿宋" w:cs="仿宋"/>
          <w:sz w:val="32"/>
          <w:szCs w:val="32"/>
          <w:highlight w:val="none"/>
          <w:lang w:val="en-US" w:eastAsia="zh-CN"/>
        </w:rPr>
        <w:t>驻村第一书记及工作队工作专项经费纳入财政年初预算</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highlight w:val="none"/>
          <w:lang w:eastAsia="zh-CN"/>
        </w:rPr>
        <w:t>资本性支出（</w:t>
      </w:r>
      <w:r>
        <w:rPr>
          <w:rFonts w:hint="eastAsia" w:ascii="仿宋" w:hAnsi="仿宋" w:eastAsia="仿宋" w:cs="仿宋"/>
          <w:sz w:val="32"/>
          <w:szCs w:val="32"/>
          <w:highlight w:val="none"/>
          <w:lang w:val="en-US" w:eastAsia="zh-CN"/>
        </w:rPr>
        <w:t>203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万元，</w:t>
      </w:r>
      <w:r>
        <w:rPr>
          <w:rFonts w:hint="eastAsia" w:ascii="仿宋" w:hAnsi="仿宋" w:eastAsia="仿宋" w:cs="仿宋"/>
          <w:sz w:val="32"/>
          <w:szCs w:val="32"/>
          <w:lang w:val="en-US" w:eastAsia="zh-CN"/>
        </w:rPr>
        <w:t>比上年减少0.9万元。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）2023年本单位当年一般公共预算“三公”经费预算支出</w:t>
      </w:r>
      <w:r>
        <w:rPr>
          <w:rFonts w:hint="eastAsia" w:ascii="仿宋" w:hAnsi="仿宋" w:eastAsia="仿宋" w:cs="仿宋"/>
          <w:sz w:val="32"/>
          <w:szCs w:val="32"/>
          <w:lang w:val="en-US" w:eastAsia="zh-CN"/>
        </w:rPr>
        <w:t>0.16</w:t>
      </w:r>
      <w:r>
        <w:rPr>
          <w:rFonts w:hint="eastAsia" w:ascii="仿宋" w:hAnsi="仿宋" w:eastAsia="仿宋" w:cs="仿宋"/>
          <w:sz w:val="32"/>
          <w:szCs w:val="32"/>
          <w:lang w:eastAsia="zh-CN"/>
        </w:rPr>
        <w:t>万元，与上年</w:t>
      </w:r>
      <w:r>
        <w:rPr>
          <w:rFonts w:hint="eastAsia" w:ascii="仿宋" w:hAnsi="仿宋" w:eastAsia="仿宋" w:cs="仿宋"/>
          <w:sz w:val="32"/>
          <w:szCs w:val="32"/>
          <w:lang w:val="en-US" w:eastAsia="zh-CN"/>
        </w:rPr>
        <w:t>持平</w:t>
      </w:r>
      <w:r>
        <w:rPr>
          <w:rFonts w:hint="eastAsia" w:ascii="仿宋" w:hAnsi="仿宋" w:eastAsia="仿宋" w:cs="仿宋"/>
          <w:sz w:val="32"/>
          <w:szCs w:val="32"/>
          <w:lang w:eastAsia="zh-CN"/>
        </w:rPr>
        <w:t>。其中：因公出国（境）经费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万元，与上年持平；公务接待费</w:t>
      </w:r>
      <w:r>
        <w:rPr>
          <w:rFonts w:hint="eastAsia" w:ascii="仿宋" w:hAnsi="仿宋" w:eastAsia="仿宋" w:cs="仿宋"/>
          <w:sz w:val="32"/>
          <w:szCs w:val="32"/>
          <w:lang w:val="en-US" w:eastAsia="zh-CN"/>
        </w:rPr>
        <w:t>0.16</w:t>
      </w:r>
      <w:r>
        <w:rPr>
          <w:rFonts w:hint="eastAsia" w:ascii="仿宋" w:hAnsi="仿宋" w:eastAsia="仿宋" w:cs="仿宋"/>
          <w:sz w:val="32"/>
          <w:szCs w:val="32"/>
          <w:lang w:eastAsia="zh-CN"/>
        </w:rPr>
        <w:t>万元，与上年持平；公务用车运行费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万元，与上年持平；公务用车购置费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）2023年本单位当年会议费预算支出</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万元，与上年持平。培训费</w:t>
      </w:r>
      <w:r>
        <w:rPr>
          <w:rFonts w:hint="eastAsia" w:ascii="仿宋" w:hAnsi="仿宋" w:eastAsia="仿宋" w:cs="仿宋"/>
          <w:sz w:val="32"/>
          <w:szCs w:val="32"/>
          <w:lang w:val="en-US" w:eastAsia="zh-CN"/>
        </w:rPr>
        <w:t>0.2</w:t>
      </w:r>
      <w:r>
        <w:rPr>
          <w:rFonts w:hint="eastAsia" w:ascii="仿宋" w:hAnsi="仿宋" w:eastAsia="仿宋" w:cs="仿宋"/>
          <w:sz w:val="32"/>
          <w:szCs w:val="32"/>
          <w:lang w:eastAsia="zh-CN"/>
        </w:rPr>
        <w:t>万元，与上年</w:t>
      </w:r>
      <w:r>
        <w:rPr>
          <w:rFonts w:hint="eastAsia" w:ascii="仿宋" w:hAnsi="仿宋" w:eastAsia="仿宋" w:cs="仿宋"/>
          <w:sz w:val="32"/>
          <w:szCs w:val="32"/>
          <w:lang w:val="en-US" w:eastAsia="zh-CN"/>
        </w:rPr>
        <w:t>增加0.2万元</w:t>
      </w:r>
      <w:r>
        <w:rPr>
          <w:rFonts w:hint="eastAsia" w:ascii="仿宋" w:hAnsi="仿宋" w:eastAsia="仿宋" w:cs="仿宋"/>
          <w:sz w:val="32"/>
          <w:szCs w:val="32"/>
        </w:rPr>
        <w:t>。</w:t>
      </w:r>
      <w:r>
        <w:rPr>
          <w:rFonts w:hint="eastAsia" w:ascii="仿宋" w:hAnsi="仿宋" w:eastAsia="仿宋" w:cs="仿宋"/>
          <w:sz w:val="32"/>
          <w:szCs w:val="32"/>
          <w:lang w:val="en-US" w:eastAsia="zh-CN"/>
        </w:rPr>
        <w:t>主要原因是今年组织村级财务培训。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lang w:eastAsia="zh-CN"/>
        </w:rPr>
        <w:t>本单位无202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截</w:t>
      </w:r>
      <w:r>
        <w:rPr>
          <w:rFonts w:hint="eastAsia" w:ascii="仿宋" w:hAnsi="仿宋" w:eastAsia="仿宋" w:cs="仿宋"/>
          <w:sz w:val="32"/>
          <w:szCs w:val="32"/>
          <w:lang w:eastAsia="zh-CN"/>
        </w:rPr>
        <w:t>止2022年底，本单位所属预算单位共有车辆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台（套）。2023年当年单位预算安排购置车辆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67.12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单位当年机关运行经费预算安排</w:t>
      </w:r>
      <w:r>
        <w:rPr>
          <w:rFonts w:hint="eastAsia" w:ascii="仿宋" w:hAnsi="仿宋" w:eastAsia="仿宋" w:cs="仿宋"/>
          <w:sz w:val="32"/>
          <w:szCs w:val="32"/>
          <w:highlight w:val="none"/>
          <w:lang w:val="en-US" w:eastAsia="zh-CN"/>
        </w:rPr>
        <w:t>1.78</w:t>
      </w:r>
      <w:r>
        <w:rPr>
          <w:rFonts w:hint="eastAsia" w:ascii="仿宋" w:hAnsi="仿宋" w:eastAsia="仿宋" w:cs="仿宋"/>
          <w:sz w:val="32"/>
          <w:szCs w:val="32"/>
          <w:lang w:eastAsia="zh-CN"/>
        </w:rPr>
        <w:t>万元，与上年持平。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无2022年结转的财政拨款机关运行经费支出。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4F42A7C2"/>
    <w:multiLevelType w:val="singleLevel"/>
    <w:tmpl w:val="4F42A7C2"/>
    <w:lvl w:ilvl="0" w:tentative="0">
      <w:start w:val="1"/>
      <w:numFmt w:val="chineseCounting"/>
      <w:suff w:val="nothing"/>
      <w:lvlText w:val="（%1）"/>
      <w:lvlJc w:val="left"/>
      <w:rPr>
        <w:rFonts w:hint="eastAsia"/>
      </w:rPr>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abstractNum w:abstractNumId="5">
    <w:nsid w:val="650B662E"/>
    <w:multiLevelType w:val="singleLevel"/>
    <w:tmpl w:val="650B662E"/>
    <w:lvl w:ilvl="0" w:tentative="0">
      <w:start w:val="5"/>
      <w:numFmt w:val="decimal"/>
      <w:suff w:val="nothing"/>
      <w:lvlText w:val="（%1）"/>
      <w:lvlJc w:val="left"/>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61D2748"/>
    <w:rsid w:val="06D7231D"/>
    <w:rsid w:val="075D6C6A"/>
    <w:rsid w:val="0773304F"/>
    <w:rsid w:val="089D1D43"/>
    <w:rsid w:val="089E397C"/>
    <w:rsid w:val="09A07832"/>
    <w:rsid w:val="0A653AEA"/>
    <w:rsid w:val="0AAB1747"/>
    <w:rsid w:val="0B473936"/>
    <w:rsid w:val="0B820553"/>
    <w:rsid w:val="0B8A1B09"/>
    <w:rsid w:val="0C805687"/>
    <w:rsid w:val="0D053BAB"/>
    <w:rsid w:val="0D594F94"/>
    <w:rsid w:val="0E1F698E"/>
    <w:rsid w:val="0FA9052D"/>
    <w:rsid w:val="10163FB4"/>
    <w:rsid w:val="10A536CA"/>
    <w:rsid w:val="10FE4B72"/>
    <w:rsid w:val="11E56E97"/>
    <w:rsid w:val="12B55B02"/>
    <w:rsid w:val="13DD192D"/>
    <w:rsid w:val="147F7E6C"/>
    <w:rsid w:val="14C85364"/>
    <w:rsid w:val="14FA613E"/>
    <w:rsid w:val="15053ED9"/>
    <w:rsid w:val="15BA67E3"/>
    <w:rsid w:val="15EB6487"/>
    <w:rsid w:val="166918D6"/>
    <w:rsid w:val="16B3458F"/>
    <w:rsid w:val="16CE71AF"/>
    <w:rsid w:val="176724C1"/>
    <w:rsid w:val="18AF7F70"/>
    <w:rsid w:val="19B53131"/>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5760A7E"/>
    <w:rsid w:val="26CC76FD"/>
    <w:rsid w:val="272308AF"/>
    <w:rsid w:val="28064C78"/>
    <w:rsid w:val="2864072E"/>
    <w:rsid w:val="2A3E38E1"/>
    <w:rsid w:val="2BF2458F"/>
    <w:rsid w:val="2F004DEC"/>
    <w:rsid w:val="2F3B562F"/>
    <w:rsid w:val="2FC8494E"/>
    <w:rsid w:val="314B37FB"/>
    <w:rsid w:val="31B733F7"/>
    <w:rsid w:val="385D1A98"/>
    <w:rsid w:val="38F70388"/>
    <w:rsid w:val="3A4434B4"/>
    <w:rsid w:val="3B055E9C"/>
    <w:rsid w:val="3D28036F"/>
    <w:rsid w:val="3D5101FF"/>
    <w:rsid w:val="3D8407DF"/>
    <w:rsid w:val="3DFF32ED"/>
    <w:rsid w:val="3F503091"/>
    <w:rsid w:val="4008265B"/>
    <w:rsid w:val="41851E44"/>
    <w:rsid w:val="420B5D06"/>
    <w:rsid w:val="4248700C"/>
    <w:rsid w:val="465670F7"/>
    <w:rsid w:val="471D22FA"/>
    <w:rsid w:val="472B48D8"/>
    <w:rsid w:val="4741375D"/>
    <w:rsid w:val="47C702DF"/>
    <w:rsid w:val="48422B9F"/>
    <w:rsid w:val="488947B6"/>
    <w:rsid w:val="4B2B1713"/>
    <w:rsid w:val="4F4A0EA8"/>
    <w:rsid w:val="4FB64197"/>
    <w:rsid w:val="50572E30"/>
    <w:rsid w:val="515D4568"/>
    <w:rsid w:val="51AA26CF"/>
    <w:rsid w:val="51AA5E26"/>
    <w:rsid w:val="52324C02"/>
    <w:rsid w:val="52C93A96"/>
    <w:rsid w:val="52DF1E7A"/>
    <w:rsid w:val="531A3416"/>
    <w:rsid w:val="538C5F53"/>
    <w:rsid w:val="54474AB6"/>
    <w:rsid w:val="5582405A"/>
    <w:rsid w:val="56051C6B"/>
    <w:rsid w:val="563F4648"/>
    <w:rsid w:val="57C07DEE"/>
    <w:rsid w:val="58FE3115"/>
    <w:rsid w:val="592D7B67"/>
    <w:rsid w:val="59D947AF"/>
    <w:rsid w:val="59F96CB8"/>
    <w:rsid w:val="5BD23E00"/>
    <w:rsid w:val="5BF47018"/>
    <w:rsid w:val="5C653576"/>
    <w:rsid w:val="5D66673B"/>
    <w:rsid w:val="5E5C14C1"/>
    <w:rsid w:val="5F635E4B"/>
    <w:rsid w:val="5FA55FD4"/>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EFE3F46"/>
    <w:rsid w:val="6F3075D5"/>
    <w:rsid w:val="6F5403ED"/>
    <w:rsid w:val="6F540C4C"/>
    <w:rsid w:val="71A236EE"/>
    <w:rsid w:val="73843559"/>
    <w:rsid w:val="73FB4EF1"/>
    <w:rsid w:val="75AC088F"/>
    <w:rsid w:val="76590D5F"/>
    <w:rsid w:val="77AD3FB4"/>
    <w:rsid w:val="77ED1A36"/>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单位人员编制</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行政编制3人</c:v>
                </c:pt>
                <c:pt idx="1">
                  <c:v>事业编制0人</c:v>
                </c:pt>
              </c:strCache>
            </c:strRef>
          </c:cat>
          <c:val>
            <c:numRef>
              <c:f>Sheet1!$B$2:$B$3</c:f>
              <c:numCache>
                <c:formatCode>General</c:formatCode>
                <c:ptCount val="2"/>
                <c:pt idx="0">
                  <c:v>3</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60094672995781"/>
          <c:y val="0.8598301565690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收支预算总情况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预算收入总情况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36.75</c:v>
                </c:pt>
                <c:pt idx="1">
                  <c:v>67.12</c:v>
                </c:pt>
              </c:numCache>
            </c:numRef>
          </c:val>
        </c:ser>
        <c:ser>
          <c:idx val="1"/>
          <c:order val="1"/>
          <c:tx>
            <c:strRef>
              <c:f>Sheet1!$C$1</c:f>
              <c:strCache>
                <c:ptCount val="1"/>
                <c:pt idx="0">
                  <c:v>预算支出总情况</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36.75</c:v>
                </c:pt>
                <c:pt idx="1">
                  <c:v>67.12</c:v>
                </c:pt>
              </c:numCache>
            </c:numRef>
          </c:val>
        </c:ser>
        <c:dLbls>
          <c:showLegendKey val="0"/>
          <c:showVal val="1"/>
          <c:showCatName val="0"/>
          <c:showSerName val="0"/>
          <c:showPercent val="0"/>
          <c:showBubbleSize val="0"/>
        </c:dLbls>
        <c:gapWidth val="150"/>
        <c:overlap val="0"/>
        <c:axId val="290167603"/>
        <c:axId val="580459068"/>
      </c:barChart>
      <c:catAx>
        <c:axId val="2901676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0459068"/>
        <c:crosses val="autoZero"/>
        <c:auto val="1"/>
        <c:lblAlgn val="ctr"/>
        <c:lblOffset val="100"/>
        <c:noMultiLvlLbl val="0"/>
      </c:catAx>
      <c:valAx>
        <c:axId val="5804590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016760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36.75</c:v>
                </c:pt>
                <c:pt idx="1">
                  <c:v>67.12</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36.75</c:v>
                </c:pt>
                <c:pt idx="1">
                  <c:v>67.12</c:v>
                </c:pt>
              </c:numCache>
            </c:numRef>
          </c:val>
        </c:ser>
        <c:dLbls>
          <c:showLegendKey val="0"/>
          <c:showVal val="1"/>
          <c:showCatName val="0"/>
          <c:showSerName val="0"/>
          <c:showPercent val="0"/>
          <c:showBubbleSize val="0"/>
        </c:dLbls>
        <c:gapWidth val="150"/>
        <c:overlap val="0"/>
        <c:axId val="92301320"/>
        <c:axId val="690843722"/>
      </c:barChart>
      <c:catAx>
        <c:axId val="92301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843722"/>
        <c:crosses val="autoZero"/>
        <c:auto val="1"/>
        <c:lblAlgn val="ctr"/>
        <c:lblOffset val="100"/>
        <c:noMultiLvlLbl val="0"/>
      </c:catAx>
      <c:valAx>
        <c:axId val="6908437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3013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一般公共预算拨款支出情况</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一般公共预算拨款支出</c:v>
                </c:pt>
              </c:strCache>
            </c:strRef>
          </c:tx>
          <c:spPr>
            <a:solidFill>
              <a:schemeClr val="accent1"/>
            </a:solidFill>
            <a:ln>
              <a:noFill/>
            </a:ln>
            <a:effectLst/>
          </c:spPr>
          <c:invertIfNegative val="0"/>
          <c:dLbls>
            <c:delete val="1"/>
          </c:dLbls>
          <c:cat>
            <c:strRef>
              <c:f>Sheet1!$A$2:$A$3</c:f>
              <c:strCache>
                <c:ptCount val="2"/>
                <c:pt idx="0">
                  <c:v>2022年36.75万元</c:v>
                </c:pt>
                <c:pt idx="1">
                  <c:v>2023年67.12万元</c:v>
                </c:pt>
              </c:strCache>
            </c:strRef>
          </c:cat>
          <c:val>
            <c:numRef>
              <c:f>Sheet1!$B$2:$B$3</c:f>
              <c:numCache>
                <c:formatCode>General</c:formatCode>
                <c:ptCount val="2"/>
                <c:pt idx="0">
                  <c:v>36.75</c:v>
                </c:pt>
                <c:pt idx="1">
                  <c:v>67.12</c:v>
                </c:pt>
              </c:numCache>
            </c:numRef>
          </c:val>
        </c:ser>
        <c:dLbls>
          <c:showLegendKey val="0"/>
          <c:showVal val="0"/>
          <c:showCatName val="0"/>
          <c:showSerName val="0"/>
          <c:showPercent val="0"/>
          <c:showBubbleSize val="0"/>
        </c:dLbls>
        <c:gapWidth val="150"/>
        <c:overlap val="100"/>
        <c:axId val="92301320"/>
        <c:axId val="690843722"/>
      </c:barChart>
      <c:catAx>
        <c:axId val="92301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843722"/>
        <c:crosses val="autoZero"/>
        <c:auto val="1"/>
        <c:lblAlgn val="ctr"/>
        <c:lblOffset val="100"/>
        <c:noMultiLvlLbl val="0"/>
      </c:catAx>
      <c:valAx>
        <c:axId val="6908437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3013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支出按功能科目分类</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一般公共服务支出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33.59</c:v>
                </c:pt>
                <c:pt idx="1">
                  <c:v>43.63</c:v>
                </c:pt>
              </c:numCache>
            </c:numRef>
          </c:val>
        </c:ser>
        <c:ser>
          <c:idx val="1"/>
          <c:order val="1"/>
          <c:tx>
            <c:strRef>
              <c:f>Sheet1!$C$1</c:f>
              <c:strCache>
                <c:ptCount val="1"/>
                <c:pt idx="0">
                  <c:v>社会保障和就业支出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3.61</c:v>
                </c:pt>
                <c:pt idx="1">
                  <c:v>4.24</c:v>
                </c:pt>
              </c:numCache>
            </c:numRef>
          </c:val>
        </c:ser>
        <c:ser>
          <c:idx val="2"/>
          <c:order val="2"/>
          <c:tx>
            <c:strRef>
              <c:f>Sheet1!$D$1</c:f>
              <c:strCache>
                <c:ptCount val="1"/>
                <c:pt idx="0">
                  <c:v>卫生健康支出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Sheet1!$D$2:$D$3</c:f>
              <c:numCache>
                <c:formatCode>General</c:formatCode>
                <c:ptCount val="2"/>
                <c:pt idx="0">
                  <c:v>1.77</c:v>
                </c:pt>
                <c:pt idx="1">
                  <c:v>2.08</c:v>
                </c:pt>
              </c:numCache>
            </c:numRef>
          </c:val>
        </c:ser>
        <c:ser>
          <c:idx val="3"/>
          <c:order val="3"/>
          <c:tx>
            <c:strRef>
              <c:f>Sheet1!$E$1</c:f>
              <c:strCache>
                <c:ptCount val="1"/>
                <c:pt idx="0">
                  <c:v>农林水支出</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Sheet1!$E$2:$E$3</c:f>
              <c:numCache>
                <c:formatCode>General</c:formatCode>
                <c:ptCount val="2"/>
                <c:pt idx="0">
                  <c:v>0</c:v>
                </c:pt>
                <c:pt idx="1">
                  <c:v>14</c:v>
                </c:pt>
              </c:numCache>
            </c:numRef>
          </c:val>
        </c:ser>
        <c:ser>
          <c:idx val="4"/>
          <c:order val="4"/>
          <c:tx>
            <c:strRef>
              <c:f>Sheet1!$F$1</c:f>
              <c:strCache>
                <c:ptCount val="1"/>
                <c:pt idx="0">
                  <c:v>住房保障支出</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Sheet1!$F$2:$F$3</c:f>
              <c:numCache>
                <c:formatCode>General</c:formatCode>
                <c:ptCount val="2"/>
                <c:pt idx="0">
                  <c:v>0</c:v>
                </c:pt>
                <c:pt idx="1">
                  <c:v>3.17</c:v>
                </c:pt>
              </c:numCache>
            </c:numRef>
          </c:val>
        </c:ser>
        <c:dLbls>
          <c:showLegendKey val="0"/>
          <c:showVal val="1"/>
          <c:showCatName val="0"/>
          <c:showSerName val="0"/>
          <c:showPercent val="0"/>
          <c:showBubbleSize val="0"/>
        </c:dLbls>
        <c:gapWidth val="219"/>
        <c:overlap val="-27"/>
        <c:axId val="878283137"/>
        <c:axId val="51012956"/>
      </c:barChart>
      <c:catAx>
        <c:axId val="8782831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12956"/>
        <c:crosses val="autoZero"/>
        <c:auto val="1"/>
        <c:lblAlgn val="ctr"/>
        <c:lblOffset val="100"/>
        <c:noMultiLvlLbl val="0"/>
      </c:catAx>
      <c:valAx>
        <c:axId val="510129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2831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支出按经济科目分类</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工资福利支出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28.97</c:v>
                </c:pt>
                <c:pt idx="1">
                  <c:v>43.12</c:v>
                </c:pt>
              </c:numCache>
            </c:numRef>
          </c:val>
        </c:ser>
        <c:ser>
          <c:idx val="1"/>
          <c:order val="1"/>
          <c:tx>
            <c:strRef>
              <c:f>Sheet1!$C$1</c:f>
              <c:strCache>
                <c:ptCount val="1"/>
                <c:pt idx="0">
                  <c:v>商品和服务支出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0</c:v>
                </c:pt>
                <c:pt idx="1">
                  <c:v>14</c:v>
                </c:pt>
              </c:numCache>
            </c:numRef>
          </c:val>
        </c:ser>
        <c:ser>
          <c:idx val="2"/>
          <c:order val="2"/>
          <c:tx>
            <c:strRef>
              <c:f>Sheet1!$D$1</c:f>
              <c:strCache>
                <c:ptCount val="1"/>
                <c:pt idx="0">
                  <c:v>资本性支出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Sheet1!$D$2:$D$3</c:f>
              <c:numCache>
                <c:formatCode>General</c:formatCode>
                <c:ptCount val="2"/>
                <c:pt idx="0">
                  <c:v>2</c:v>
                </c:pt>
                <c:pt idx="1">
                  <c:v>1.1</c:v>
                </c:pt>
              </c:numCache>
            </c:numRef>
          </c:val>
        </c:ser>
        <c:dLbls>
          <c:showLegendKey val="0"/>
          <c:showVal val="1"/>
          <c:showCatName val="0"/>
          <c:showSerName val="0"/>
          <c:showPercent val="0"/>
          <c:showBubbleSize val="0"/>
        </c:dLbls>
        <c:gapWidth val="219"/>
        <c:overlap val="-27"/>
        <c:axId val="240979756"/>
        <c:axId val="205267436"/>
      </c:barChart>
      <c:catAx>
        <c:axId val="2409797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267436"/>
        <c:crosses val="autoZero"/>
        <c:auto val="1"/>
        <c:lblAlgn val="ctr"/>
        <c:lblOffset val="100"/>
        <c:noMultiLvlLbl val="0"/>
      </c:catAx>
      <c:valAx>
        <c:axId val="2052674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09797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按照政府预算支出经济分类的类级科目</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机关工资福利支出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28.97</c:v>
                </c:pt>
                <c:pt idx="1">
                  <c:v>43.12</c:v>
                </c:pt>
              </c:numCache>
            </c:numRef>
          </c:val>
        </c:ser>
        <c:ser>
          <c:idx val="1"/>
          <c:order val="1"/>
          <c:tx>
            <c:strRef>
              <c:f>Sheet1!$C$1</c:f>
              <c:strCache>
                <c:ptCount val="1"/>
                <c:pt idx="0">
                  <c:v>机关商品和服务支出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8.9</c:v>
                </c:pt>
                <c:pt idx="1">
                  <c:v>22.9</c:v>
                </c:pt>
              </c:numCache>
            </c:numRef>
          </c:val>
        </c:ser>
        <c:ser>
          <c:idx val="2"/>
          <c:order val="2"/>
          <c:tx>
            <c:strRef>
              <c:f>Sheet1!$D$1</c:f>
              <c:strCache>
                <c:ptCount val="1"/>
                <c:pt idx="0">
                  <c:v>资本性支出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Sheet1!$D$2:$D$3</c:f>
              <c:numCache>
                <c:formatCode>General</c:formatCode>
                <c:ptCount val="2"/>
                <c:pt idx="0">
                  <c:v>2</c:v>
                </c:pt>
                <c:pt idx="1">
                  <c:v>1.1</c:v>
                </c:pt>
              </c:numCache>
            </c:numRef>
          </c:val>
        </c:ser>
        <c:dLbls>
          <c:showLegendKey val="0"/>
          <c:showVal val="1"/>
          <c:showCatName val="0"/>
          <c:showSerName val="0"/>
          <c:showPercent val="0"/>
          <c:showBubbleSize val="0"/>
        </c:dLbls>
        <c:gapWidth val="219"/>
        <c:overlap val="-27"/>
        <c:axId val="967574834"/>
        <c:axId val="508364649"/>
      </c:barChart>
      <c:catAx>
        <c:axId val="9675748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8364649"/>
        <c:crosses val="autoZero"/>
        <c:auto val="1"/>
        <c:lblAlgn val="ctr"/>
        <c:lblOffset val="100"/>
        <c:noMultiLvlLbl val="0"/>
      </c:catAx>
      <c:valAx>
        <c:axId val="5083646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5748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3709</Words>
  <Characters>4133</Characters>
  <Lines>0</Lines>
  <Paragraphs>0</Paragraphs>
  <TotalTime>1</TotalTime>
  <ScaleCrop>false</ScaleCrop>
  <LinksUpToDate>false</LinksUpToDate>
  <CharactersWithSpaces>4200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2023-06-05T06:41:57Z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