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紫阳县财政局双桥财政所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财政所主要承担促进农村经济社会发展、加强镇财政管理的职能。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1.负责组织和管理镇财政收入和支出，组织编制执行镇年度预决算。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2.负责镇非税收入的管理。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3.负责镇级部门预算资金和各类财政专项资金的监管。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4.负责居民补贴资金的发放和监管。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5.按照财政财务体制划分负责镇政府辖区内各单位的财政财务和政府采购活动的监管。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6.负责镇债权债务监管。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7.负责镇公共资产管理利用及村集体资产监管。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8.负责农村财务管理指导、服务和监督。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9.承担上级财政部门和法律法规赋予的其他工作。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lang w:val="en-US" w:eastAsia="zh-CN"/>
        </w:rPr>
        <w:t>本单位为县财政局在双桥镇的派出机构，属县财政局二级单位，本单位无下属单位。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（一）加强涉农整合资金管理。</w:t>
      </w:r>
      <w:r>
        <w:rPr>
          <w:rFonts w:hint="eastAsia" w:ascii="仿宋_GB2312" w:hAnsi="仿宋_GB2312" w:eastAsia="仿宋_GB2312" w:cs="仿宋_GB2312"/>
          <w:color w:val="000000"/>
          <w:kern w:val="0"/>
          <w:sz w:val="32"/>
          <w:szCs w:val="32"/>
          <w:lang w:val="en-US" w:eastAsia="zh-CN" w:bidi="ar"/>
        </w:rPr>
        <w:t>强化资金全过程监管，</w:t>
      </w:r>
      <w:r>
        <w:rPr>
          <w:rFonts w:hint="eastAsia" w:ascii="仿宋_GB2312" w:hAnsi="仿宋_GB2312" w:eastAsia="仿宋_GB2312" w:cs="仿宋_GB2312"/>
          <w:b w:val="0"/>
          <w:bCs w:val="0"/>
          <w:color w:val="auto"/>
          <w:kern w:val="0"/>
          <w:sz w:val="32"/>
          <w:szCs w:val="32"/>
          <w:lang w:val="en-US" w:eastAsia="zh-CN" w:bidi="ar"/>
        </w:rPr>
        <w:t>专岗负责，实行动态管理。</w:t>
      </w:r>
      <w:r>
        <w:rPr>
          <w:rFonts w:hint="eastAsia" w:ascii="仿宋_GB2312" w:hAnsi="仿宋_GB2312" w:eastAsia="仿宋_GB2312" w:cs="仿宋_GB2312"/>
          <w:color w:val="auto"/>
          <w:kern w:val="0"/>
          <w:sz w:val="32"/>
          <w:szCs w:val="32"/>
          <w:lang w:val="en-US" w:eastAsia="zh-CN" w:bidi="ar"/>
        </w:rPr>
        <w:t>设专项资金管理员，负责涉农整合资金的监管、拨付、会计核算工作。主动配合镇项目办做好项目绩效目标申报、运行监控等资料。项目实施后，财政所牵头组织录入紫阳县“三级两账”项目资金监管平台，对项目资金全过程监管。</w:t>
      </w:r>
      <w:r>
        <w:rPr>
          <w:rFonts w:hint="eastAsia" w:ascii="仿宋_GB2312" w:hAnsi="仿宋_GB2312" w:eastAsia="仿宋_GB2312" w:cs="仿宋_GB2312"/>
          <w:b w:val="0"/>
          <w:bCs w:val="0"/>
          <w:color w:val="auto"/>
          <w:kern w:val="0"/>
          <w:sz w:val="32"/>
          <w:szCs w:val="32"/>
          <w:lang w:val="en-US" w:eastAsia="zh-CN" w:bidi="ar"/>
        </w:rPr>
        <w:t>严把支付关口，规范报账程序。</w:t>
      </w:r>
      <w:r>
        <w:rPr>
          <w:rFonts w:hint="eastAsia" w:ascii="仿宋_GB2312" w:hAnsi="仿宋_GB2312" w:eastAsia="仿宋_GB2312" w:cs="仿宋_GB2312"/>
          <w:color w:val="auto"/>
          <w:kern w:val="0"/>
          <w:sz w:val="32"/>
          <w:szCs w:val="32"/>
          <w:lang w:val="en-US" w:eastAsia="zh-CN" w:bidi="ar"/>
        </w:rPr>
        <w:t>按照项目进度支付资金，确保专款专用。</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（二）严格落实惠民一卡通补贴发放工作。</w:t>
      </w:r>
      <w:r>
        <w:rPr>
          <w:rFonts w:hint="eastAsia" w:ascii="仿宋" w:hAnsi="仿宋" w:eastAsia="仿宋" w:cs="仿宋"/>
          <w:sz w:val="32"/>
          <w:szCs w:val="32"/>
          <w:lang w:val="en-US" w:eastAsia="zh-CN"/>
        </w:rPr>
        <w:t>加强宣传，充分利用党务政务公开栏、微信群等载体，广泛宣传解释相关惠民政策。</w:t>
      </w:r>
      <w:r>
        <w:rPr>
          <w:rFonts w:hint="eastAsia" w:ascii="仿宋_GB2312" w:hAnsi="仿宋_GB2312" w:eastAsia="仿宋_GB2312" w:cs="仿宋_GB2312"/>
          <w:sz w:val="32"/>
          <w:szCs w:val="32"/>
          <w:lang w:val="en-US" w:eastAsia="zh-CN"/>
        </w:rPr>
        <w:t>健全完善惠民惠农补贴资金“一卡通”管理制度，规范资金申报、审核及发放流程，加大公示公告力度、宣传力度，强化群众监督，确保群众利益不受损失</w:t>
      </w:r>
      <w:r>
        <w:rPr>
          <w:rFonts w:hint="eastAsia" w:ascii="仿宋" w:hAnsi="仿宋" w:eastAsia="仿宋" w:cs="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（三）加强村级财务管理。</w:t>
      </w:r>
      <w:r>
        <w:rPr>
          <w:rFonts w:hint="eastAsia" w:ascii="仿宋" w:hAnsi="仿宋" w:eastAsia="仿宋" w:cs="仿宋"/>
          <w:sz w:val="32"/>
          <w:szCs w:val="32"/>
          <w:lang w:val="en-US" w:eastAsia="zh-CN"/>
        </w:rPr>
        <w:t>一是严格执行“村财村用财政所代管”制度，加强村级财务人员培训，夯实村级财务管理基础，严格执行财务工作规范，健全村级财务管理制度，坚持民主理财，完善财务公开，加强会计档案管理。二是严格执行项目资金管理规章制度和专项资金使用制度，切实落实主体责任，建立项目管理、资金使用集体决策和内部监督机制，落实项目资金公开公示制度，将项目资金管理使用情况作为村务公开的重要内容。三是加强指导与监督，财政所定期开展村级财务指导和检查，不断规范村级财务业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default" w:ascii="仿宋" w:hAnsi="仿宋" w:eastAsia="仿宋" w:cs="仿宋"/>
          <w:sz w:val="32"/>
          <w:szCs w:val="32"/>
          <w:highlight w:val="green"/>
          <w:lang w:val="en-US"/>
        </w:rPr>
      </w:pPr>
      <w:r>
        <w:rPr>
          <w:rFonts w:hint="eastAsia" w:ascii="仿宋" w:hAnsi="仿宋" w:eastAsia="仿宋" w:cs="仿宋"/>
          <w:b/>
          <w:bCs/>
          <w:sz w:val="32"/>
          <w:szCs w:val="32"/>
          <w:lang w:val="en-US" w:eastAsia="zh-CN"/>
        </w:rPr>
        <w:t>（四）按时发放村干部、群团、村民组长补贴。</w:t>
      </w:r>
      <w:r>
        <w:rPr>
          <w:rFonts w:hint="eastAsia" w:ascii="仿宋" w:hAnsi="仿宋" w:eastAsia="仿宋" w:cs="仿宋"/>
          <w:sz w:val="32"/>
          <w:szCs w:val="32"/>
          <w:lang w:val="en-US" w:eastAsia="zh-CN"/>
        </w:rPr>
        <w:t>按照县局统一要求，每月每季度按时发放村干部工资和绩效工资，年末统一发放群团、村民组长补贴。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-87630</wp:posOffset>
            </wp:positionH>
            <wp:positionV relativeFrom="paragraph">
              <wp:posOffset>95885</wp:posOffset>
            </wp:positionV>
            <wp:extent cx="5421630" cy="3031490"/>
            <wp:effectExtent l="4445" t="4445" r="22225" b="1206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86.94</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86.94</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39.06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农林水收入增加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39.06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农林水支出增加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86.94</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86.94</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39.06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农林水收入增加</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39.06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农林水支出增加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39.06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农林水支出增加</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56.46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15.73</w:t>
      </w:r>
      <w:r>
        <w:rPr>
          <w:rFonts w:hint="eastAsia" w:ascii="仿宋" w:hAnsi="仿宋" w:eastAsia="仿宋" w:cs="仿宋"/>
          <w:sz w:val="32"/>
          <w:szCs w:val="32"/>
        </w:rPr>
        <w:t>万元，原因是</w:t>
      </w:r>
      <w:r>
        <w:rPr>
          <w:rFonts w:hint="eastAsia" w:ascii="仿宋" w:hAnsi="仿宋" w:eastAsia="仿宋" w:cs="仿宋"/>
          <w:color w:val="auto"/>
          <w:sz w:val="32"/>
          <w:szCs w:val="32"/>
          <w:lang w:val="en-US" w:eastAsia="zh-CN"/>
        </w:rPr>
        <w:t>人员调资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机关事业单位养老保险支出</w:t>
      </w:r>
      <w:r>
        <w:rPr>
          <w:rFonts w:hint="eastAsia" w:ascii="仿宋" w:hAnsi="仿宋" w:eastAsia="仿宋" w:cs="仿宋"/>
          <w:sz w:val="32"/>
          <w:szCs w:val="32"/>
        </w:rPr>
        <w:t>（20</w:t>
      </w:r>
      <w:r>
        <w:rPr>
          <w:rFonts w:hint="eastAsia" w:ascii="仿宋" w:hAnsi="仿宋" w:eastAsia="仿宋" w:cs="仿宋"/>
          <w:sz w:val="32"/>
          <w:szCs w:val="32"/>
          <w:lang w:val="en-US" w:eastAsia="zh-CN"/>
        </w:rPr>
        <w:t>8</w:t>
      </w:r>
      <w:r>
        <w:rPr>
          <w:rFonts w:hint="eastAsia" w:ascii="仿宋" w:hAnsi="仿宋" w:eastAsia="仿宋" w:cs="仿宋"/>
          <w:sz w:val="32"/>
          <w:szCs w:val="32"/>
        </w:rPr>
        <w:t>0</w:t>
      </w:r>
      <w:r>
        <w:rPr>
          <w:rFonts w:hint="eastAsia" w:ascii="仿宋" w:hAnsi="仿宋" w:eastAsia="仿宋" w:cs="仿宋"/>
          <w:sz w:val="32"/>
          <w:szCs w:val="32"/>
          <w:lang w:val="en-US" w:eastAsia="zh-CN"/>
        </w:rPr>
        <w:t>505</w:t>
      </w:r>
      <w:r>
        <w:rPr>
          <w:rFonts w:hint="eastAsia" w:ascii="仿宋" w:hAnsi="仿宋" w:eastAsia="仿宋" w:cs="仿宋"/>
          <w:sz w:val="32"/>
          <w:szCs w:val="32"/>
        </w:rPr>
        <w:t>）</w:t>
      </w:r>
      <w:r>
        <w:rPr>
          <w:rFonts w:hint="eastAsia" w:ascii="仿宋" w:hAnsi="仿宋" w:eastAsia="仿宋" w:cs="仿宋"/>
          <w:sz w:val="32"/>
          <w:szCs w:val="32"/>
          <w:lang w:val="en-US" w:eastAsia="zh-CN"/>
        </w:rPr>
        <w:t>5.57</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增加0.77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调资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（3）行政单位医疗（21</w:t>
      </w:r>
      <w:r>
        <w:rPr>
          <w:rFonts w:hint="eastAsia" w:ascii="仿宋" w:hAnsi="仿宋" w:eastAsia="仿宋" w:cs="仿宋"/>
          <w:sz w:val="32"/>
          <w:szCs w:val="32"/>
          <w:lang w:val="en-US" w:eastAsia="zh-CN"/>
        </w:rPr>
        <w:t>01101</w:t>
      </w:r>
      <w:r>
        <w:rPr>
          <w:rFonts w:hint="eastAsia" w:ascii="仿宋" w:hAnsi="仿宋" w:eastAsia="仿宋" w:cs="仿宋"/>
          <w:sz w:val="32"/>
          <w:szCs w:val="32"/>
        </w:rPr>
        <w:t>）</w:t>
      </w:r>
      <w:r>
        <w:rPr>
          <w:rFonts w:hint="eastAsia" w:ascii="仿宋" w:hAnsi="仿宋" w:eastAsia="仿宋" w:cs="仿宋"/>
          <w:sz w:val="32"/>
          <w:szCs w:val="32"/>
          <w:lang w:val="en-US" w:eastAsia="zh-CN"/>
        </w:rPr>
        <w:t>2.74</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增加0.39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w:t>
      </w:r>
      <w:r>
        <w:rPr>
          <w:rFonts w:hint="eastAsia" w:ascii="仿宋" w:hAnsi="仿宋" w:eastAsia="仿宋" w:cs="仿宋"/>
          <w:sz w:val="32"/>
          <w:szCs w:val="32"/>
          <w:lang w:val="en-US" w:eastAsia="zh-CN"/>
        </w:rPr>
        <w:t>调资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w:t>
      </w:r>
      <w:r>
        <w:rPr>
          <w:rFonts w:hint="eastAsia" w:ascii="仿宋" w:hAnsi="仿宋" w:eastAsia="仿宋" w:cs="仿宋"/>
          <w:sz w:val="32"/>
          <w:szCs w:val="32"/>
          <w:lang w:eastAsia="zh-CN"/>
        </w:rPr>
        <w:t>单位</w:t>
      </w:r>
      <w:r>
        <w:rPr>
          <w:rFonts w:hint="eastAsia" w:ascii="仿宋" w:hAnsi="仿宋" w:eastAsia="仿宋" w:cs="仿宋"/>
          <w:sz w:val="32"/>
          <w:szCs w:val="32"/>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56.62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18.12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人员调资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30.32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22.66</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增加第一书记和工作队经费</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86.94</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56.62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18.12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人员调资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30.32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22.66</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增加第一书记和工作队经费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rPr>
        <w:t>。其中：</w:t>
      </w:r>
      <w:r>
        <w:rPr>
          <w:rFonts w:hint="eastAsia" w:ascii="仿宋" w:hAnsi="仿宋" w:eastAsia="仿宋" w:cs="仿宋"/>
          <w:sz w:val="32"/>
          <w:szCs w:val="32"/>
          <w:highlight w:val="none"/>
        </w:rPr>
        <w:t>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highlight w:val="none"/>
        </w:rPr>
        <w:t>；公务接待费</w:t>
      </w:r>
      <w:r>
        <w:rPr>
          <w:rFonts w:hint="eastAsia" w:ascii="仿宋" w:hAnsi="仿宋" w:eastAsia="仿宋" w:cs="仿宋"/>
          <w:sz w:val="32"/>
          <w:szCs w:val="32"/>
          <w:lang w:val="en-US" w:eastAsia="zh-CN"/>
        </w:rPr>
        <w:t>0.22</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rPr>
        <w:t>；</w:t>
      </w:r>
      <w:r>
        <w:rPr>
          <w:rFonts w:hint="eastAsia" w:ascii="仿宋" w:hAnsi="仿宋" w:eastAsia="仿宋" w:cs="仿宋"/>
          <w:sz w:val="32"/>
          <w:szCs w:val="32"/>
          <w:highlight w:val="none"/>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rPr>
        <w:t>预算支出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所属预算单位共有</w:t>
      </w:r>
      <w:r>
        <w:rPr>
          <w:rFonts w:hint="eastAsia" w:ascii="仿宋" w:hAnsi="仿宋" w:eastAsia="仿宋" w:cs="仿宋"/>
          <w:sz w:val="32"/>
          <w:szCs w:val="32"/>
          <w:highlight w:val="none"/>
        </w:rPr>
        <w:t>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辆，单价</w:t>
      </w:r>
      <w:r>
        <w:rPr>
          <w:rFonts w:hint="eastAsia" w:ascii="仿宋" w:hAnsi="仿宋" w:eastAsia="仿宋" w:cs="仿宋"/>
          <w:sz w:val="32"/>
          <w:szCs w:val="32"/>
          <w:highlight w:val="none"/>
        </w:rPr>
        <w:t>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eastAsia="zh-CN"/>
        </w:rPr>
        <w:t>2023年</w:t>
      </w:r>
      <w:r>
        <w:rPr>
          <w:rFonts w:hint="eastAsia" w:ascii="仿宋" w:hAnsi="仿宋" w:eastAsia="仿宋" w:cs="仿宋"/>
          <w:sz w:val="32"/>
          <w:szCs w:val="32"/>
        </w:rPr>
        <w:t>当年</w:t>
      </w:r>
      <w:r>
        <w:rPr>
          <w:rFonts w:hint="eastAsia" w:ascii="仿宋" w:hAnsi="仿宋" w:eastAsia="仿宋" w:cs="仿宋"/>
          <w:sz w:val="32"/>
          <w:szCs w:val="32"/>
          <w:lang w:eastAsia="zh-CN"/>
        </w:rPr>
        <w:t>单位</w:t>
      </w:r>
      <w:r>
        <w:rPr>
          <w:rFonts w:hint="eastAsia" w:ascii="仿宋" w:hAnsi="仿宋" w:eastAsia="仿宋" w:cs="仿宋"/>
          <w:sz w:val="32"/>
          <w:szCs w:val="32"/>
        </w:rPr>
        <w:t>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当年本</w:t>
      </w:r>
      <w:r>
        <w:rPr>
          <w:rFonts w:hint="eastAsia" w:ascii="仿宋" w:hAnsi="仿宋" w:eastAsia="仿宋" w:cs="仿宋"/>
          <w:sz w:val="32"/>
          <w:szCs w:val="32"/>
          <w:lang w:eastAsia="zh-CN"/>
        </w:rPr>
        <w:t>单位</w:t>
      </w:r>
      <w:r>
        <w:rPr>
          <w:rFonts w:hint="eastAsia" w:ascii="仿宋" w:hAnsi="仿宋" w:eastAsia="仿宋" w:cs="仿宋"/>
          <w:sz w:val="32"/>
          <w:szCs w:val="32"/>
        </w:rPr>
        <w:t>政府采购预算共</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w:t>
      </w:r>
      <w:r>
        <w:rPr>
          <w:rFonts w:hint="eastAsia" w:ascii="仿宋" w:hAnsi="仿宋" w:eastAsia="仿宋" w:cs="仿宋"/>
          <w:sz w:val="32"/>
          <w:szCs w:val="32"/>
          <w:highlight w:val="none"/>
        </w:rPr>
        <w:t>货物类</w:t>
      </w:r>
      <w:r>
        <w:rPr>
          <w:rFonts w:hint="eastAsia" w:ascii="仿宋" w:hAnsi="仿宋" w:eastAsia="仿宋" w:cs="仿宋"/>
          <w:sz w:val="32"/>
          <w:szCs w:val="32"/>
        </w:rPr>
        <w:t>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w:t>
      </w:r>
      <w:r>
        <w:rPr>
          <w:rFonts w:hint="eastAsia" w:ascii="仿宋" w:hAnsi="仿宋" w:eastAsia="仿宋" w:cs="仿宋"/>
          <w:sz w:val="32"/>
          <w:szCs w:val="32"/>
          <w:highlight w:val="none"/>
        </w:rPr>
        <w:t>服务类</w:t>
      </w:r>
      <w:r>
        <w:rPr>
          <w:rFonts w:hint="eastAsia" w:ascii="仿宋" w:hAnsi="仿宋" w:eastAsia="仿宋" w:cs="仿宋"/>
          <w:sz w:val="32"/>
          <w:szCs w:val="32"/>
        </w:rPr>
        <w:t>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w:t>
      </w:r>
      <w:r>
        <w:rPr>
          <w:rFonts w:hint="eastAsia" w:ascii="仿宋" w:hAnsi="仿宋" w:eastAsia="仿宋" w:cs="仿宋"/>
          <w:sz w:val="32"/>
          <w:szCs w:val="32"/>
          <w:highlight w:val="none"/>
        </w:rPr>
        <w:t>工程类</w:t>
      </w:r>
      <w:r>
        <w:rPr>
          <w:rFonts w:hint="eastAsia" w:ascii="仿宋" w:hAnsi="仿宋" w:eastAsia="仿宋" w:cs="仿宋"/>
          <w:sz w:val="32"/>
          <w:szCs w:val="32"/>
        </w:rPr>
        <w:t>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86.94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9.38</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无变化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“三公经费”，是指用财政拨款安排的因为出国（境） 费，公务用车购置及运行费和公务接待费。其中，因公</w:t>
      </w:r>
      <w:bookmarkStart w:id="0" w:name="_GoBack"/>
      <w:bookmarkEnd w:id="0"/>
      <w:r>
        <w:rPr>
          <w:rFonts w:hint="eastAsia" w:ascii="仿宋" w:hAnsi="仿宋" w:eastAsia="仿宋" w:cs="仿宋"/>
          <w:sz w:val="32"/>
          <w:szCs w:val="32"/>
          <w:lang w:val="en-US" w:eastAsia="zh-CN"/>
        </w:rPr>
        <w:t>出国（境）费反映单位公务出国（境）的国际旅费、国外城市间交通费、住宿费、伙食费、培训费、公杂费等支出；公务接待费反映单位按规定开支的各类公务接待支出。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0F0F4F"/>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30238B3"/>
    <w:rsid w:val="385D1A98"/>
    <w:rsid w:val="38F70388"/>
    <w:rsid w:val="3A4434B4"/>
    <w:rsid w:val="3B055E9C"/>
    <w:rsid w:val="3D28036F"/>
    <w:rsid w:val="3D8407DF"/>
    <w:rsid w:val="3DFF32ED"/>
    <w:rsid w:val="3F503091"/>
    <w:rsid w:val="4008265B"/>
    <w:rsid w:val="41851E44"/>
    <w:rsid w:val="420B5D06"/>
    <w:rsid w:val="4248700C"/>
    <w:rsid w:val="429A3207"/>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AE72433"/>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黑体"/>
      <w:kern w:val="2"/>
      <w:sz w:val="21"/>
      <w:szCs w:val="24"/>
      <w:lang w:val="en-US" w:eastAsia="zh-CN" w:bidi="ar-SA"/>
    </w:rPr>
  </w:style>
  <w:style w:type="paragraph" w:styleId="3">
    <w:name w:val="toc 5"/>
    <w:basedOn w:val="1"/>
    <w:next w:val="1"/>
    <w:qFormat/>
    <w:uiPriority w:val="0"/>
    <w:pPr>
      <w:ind w:left="1680" w:leftChars="800"/>
    </w:pPr>
  </w:style>
  <w:style w:type="paragraph" w:styleId="4">
    <w:name w:val="Body Text 3"/>
    <w:basedOn w:val="1"/>
    <w:unhideWhenUsed/>
    <w:qFormat/>
    <w:uiPriority w:val="0"/>
    <w:pPr>
      <w:spacing w:beforeLines="0" w:after="120" w:afterLines="0"/>
    </w:pPr>
    <w:rPr>
      <w:rFonts w:hint="eastAsia"/>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960" b="0" i="0" u="none" strike="noStrike" kern="1200" spc="0" baseline="0">
                <a:solidFill>
                  <a:schemeClr val="tx1">
                    <a:lumMod val="65000"/>
                    <a:lumOff val="35000"/>
                  </a:schemeClr>
                </a:solidFill>
                <a:latin typeface="+mn-lt"/>
                <a:ea typeface="+mn-ea"/>
                <a:cs typeface="+mn-cs"/>
              </a:defRPr>
            </a:pPr>
            <a:r>
              <a:rPr sz="960"/>
              <a:t>紫阳县财政局双桥财政所人员情况图</a:t>
            </a:r>
            <a:endParaRPr sz="960"/>
          </a:p>
        </c:rich>
      </c:tx>
      <c:layout>
        <c:manualLayout>
          <c:xMode val="edge"/>
          <c:yMode val="edge"/>
          <c:x val="0.284961349262122"/>
          <c:y val="0.00628403854210306"/>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1"/>
              </a:solidFill>
              <a:ln w="19050">
                <a:solidFill>
                  <a:schemeClr val="lt1"/>
                </a:solidFill>
              </a:ln>
              <a:effectLst/>
            </c:spPr>
          </c:dPt>
          <c:dLbls>
            <c:dLbl>
              <c:idx val="0"/>
              <c:delete val="1"/>
            </c:dLbl>
            <c:dLbl>
              <c:idx val="1"/>
              <c:layout/>
              <c:tx>
                <c:rich>
                  <a:bodyPr rot="0" spcFirstLastPara="0" vertOverflow="ellipsis" vert="horz" wrap="square" lIns="38100" tIns="19050" rIns="38100" bIns="19050" anchor="ctr" anchorCtr="1"/>
                  <a:lstStyle/>
                  <a:p>
                    <a:pPr defTabSz="914400">
                      <a:defRPr lang="zh-CN" sz="800" b="0" i="0" u="none" strike="noStrike" kern="1200" baseline="0">
                        <a:solidFill>
                          <a:schemeClr val="tx1">
                            <a:lumMod val="75000"/>
                            <a:lumOff val="25000"/>
                          </a:schemeClr>
                        </a:solidFill>
                        <a:latin typeface="+mn-lt"/>
                        <a:ea typeface="+mn-ea"/>
                        <a:cs typeface="+mn-cs"/>
                      </a:defRPr>
                    </a:pPr>
                    <a:r>
                      <a:rPr lang="en-US" altLang="zh-CN" sz="800"/>
                      <a:t>100</a:t>
                    </a:r>
                    <a:r>
                      <a:rPr sz="800"/>
                      <a:t>%</a:t>
                    </a:r>
                    <a:endParaRPr sz="800"/>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事业人员</c:v>
                </c:pt>
                <c:pt idx="1">
                  <c:v>行政人员</c:v>
                </c:pt>
              </c:strCache>
            </c:strRef>
          </c:cat>
          <c:val>
            <c:numRef>
              <c:f>Sheet1!$B$2:$B$3</c:f>
              <c:numCache>
                <c:formatCode>General</c:formatCode>
                <c:ptCount val="2"/>
                <c:pt idx="0">
                  <c:v>0</c:v>
                </c:pt>
                <c:pt idx="1">
                  <c:v>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delete val="1"/>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3057</Words>
  <Characters>3328</Characters>
  <Lines>0</Lines>
  <Paragraphs>0</Paragraphs>
  <TotalTime>0</TotalTime>
  <ScaleCrop>false</ScaleCrop>
  <LinksUpToDate>false</LinksUpToDate>
  <CharactersWithSpaces>3363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