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w:t>
      </w:r>
      <w:r>
        <w:rPr>
          <w:rFonts w:hint="default" w:ascii="黑体" w:hAnsi="黑体" w:eastAsia="黑体" w:cs="黑体"/>
          <w:sz w:val="32"/>
          <w:szCs w:val="32"/>
          <w:lang w:eastAsia="zh-CN"/>
        </w:rPr>
        <w:t>毛坝</w:t>
      </w:r>
      <w:r>
        <w:rPr>
          <w:rFonts w:hint="eastAsia" w:ascii="黑体" w:hAnsi="黑体" w:eastAsia="黑体" w:cs="黑体"/>
          <w:sz w:val="32"/>
          <w:szCs w:val="32"/>
          <w:lang w:eastAsia="zh-CN"/>
        </w:rPr>
        <w:t>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负责组织和管理镇财政收入和支出，组织编制执行镇年度预决算；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按照财政财务体制划分负责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镇政府辖区内各单位的财政财务和政府采购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楷体" w:hAnsi="楷体" w:eastAsia="楷体"/>
          <w:b/>
          <w:bCs/>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w:t>
      </w:r>
      <w:r>
        <w:rPr>
          <w:rFonts w:hint="default" w:ascii="仿宋" w:hAnsi="仿宋" w:eastAsia="仿宋" w:cs="仿宋"/>
          <w:sz w:val="32"/>
          <w:szCs w:val="32"/>
          <w:highlight w:val="none"/>
          <w:lang w:eastAsia="zh-CN"/>
        </w:rPr>
        <w:t>毛坝</w:t>
      </w:r>
      <w:r>
        <w:rPr>
          <w:rFonts w:hint="eastAsia" w:ascii="仿宋" w:hAnsi="仿宋" w:eastAsia="仿宋" w:cs="仿宋"/>
          <w:sz w:val="32"/>
          <w:szCs w:val="32"/>
          <w:highlight w:val="none"/>
          <w:lang w:val="en-US" w:eastAsia="zh-CN"/>
        </w:rPr>
        <w:t>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（一）增强财政保障能力。</w:t>
      </w:r>
      <w:r>
        <w:rPr>
          <w:rFonts w:hint="eastAsia" w:ascii="仿宋" w:hAnsi="仿宋" w:eastAsia="仿宋" w:cs="仿宋"/>
          <w:sz w:val="32"/>
          <w:szCs w:val="32"/>
          <w:lang w:eastAsia="zh-CN"/>
        </w:rPr>
        <w:t>坚持依法理财，强化部门主体责任。贯彻落实预算法关于“政府的全部收入和支出都应当纳入预算，经人大会批准的预算，非经法定程序不得调整”的规定，全面落实本单位的预算编制、执行、公开和预算监督的主体的责任。按照“先有预算、后有支出”的要求，强化预算编制的严肃性和预算执行的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树立过“紧日子”思想。一是牢固树立过“紧日子”的思想，坚持依法理财、科学理财，对日常性支出从严审核，严格控制一般性支出和“三公”经费支出，降低行政运行成本，反对铺张浪费。二是加大资金使用监督力度，提高财政资金使用的安全性、规范性和有效性，确保财政运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村级财务监管。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切实抓好民生保障。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080000" cy="3810000"/>
            <wp:effectExtent l="4445" t="4445" r="5715" b="10795"/>
            <wp:docPr id="1" name="图表 1" descr="7b0a202020202263686172745265734964223a2022343636393930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bookmarkStart w:id="0" w:name="_GoBack"/>
      <w:bookmarkEnd w:id="0"/>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收支预算总体情况。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lang w:eastAsia="zh-CN"/>
        </w:rPr>
        <w:drawing>
          <wp:inline distT="0" distB="0" distL="114300" distR="114300">
            <wp:extent cx="4584065" cy="2755265"/>
            <wp:effectExtent l="0" t="0" r="6985" b="698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91.92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91.92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43.78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预算增加了住房公积金、驻村第一书记和工作队经费、年度考核奖、基础绩效奖、临聘人员工资及增资</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43.78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预算增加了住房公积金、驻村第一书记和工作队经费、年度考核奖、基础绩效奖、临聘人员工资及增资</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财政拨款收支情况。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4906645" cy="3671570"/>
            <wp:effectExtent l="4445" t="4445" r="11430" b="1206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91.92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91.92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43.78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预算增加了住房公积金、驻村第一书记和工作队经费、年度考核奖、基础绩效奖、临聘人员工资及增资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43.78</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预算增加了住房公积金、驻村第一书记和工作队经费、年度考核奖、基础绩效奖、临聘人员工资及增资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43.78</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支出按功能科目分类的明细情况。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57.29</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增加16.35</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预算增加了住房公积金、年度考核奖、基础绩效奖、临聘人员工资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社会保障和就业支出（类）民政管理事务、行政事业单位离退休（款）其他民政管理事务支出和机关事业单位基本养老保险缴费支出（项）（2080505）5.64</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w:t>
      </w:r>
      <w:r>
        <w:rPr>
          <w:rFonts w:hint="eastAsia" w:ascii="仿宋" w:hAnsi="仿宋" w:eastAsia="仿宋" w:cs="仿宋"/>
          <w:sz w:val="32"/>
          <w:szCs w:val="32"/>
          <w:lang w:val="en-US" w:eastAsia="zh-CN"/>
        </w:rPr>
        <w:t>基数</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行政单位医疗（项）（2101101）2.77万元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0.41</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w:t>
      </w:r>
      <w:r>
        <w:rPr>
          <w:rFonts w:hint="eastAsia" w:ascii="仿宋" w:hAnsi="仿宋" w:eastAsia="仿宋" w:cs="仿宋"/>
          <w:sz w:val="32"/>
          <w:szCs w:val="32"/>
          <w:lang w:val="en-US" w:eastAsia="zh-CN"/>
        </w:rPr>
        <w:t>基数</w:t>
      </w:r>
      <w:r>
        <w:rPr>
          <w:rFonts w:hint="eastAsia" w:ascii="仿宋" w:hAnsi="仿宋" w:eastAsia="仿宋" w:cs="仿宋"/>
          <w:sz w:val="32"/>
          <w:szCs w:val="32"/>
          <w:lang w:eastAsia="zh-CN"/>
        </w:rPr>
        <w:t>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农林水支出（类）生产发展（款）</w:t>
      </w:r>
      <w:r>
        <w:rPr>
          <w:rFonts w:hint="eastAsia" w:ascii="仿宋" w:hAnsi="仿宋" w:eastAsia="仿宋" w:cs="仿宋"/>
          <w:sz w:val="32"/>
          <w:szCs w:val="32"/>
          <w:lang w:val="en-US" w:eastAsia="zh-CN"/>
        </w:rPr>
        <w:t>其他巩固脱贫攻坚成果衔接乡村振兴支出（项）（2130599）22.00万元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22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2022年第一书记及工作队经费是中途追加项目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住房公积金（项）4.22万元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4.22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2023年新增预算项目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（1）按照</w:t>
      </w:r>
      <w:r>
        <w:rPr>
          <w:rFonts w:hint="eastAsia" w:ascii="仿宋" w:hAnsi="仿宋" w:eastAsia="仿宋" w:cs="仿宋"/>
          <w:sz w:val="32"/>
          <w:szCs w:val="32"/>
          <w:lang w:eastAsia="zh-CN"/>
        </w:rPr>
        <w:t>单位</w:t>
      </w:r>
      <w:r>
        <w:rPr>
          <w:rFonts w:hint="eastAsia" w:ascii="仿宋" w:hAnsi="仿宋" w:eastAsia="仿宋" w:cs="仿宋"/>
          <w:sz w:val="32"/>
          <w:szCs w:val="32"/>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53.76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38.16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29.38万元</w:t>
      </w:r>
      <w:r>
        <w:rPr>
          <w:rFonts w:hint="eastAsia" w:ascii="仿宋" w:hAnsi="仿宋" w:eastAsia="仿宋" w:cs="仿宋"/>
          <w:sz w:val="32"/>
          <w:szCs w:val="32"/>
          <w:lang w:eastAsia="zh-CN"/>
        </w:rPr>
        <w:t>。原因是</w:t>
      </w:r>
      <w:r>
        <w:rPr>
          <w:rFonts w:hint="eastAsia" w:ascii="仿宋" w:hAnsi="仿宋" w:eastAsia="仿宋" w:cs="仿宋"/>
          <w:sz w:val="32"/>
          <w:szCs w:val="32"/>
          <w:lang w:val="en-US" w:eastAsia="zh-CN"/>
        </w:rPr>
        <w:t>2022年第一书记及工作队经费和临聘人员工资是中途追加项目，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91.92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53.76</w:t>
      </w:r>
      <w:r>
        <w:rPr>
          <w:rFonts w:hint="eastAsia" w:ascii="仿宋" w:hAnsi="仿宋" w:eastAsia="仿宋" w:cs="仿宋"/>
          <w:sz w:val="32"/>
          <w:szCs w:val="32"/>
        </w:rPr>
        <w:t>万元，</w:t>
      </w:r>
      <w:r>
        <w:rPr>
          <w:rFonts w:hint="eastAsia" w:ascii="仿宋" w:hAnsi="仿宋" w:eastAsia="仿宋" w:cs="仿宋"/>
          <w:sz w:val="32"/>
          <w:szCs w:val="32"/>
          <w:lang w:val="en-US" w:eastAsia="zh-CN"/>
        </w:rPr>
        <w:t>比上年增加15万元，</w:t>
      </w:r>
      <w:r>
        <w:rPr>
          <w:rFonts w:hint="eastAsia" w:ascii="仿宋" w:hAnsi="仿宋" w:eastAsia="仿宋" w:cs="仿宋"/>
          <w:sz w:val="32"/>
          <w:szCs w:val="32"/>
        </w:rPr>
        <w:t>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38.16</w:t>
      </w:r>
      <w:r>
        <w:rPr>
          <w:rFonts w:hint="eastAsia" w:ascii="仿宋" w:hAnsi="仿宋" w:eastAsia="仿宋" w:cs="仿宋"/>
          <w:sz w:val="32"/>
          <w:szCs w:val="32"/>
        </w:rPr>
        <w:t>万元，</w:t>
      </w:r>
      <w:r>
        <w:rPr>
          <w:rFonts w:hint="eastAsia" w:ascii="仿宋" w:hAnsi="仿宋" w:eastAsia="仿宋" w:cs="仿宋"/>
          <w:sz w:val="32"/>
          <w:szCs w:val="32"/>
          <w:lang w:val="en-US" w:eastAsia="zh-CN"/>
        </w:rPr>
        <w:t>比上年增加28.78万元，原因是2022年第一书记及工作队经费和临聘人员工资是中途追加项目</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）2023年本单位当年一般公共预算“三公”经费预算支出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万元，与上年持平。其中：因公出国（境）经费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万元，与上年持平；公务接待费</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万元，与上年持平；公务用车运行费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）2023年本单位当年会议费预算支出</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万元，与上年持平。培训费</w:t>
      </w:r>
      <w:r>
        <w:rPr>
          <w:rFonts w:hint="eastAsia" w:ascii="仿宋" w:hAnsi="仿宋" w:eastAsia="仿宋" w:cs="仿宋"/>
          <w:sz w:val="32"/>
          <w:szCs w:val="32"/>
          <w:lang w:val="en-US" w:eastAsia="zh-CN"/>
        </w:rPr>
        <w:t>0.00</w:t>
      </w:r>
      <w:r>
        <w:rPr>
          <w:rFonts w:hint="eastAsia" w:ascii="仿宋" w:hAnsi="仿宋" w:eastAsia="仿宋" w:cs="仿宋"/>
          <w:sz w:val="32"/>
          <w:szCs w:val="32"/>
          <w:lang w:eastAsia="zh-CN"/>
        </w:rPr>
        <w:t>万元，与上年持平</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lang w:eastAsia="zh-CN"/>
        </w:rPr>
        <w:t>本单位无202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w:t>
      </w:r>
      <w:r>
        <w:rPr>
          <w:rFonts w:hint="eastAsia" w:ascii="仿宋" w:hAnsi="仿宋" w:eastAsia="仿宋" w:cs="仿宋"/>
          <w:sz w:val="32"/>
          <w:szCs w:val="32"/>
          <w:lang w:eastAsia="zh-CN"/>
        </w:rPr>
        <w:t>止2022年底，本单位所属预算单位共有车辆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台（套）。2023年当年单位预算安排购置车辆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91.92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单位当年机关运行经费预算安排</w:t>
      </w:r>
      <w:r>
        <w:rPr>
          <w:rFonts w:hint="eastAsia" w:ascii="仿宋" w:hAnsi="仿宋" w:eastAsia="仿宋" w:cs="仿宋"/>
          <w:sz w:val="32"/>
          <w:szCs w:val="32"/>
          <w:lang w:val="en-US" w:eastAsia="zh-CN"/>
        </w:rPr>
        <w:t>2.38</w:t>
      </w:r>
      <w:r>
        <w:rPr>
          <w:rFonts w:hint="eastAsia" w:ascii="仿宋" w:hAnsi="仿宋" w:eastAsia="仿宋" w:cs="仿宋"/>
          <w:sz w:val="32"/>
          <w:szCs w:val="32"/>
          <w:lang w:eastAsia="zh-CN"/>
        </w:rPr>
        <w:t>万元，与上年持平。</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本单位无2022年结转的财政拨款机关运行经费支出。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F42A7C2"/>
    <w:multiLevelType w:val="singleLevel"/>
    <w:tmpl w:val="4F42A7C2"/>
    <w:lvl w:ilvl="0" w:tentative="0">
      <w:start w:val="1"/>
      <w:numFmt w:val="chineseCounting"/>
      <w:suff w:val="nothing"/>
      <w:lvlText w:val="（%1）"/>
      <w:lvlJc w:val="left"/>
      <w:rPr>
        <w:rFonts w:hint="eastAsia"/>
      </w:r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94710"/>
    <w:rsid w:val="24FC6952"/>
    <w:rsid w:val="26CC76FD"/>
    <w:rsid w:val="272308AF"/>
    <w:rsid w:val="28064C78"/>
    <w:rsid w:val="2864072E"/>
    <w:rsid w:val="2A3E38E1"/>
    <w:rsid w:val="2BF2458F"/>
    <w:rsid w:val="2F3B562F"/>
    <w:rsid w:val="2FC8494E"/>
    <w:rsid w:val="314B37FB"/>
    <w:rsid w:val="31B733F7"/>
    <w:rsid w:val="37BC075E"/>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3843559"/>
    <w:rsid w:val="75AC088F"/>
    <w:rsid w:val="76016484"/>
    <w:rsid w:val="76590D5F"/>
    <w:rsid w:val="77AD3FB4"/>
    <w:rsid w:val="7812539D"/>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9021298837057"/>
          <c:y val="0.135748200086425"/>
          <c:w val="0.454620056555296"/>
          <c:h val="0.768715707648626"/>
        </c:manualLayout>
      </c:layout>
      <c:pieChart>
        <c:varyColors val="1"/>
        <c:ser>
          <c:idx val="0"/>
          <c:order val="0"/>
          <c:spPr/>
          <c:explosion val="0"/>
          <c:dPt>
            <c:idx val="0"/>
            <c:bubble3D val="0"/>
            <c:spPr>
              <a:solidFill>
                <a:srgbClr val="FDB9B0">
                  <a:alpha val="63000"/>
                </a:srgbClr>
              </a:solidFill>
              <a:ln w="19050">
                <a:noFill/>
              </a:ln>
              <a:effectLst/>
            </c:spPr>
          </c:dPt>
          <c:dPt>
            <c:idx val="1"/>
            <c:bubble3D val="0"/>
            <c:spPr>
              <a:solidFill>
                <a:srgbClr val="FB8C9C"/>
              </a:solidFill>
              <a:ln w="152400">
                <a:solidFill>
                  <a:srgbClr val="FB8C9C"/>
                </a:solidFill>
                <a:miter lim="800000"/>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200" b="1" i="0" u="none" strike="noStrike" kern="1200" baseline="0">
                    <a:solidFill>
                      <a:srgbClr val="FB8C9C"/>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Sheet1!$A$1:$A$4</c:f>
              <c:strCache>
                <c:ptCount val="4"/>
                <c:pt idx="0">
                  <c:v>紫阳县财政局毛坝财政所人员情况图</c:v>
                </c:pt>
                <c:pt idx="1">
                  <c:v>编制人数4人</c:v>
                </c:pt>
                <c:pt idx="2">
                  <c:v>实有人数4人</c:v>
                </c:pt>
              </c:strCache>
            </c:strRef>
          </c:cat>
          <c:val>
            <c:numRef>
              <c:f>Sheet1!$B$1:$B$4</c:f>
              <c:numCache>
                <c:formatCode>General</c:formatCode>
                <c:ptCount val="4"/>
                <c:pt idx="0">
                  <c:v>0</c:v>
                </c:pt>
                <c:pt idx="1">
                  <c:v>4</c:v>
                </c:pt>
                <c:pt idx="2">
                  <c:v>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毛坝财政所</a:t>
            </a:r>
            <a:r>
              <a:rPr lang="en-US" altLang="zh-CN"/>
              <a:t>2023</a:t>
            </a:r>
            <a:r>
              <a:rPr altLang="en-US"/>
              <a:t>年财政拨款收支情况表</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Sheet1!$A$2:$A$5</c:f>
              <c:strCache>
                <c:ptCount val="4"/>
                <c:pt idx="0">
                  <c:v>2022年</c:v>
                </c:pt>
                <c:pt idx="1">
                  <c:v>2023年</c:v>
                </c:pt>
                <c:pt idx="2">
                  <c:v>增加额</c:v>
                </c:pt>
              </c:strCache>
            </c:strRef>
          </c:cat>
          <c:val>
            <c:numRef>
              <c:f>Sheet1!$B$2:$B$5</c:f>
              <c:numCache>
                <c:formatCode>General</c:formatCode>
                <c:ptCount val="4"/>
                <c:pt idx="0">
                  <c:v>48.14</c:v>
                </c:pt>
                <c:pt idx="1">
                  <c:v>91.92</c:v>
                </c:pt>
                <c:pt idx="2">
                  <c:v>43.78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Sheet1!$A$2:$A$5</c:f>
              <c:strCache>
                <c:ptCount val="4"/>
                <c:pt idx="0">
                  <c:v>2022年</c:v>
                </c:pt>
                <c:pt idx="1">
                  <c:v>2023年</c:v>
                </c:pt>
                <c:pt idx="2">
                  <c:v>增加额</c:v>
                </c:pt>
              </c:strCache>
            </c:strRef>
          </c:cat>
          <c:val>
            <c:numRef>
              <c:f>Sheet1!$C$2:$C$5</c:f>
              <c:numCache>
                <c:formatCode>General</c:formatCode>
                <c:ptCount val="4"/>
                <c:pt idx="0">
                  <c:v>48.14</c:v>
                </c:pt>
                <c:pt idx="1">
                  <c:v>91.92</c:v>
                </c:pt>
                <c:pt idx="2">
                  <c:v>43.78</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2022年</c:v>
                </c:pt>
                <c:pt idx="1">
                  <c:v>2023年</c:v>
                </c:pt>
                <c:pt idx="2">
                  <c:v>增加额</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29571785"/>
        <c:axId val="310595388"/>
      </c:barChart>
      <c:catAx>
        <c:axId val="82957178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0595388"/>
        <c:crosses val="autoZero"/>
        <c:auto val="1"/>
        <c:lblAlgn val="ctr"/>
        <c:lblOffset val="100"/>
        <c:noMultiLvlLbl val="0"/>
      </c:catAx>
      <c:valAx>
        <c:axId val="3105953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957178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12</Pages>
  <Words>3975</Words>
  <Characters>4382</Characters>
  <Lines>0</Lines>
  <Paragraphs>0</Paragraphs>
  <TotalTime>10</TotalTime>
  <ScaleCrop>false</ScaleCrop>
  <LinksUpToDate>false</LinksUpToDate>
  <CharactersWithSpaces>4425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CAF4C4EA64404B83B4E6BE0114410B71</vt:lpwstr>
  </property>
</Properties>
</file>