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紫阳县文化馆</w:t>
      </w:r>
      <w:bookmarkEnd w:id="0"/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1、推动全县文化活动的开展，组织好各群体、社团的日常活动。</w:t>
      </w:r>
    </w:p>
    <w:p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2、协助完成县上安排组织的大型活动，安排组织社团进行文艺活动。 </w:t>
      </w:r>
    </w:p>
    <w:p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３、做好非遗保护工作。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4、做好公共数字文化建设工作。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紫阳县文化馆不设内设机构。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优化资源配置，筑牢基层阵地。坚持“面向农村、服务农民”，进一步优化基层公共文化资源配置，加大对农村文化设施建设扶持力度，在推进乡村振兴战略的同时，统筹规划总分馆制建设项目，全力推进基层分馆的设施建设、经费保障和人员强化。总馆要坚持建管并重、资源整合、共建共享的原则，建立长效的运行机制。 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队伍建设，营造宽松环境。加大全县文化专业人才、基层文化能人和文化管理服务人才队伍的培养力度，努力创造宽松、和谐的环境留住现有人才，激发他们创作更多、更好的优秀文艺作品，积极探索有利于优秀文化人才脱颖而出体制机制。落实高层次公共专业人才政策，积极引进急需、紧缺的文化专业人才。鼓励专业文化工作者和民间文化人才，参与基层文化建设和群众文化活动，形成专兼结合的基层文化工作队伍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（三）强化服务意识，丰富群众生活。我们要结合当地实际，突出地方特色，广泛开展文化服务，打造出更多知名度和美誉度较高的群众文化活动品牌。继续加大文化活动品牌的宣传和推广，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增强</w:t>
      </w:r>
      <w:r>
        <w:rPr>
          <w:rFonts w:hint="eastAsia" w:ascii="仿宋" w:hAnsi="仿宋" w:eastAsia="仿宋" w:cs="仿宋"/>
          <w:sz w:val="32"/>
          <w:szCs w:val="32"/>
        </w:rPr>
        <w:t>群众的参与意识，提升活动品牌影响力。完善数字文化惠民工程，不断完善网络共享资源，拓展订单式、菜单式服务，更好地满足人民群众的需求。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截止2022年底，本单位人员编制10人，其中行政编制0人、事业编制10人；实有人员10人，其中行政0人、事业10人。单位管理的离退休人员6人。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32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-1790700</wp:posOffset>
            </wp:positionV>
            <wp:extent cx="4581525" cy="2086610"/>
            <wp:effectExtent l="5080" t="4445" r="4445" b="23495"/>
            <wp:wrapSquare wrapText="bothSides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80"/>
        <w:jc w:val="center"/>
      </w:pPr>
      <w:r>
        <w:rPr>
          <w:rFonts w:hint="eastAsia"/>
        </w:rPr>
        <w:t xml:space="preserve">     </w:t>
      </w:r>
    </w:p>
    <w:p>
      <w:pPr>
        <w:spacing w:line="360" w:lineRule="auto"/>
        <w:ind w:firstLine="480"/>
        <w:jc w:val="center"/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124.76万元，其中一般公共预算拨款收入124.76万元、政府性基金拨款收入0万元，2023年本单位预算收入较上年增加31.73万元，主要原因是人员及公务经费支出增加；2023年本单位预算支出124.76万元，其中一般公共预算拨款支出124.76万元、政府性基金拨款支出0万元，2023年本单位预算支出较上年增加31.73万元，主要原因是人员及公务经费支出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124.76万元，其中一般公共预算拨款收入124.76万元、政府性基金拨款收入0万元，2023年本单位财政拨款收入较上年增加31.73万元，主要原因是人员及公务经费支出增加；2023年本单位财政拨款支出124.76万元，其中一般公共预算拨款支出124.76万元、政府性基金拨款支出0万元，2023年本单位财政拨款支出较上年增加31.73万元，主要原因是人员及公务经费支出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2023年本单位当年一般公共预算拨款支出124.76万元，较上年增加31.73万元，主要原因是人员及公务经费支出增加。</w:t>
      </w:r>
    </w:p>
    <w:p>
      <w:pPr>
        <w:spacing w:line="360" w:lineRule="auto"/>
        <w:ind w:firstLine="480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本单位2023年当年一般公共预算支出124.76万元，其中：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（1）文化展示及纪念机构（2070105）97.63万元，较上年增加25.93万元，原因是人员及公务经费支出增加；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（2）机关事业单位基本养老保险缴费支出（2080505）12.08万元，较上年增加3.16万元，原因是人员增加；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（3）机事业单位医疗（2101102）8.94万元，较上年增加1.56万元，原因是人员增加；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（4）住房公积金（2210201）9.11万元，较上年增加1.55万元，原因是人员增加；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2023年本单位当年一般公共预算支出124.76万元，其中：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工资福利支出（301）110.21万元，较上年增加30.43万元，原因是人员增加；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商品和服务支出（302）13.94万元，较上年增加1.19万元，原因是人员增加公务运转经费增加；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对个人和家庭的补助支出（303）0.6万元，较上年增加0.1万元，原因是退休人员增加；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2023年本单位当年一般公共预算支出116.76万元，其中：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机关工资福利支出（501）110.21万元，较上年增加30.43万元，原因是人员增加；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机关商品和服务支出（502）5.94万元，较上年增减少6.81万元，原因是本年专项业务经费未计入机关商品服务支出；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对个人和家庭的补助（30.3）0.6万元，较上年增加0.1万元，原因是退休人员增加；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0.54万元，较上年增加0.11万元（20%），增加的主要原因是人员增加。其中：因公出国（境）经费0万元，较上年无变化；公务接待费0.54万元，较上年增加0.11万元（20%），增加人员增加；公务用车运行费0万元，较上年无变化；公务用车购置费0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（2）2023年本单位当年会议费预算支出0万元，无变化。培训费0万元，较上年减少2万元（100%），减少的主要原因是本年暂时无培训计划。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2023年当年本单位政府采购预算共0万元，其中政府采购货物类预算0万元、政府采购服务类预算0万元、政府采购工程类预算0万元（详见公开报表中的政府采购表）。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2023年本单位绩效目标管理全覆盖，涉及当年一般公共预算拨款124.76万元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本单位当年机关运行经费预算安排5.94万元，较上年增加1.19万元，主要原因是人员增加办公经费增加。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1.机关运行经费：为保障行政事业单位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2.“三公经费”，是指用财政拨款安排的因为出国（境）费，公务用车购置及运行费和公务接待费。其中，国公出国（境）费反映单位公务出国（境）的国际旅费、国外城市间交通费、住宿费、伙食费、培训费、公杂费等支出；公务接待费反映单位按规定开支的各类公务接待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5DE54F6"/>
    <w:multiLevelType w:val="multilevel"/>
    <w:tmpl w:val="05DE54F6"/>
    <w:lvl w:ilvl="0" w:tentative="0">
      <w:start w:val="7"/>
      <w:numFmt w:val="japaneseCounting"/>
      <w:lvlText w:val="%1、"/>
      <w:lvlJc w:val="left"/>
      <w:pPr>
        <w:ind w:left="1041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161" w:hanging="420"/>
      </w:pPr>
    </w:lvl>
    <w:lvl w:ilvl="2" w:tentative="0">
      <w:start w:val="1"/>
      <w:numFmt w:val="lowerRoman"/>
      <w:lvlText w:val="%3."/>
      <w:lvlJc w:val="right"/>
      <w:pPr>
        <w:ind w:left="1581" w:hanging="420"/>
      </w:pPr>
    </w:lvl>
    <w:lvl w:ilvl="3" w:tentative="0">
      <w:start w:val="1"/>
      <w:numFmt w:val="decimal"/>
      <w:lvlText w:val="%4."/>
      <w:lvlJc w:val="left"/>
      <w:pPr>
        <w:ind w:left="2001" w:hanging="420"/>
      </w:pPr>
    </w:lvl>
    <w:lvl w:ilvl="4" w:tentative="0">
      <w:start w:val="1"/>
      <w:numFmt w:val="lowerLetter"/>
      <w:lvlText w:val="%5)"/>
      <w:lvlJc w:val="left"/>
      <w:pPr>
        <w:ind w:left="2421" w:hanging="420"/>
      </w:pPr>
    </w:lvl>
    <w:lvl w:ilvl="5" w:tentative="0">
      <w:start w:val="1"/>
      <w:numFmt w:val="lowerRoman"/>
      <w:lvlText w:val="%6."/>
      <w:lvlJc w:val="right"/>
      <w:pPr>
        <w:ind w:left="2841" w:hanging="420"/>
      </w:pPr>
    </w:lvl>
    <w:lvl w:ilvl="6" w:tentative="0">
      <w:start w:val="1"/>
      <w:numFmt w:val="decimal"/>
      <w:lvlText w:val="%7."/>
      <w:lvlJc w:val="left"/>
      <w:pPr>
        <w:ind w:left="3261" w:hanging="420"/>
      </w:pPr>
    </w:lvl>
    <w:lvl w:ilvl="7" w:tentative="0">
      <w:start w:val="1"/>
      <w:numFmt w:val="lowerLetter"/>
      <w:lvlText w:val="%8)"/>
      <w:lvlJc w:val="left"/>
      <w:pPr>
        <w:ind w:left="3681" w:hanging="420"/>
      </w:pPr>
    </w:lvl>
    <w:lvl w:ilvl="8" w:tentative="0">
      <w:start w:val="1"/>
      <w:numFmt w:val="lowerRoman"/>
      <w:lvlText w:val="%9."/>
      <w:lvlJc w:val="right"/>
      <w:pPr>
        <w:ind w:left="4101" w:hanging="420"/>
      </w:p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1C6F24"/>
    <w:rsid w:val="00D70262"/>
    <w:rsid w:val="00FE5D24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0E20074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4482E19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257875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Calibri" w:hAnsi="Calibri" w:cs="Calibri"/>
      <w:sz w:val="16"/>
      <w:szCs w:val="16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文化馆人员情况表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[工作簿1]Sheet1!$C$7</c:f>
              <c:strCache>
                <c:ptCount val="1"/>
                <c:pt idx="0">
                  <c:v>编制人数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[工作簿1]Sheet1!$D$6:$F$6</c:f>
              <c:strCache>
                <c:ptCount val="3"/>
                <c:pt idx="0">
                  <c:v>在职</c:v>
                </c:pt>
                <c:pt idx="1">
                  <c:v>在职</c:v>
                </c:pt>
                <c:pt idx="2">
                  <c:v>退休</c:v>
                </c:pt>
              </c:strCache>
            </c:strRef>
          </c:cat>
          <c:val>
            <c:numRef>
              <c:f>[工作簿1]Sheet1!$D$7:$F$7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[工作簿1]Sheet1!$C$8</c:f>
              <c:strCache>
                <c:ptCount val="1"/>
                <c:pt idx="0">
                  <c:v>实有人数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[工作簿1]Sheet1!$D$6:$F$6</c:f>
              <c:strCache>
                <c:ptCount val="3"/>
                <c:pt idx="0">
                  <c:v>在职</c:v>
                </c:pt>
                <c:pt idx="1">
                  <c:v>在职</c:v>
                </c:pt>
                <c:pt idx="2">
                  <c:v>退休</c:v>
                </c:pt>
              </c:strCache>
            </c:strRef>
          </c:cat>
          <c:val>
            <c:numRef>
              <c:f>[工作簿1]Sheet1!$D$8:$F$8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4917904"/>
        <c:axId val="484288640"/>
      </c:barChart>
      <c:catAx>
        <c:axId val="64917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288640"/>
        <c:crosses val="autoZero"/>
        <c:auto val="1"/>
        <c:lblAlgn val="ctr"/>
        <c:lblOffset val="100"/>
        <c:noMultiLvlLbl val="0"/>
      </c:catAx>
      <c:valAx>
        <c:axId val="48428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917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一般公共预算当年拨款规模变化情况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[工作簿1]Sheet1!$E$34:$E$35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[工作簿1]Sheet1!$F$34:$F$35</c:f>
              <c:numCache>
                <c:formatCode>General</c:formatCode>
                <c:ptCount val="2"/>
                <c:pt idx="0">
                  <c:v>93.03</c:v>
                </c:pt>
                <c:pt idx="1">
                  <c:v>124.76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4267712"/>
        <c:axId val="580449395"/>
      </c:barChart>
      <c:catAx>
        <c:axId val="284267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0449395"/>
        <c:crosses val="autoZero"/>
        <c:auto val="1"/>
        <c:lblAlgn val="ctr"/>
        <c:lblOffset val="100"/>
        <c:noMultiLvlLbl val="0"/>
      </c:catAx>
      <c:valAx>
        <c:axId val="5804493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42677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3046</Words>
  <Characters>3369</Characters>
  <Lines>24</Lines>
  <Paragraphs>7</Paragraphs>
  <TotalTime>36</TotalTime>
  <ScaleCrop>false</ScaleCrop>
  <LinksUpToDate>false</LinksUpToDate>
  <CharactersWithSpaces>3402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2023-04-26T07:23:06Z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