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198" w:firstLineChars="62"/>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 xml:space="preserve">    </w:t>
      </w:r>
    </w:p>
    <w:p>
      <w:pPr>
        <w:spacing w:line="360" w:lineRule="auto"/>
        <w:ind w:firstLine="640"/>
        <w:jc w:val="center"/>
        <w:rPr>
          <w:rFonts w:ascii="黑体" w:hAnsi="黑体" w:eastAsia="黑体" w:cs="黑体"/>
          <w:sz w:val="32"/>
          <w:szCs w:val="32"/>
        </w:rPr>
      </w:pPr>
      <w:bookmarkStart w:id="0" w:name="_GoBack"/>
      <w:r>
        <w:rPr>
          <w:rFonts w:hint="eastAsia" w:ascii="黑体" w:hAnsi="黑体" w:eastAsia="黑体" w:cs="黑体"/>
          <w:sz w:val="32"/>
          <w:szCs w:val="32"/>
        </w:rPr>
        <w:t>紫阳县道路运输服务中心</w:t>
      </w:r>
    </w:p>
    <w:bookmarkEnd w:id="0"/>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2023年单位预算公开说明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hint="eastAsia"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hint="eastAsia"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hint="eastAsia"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hint="eastAsia"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1.宣传执行国家和省、市有关道路运输行业管理的法律、法规，规章制度和政策标准。</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2.承担拟定道路客运（城市公共交通、出租汽车、网约车、汽车租赁）、货运（物流）、机动车维修检测、驾驶员培训等行业规范。</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3.受行政审批机关委托，承担道路运输行政许可事项前置勘验技术支持。</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4.参与道路客运站场、货运（物流）站场，农村客运招呼站等道路运输基础设施建设工作。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5.协助开展道路运输行业生态环保、信访维稳等工作。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6.负责组织协调重点物资、大宗物资、重点集散物资的道路运输工作，做好备战、抢险、救灾等物资的道路运输组织工作。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7.负责做好全县旅客、货物流量、流向的调查研究和预测、统计分析上报工作。</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8.完成县交通运输局交办的其他工作。</w:t>
      </w:r>
    </w:p>
    <w:p>
      <w:pPr>
        <w:spacing w:line="360" w:lineRule="auto"/>
        <w:ind w:firstLine="960" w:firstLineChars="300"/>
        <w:rPr>
          <w:rFonts w:ascii="仿宋" w:hAnsi="仿宋" w:eastAsia="仿宋" w:cs="仿宋"/>
          <w:sz w:val="32"/>
          <w:szCs w:val="32"/>
        </w:rPr>
      </w:pP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b/>
          <w:bCs/>
          <w:sz w:val="32"/>
          <w:szCs w:val="32"/>
        </w:rPr>
      </w:pPr>
      <w:r>
        <w:rPr>
          <w:rFonts w:hint="eastAsia" w:ascii="仿宋" w:hAnsi="仿宋" w:eastAsia="仿宋" w:cs="仿宋"/>
          <w:sz w:val="32"/>
          <w:szCs w:val="32"/>
        </w:rPr>
        <w:t>本单位现设有政办股、财务股，无下属单位。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为了进一步规范行业管理，简化工作流程，方便群众办事，全面落实道路运输安全生产各项工作，提升管理水平，更好地服务广大经营业户，真正做到“人便于行、货畅其流”，建立开放、有序、公平、公正的道路运输市场。</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不断提高客运社会满意度 。积极探索研究互联网影响下的班线客运、旅游客运、出租车客运发展趋势，引导客运企业转型升级。加强从业人员学习教育，转变观念、提升服务质量。</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加快公交发展。加大公交基础设施建设，优化公交线路和站点，加快公交车辆更新升级，推动公交向城区周边集镇、学校、居民聚集点延伸。</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进一步推进城乡客运一体化发展。继续加强“建制村通客车”工作，根据各村人员情况，加大通村客运的配备。</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进一步加强道路运输行业管理。进一步规范企业管理和从业人员行为，强化学习教育作用，整治各类违规经营行为，树立良好行业形象。</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进一步做好道路运输安全工作。加大安全隐患排查整治的力度和频次，坚持将每一个排查出的问题整改到位，强化后期的跟踪监督，夯实安全管理基础。</w:t>
      </w:r>
    </w:p>
    <w:p>
      <w:pPr>
        <w:numPr>
          <w:ilvl w:val="0"/>
          <w:numId w:val="1"/>
        </w:numPr>
        <w:spacing w:line="360" w:lineRule="auto"/>
        <w:ind w:firstLine="640"/>
        <w:rPr>
          <w:rFonts w:ascii="仿宋" w:hAnsi="仿宋" w:eastAsia="仿宋" w:cs="仿宋"/>
          <w:sz w:val="32"/>
          <w:szCs w:val="32"/>
        </w:rPr>
      </w:pPr>
      <w:r>
        <w:rPr>
          <w:rFonts w:hint="eastAsia" w:ascii="仿宋" w:hAnsi="仿宋" w:eastAsia="仿宋" w:cs="仿宋"/>
          <w:sz w:val="32"/>
          <w:szCs w:val="32"/>
        </w:rPr>
        <w:t>进一步完善各种应急预案。指导各企业修订完善各种应急预案，完成预案的第三方评估，增加预案的可操作性，不断提升企业应急处突的能力。</w:t>
      </w:r>
    </w:p>
    <w:p>
      <w:pPr>
        <w:keepNext w:val="0"/>
        <w:keepLines w:val="0"/>
        <w:pageBreakBefore w:val="0"/>
        <w:widowControl w:val="0"/>
        <w:numPr>
          <w:numId w:val="0"/>
        </w:numPr>
        <w:kinsoku/>
        <w:wordWrap/>
        <w:overflowPunct/>
        <w:topLinePunct w:val="0"/>
        <w:autoSpaceDE/>
        <w:autoSpaceDN/>
        <w:bidi w:val="0"/>
        <w:adjustRightInd/>
        <w:snapToGrid/>
        <w:spacing w:line="360" w:lineRule="auto"/>
        <w:ind w:leftChars="200"/>
        <w:textAlignment w:val="auto"/>
        <w:outlineLvl w:val="9"/>
        <w:rPr>
          <w:rFonts w:hint="eastAsia" w:ascii="仿宋" w:hAnsi="仿宋" w:eastAsia="仿宋" w:cs="仿宋"/>
          <w:b/>
          <w:bCs/>
          <w:sz w:val="32"/>
          <w:szCs w:val="32"/>
        </w:rPr>
      </w:pPr>
      <w:r>
        <w:rPr>
          <w:rFonts w:hint="eastAsia" w:ascii="仿宋" w:hAnsi="仿宋" w:eastAsia="仿宋" w:cs="仿宋"/>
          <w:b/>
          <w:bCs/>
          <w:sz w:val="32"/>
          <w:szCs w:val="32"/>
          <w:lang w:val="en-US" w:eastAsia="zh-CN"/>
        </w:rPr>
        <w:t>三、单位</w:t>
      </w:r>
      <w:r>
        <w:rPr>
          <w:rFonts w:hint="eastAsia" w:ascii="仿宋" w:hAnsi="仿宋" w:eastAsia="仿宋" w:cs="仿宋"/>
          <w:b/>
          <w:bCs/>
          <w:sz w:val="32"/>
          <w:szCs w:val="32"/>
        </w:rPr>
        <w:t>人员情况说明</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rPr>
        <w:t>截止20</w:t>
      </w:r>
      <w:r>
        <w:rPr>
          <w:rFonts w:hint="eastAsia" w:ascii="仿宋" w:hAnsi="仿宋" w:eastAsia="仿宋" w:cs="仿宋"/>
          <w:sz w:val="32"/>
          <w:szCs w:val="32"/>
          <w:lang w:val="en-US" w:eastAsia="zh-CN"/>
        </w:rPr>
        <w:t>22</w:t>
      </w:r>
      <w:r>
        <w:rPr>
          <w:rFonts w:hint="eastAsia" w:ascii="仿宋" w:hAnsi="仿宋" w:eastAsia="仿宋" w:cs="仿宋"/>
          <w:sz w:val="32"/>
          <w:szCs w:val="32"/>
        </w:rPr>
        <w:t>年底，</w:t>
      </w:r>
      <w:r>
        <w:rPr>
          <w:rFonts w:hint="eastAsia" w:ascii="仿宋" w:hAnsi="仿宋" w:eastAsia="仿宋" w:cs="仿宋"/>
          <w:sz w:val="32"/>
          <w:szCs w:val="32"/>
          <w:lang w:val="en-US" w:eastAsia="zh-CN"/>
        </w:rPr>
        <w:t>本部门人员编制6人，其中行政编制0人、事业编制6人；实有人员6人，其中行政0人、事业6人。单位管理的离退休人员5人。</w:t>
      </w:r>
    </w:p>
    <w:p>
      <w:pPr>
        <w:numPr>
          <w:numId w:val="0"/>
        </w:numPr>
        <w:spacing w:line="360" w:lineRule="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4591685" cy="2762885"/>
            <wp:effectExtent l="0" t="0" r="18415" b="18415"/>
            <wp:docPr id="3" name="图片 3" descr="微信图片_2022042815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428152416"/>
                    <pic:cNvPicPr>
                      <a:picLocks noChangeAspect="1"/>
                    </pic:cNvPicPr>
                  </pic:nvPicPr>
                  <pic:blipFill>
                    <a:blip r:embed="rId12"/>
                    <a:stretch>
                      <a:fillRect/>
                    </a:stretch>
                  </pic:blipFill>
                  <pic:spPr>
                    <a:xfrm>
                      <a:off x="0" y="0"/>
                      <a:ext cx="4591685" cy="2762885"/>
                    </a:xfrm>
                    <a:prstGeom prst="rect">
                      <a:avLst/>
                    </a:prstGeom>
                  </pic:spPr>
                </pic:pic>
              </a:graphicData>
            </a:graphic>
          </wp:inline>
        </w:drawing>
      </w:r>
    </w:p>
    <w:p>
      <w:pPr>
        <w:spacing w:line="360" w:lineRule="auto"/>
        <w:ind w:firstLine="643"/>
        <w:rPr>
          <w:rFonts w:hint="eastAsia" w:ascii="仿宋" w:hAnsi="仿宋" w:eastAsia="仿宋" w:cs="仿宋"/>
          <w:b/>
          <w:bCs/>
          <w:sz w:val="32"/>
          <w:szCs w:val="32"/>
        </w:rPr>
      </w:pP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highlight w:val="green"/>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230.78万元，其中一般公共预算拨款收入230.78万元、政府性基金拨款收入0万元、2023年本单位预算收入较上年增加163.92万元，主要原因是专项业务经费增加；2023年本单位预算支出230.78万元，其中一般公共预算拨款支出230.78万元、政府性基金拨款支出0万元，2023年本单位预算支出较上年增加163.92万元，主要原因是专项业务经费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2023年本单位财政拨款收入230.78万元，其中一般公共预算拨款收入230.78万元、政府性基金拨款收入0万元，2023年本单位财政拨款收入较上年增加163.92万元，主要原因是专项业务经费增加；2023年本单位财政拨款支出230.78万元，其中一般公共预算拨款支出230.78万元、政府性基金拨款支出0万元，2023年本单位财政拨款支出较上年增加163.92万元，主要原因是专项业务经费增加。 </w:t>
      </w:r>
    </w:p>
    <w:p>
      <w:pPr>
        <w:numPr>
          <w:ilvl w:val="0"/>
          <w:numId w:val="2"/>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2023年本单位当年一般公共预算拨款支出230.78万元，较上年增加163.92万元，主要原因是专项业务经费企业补助增加。</w:t>
      </w:r>
    </w:p>
    <w:p>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本单位2023年当年一般公共预算支出230.78万元，其中：</w:t>
      </w:r>
    </w:p>
    <w:p>
      <w:pPr>
        <w:numPr>
          <w:ilvl w:val="0"/>
          <w:numId w:val="4"/>
        </w:numPr>
        <w:spacing w:line="360" w:lineRule="auto"/>
        <w:ind w:firstLine="640"/>
        <w:rPr>
          <w:rFonts w:ascii="仿宋" w:hAnsi="仿宋" w:eastAsia="仿宋" w:cs="仿宋"/>
          <w:sz w:val="32"/>
          <w:szCs w:val="32"/>
        </w:rPr>
      </w:pPr>
      <w:r>
        <w:rPr>
          <w:rFonts w:hint="eastAsia" w:ascii="仿宋" w:hAnsi="仿宋" w:eastAsia="仿宋" w:cs="仿宋"/>
          <w:sz w:val="32"/>
          <w:szCs w:val="32"/>
        </w:rPr>
        <w:t>公路运输管理（2140112）170万元，较上年增加114.36万元，原因是专项业务经费增加。</w:t>
      </w:r>
    </w:p>
    <w:p>
      <w:pPr>
        <w:numPr>
          <w:ilvl w:val="0"/>
          <w:numId w:val="4"/>
        </w:num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其他公路水路运输支出（2140199）45.21万元  ，较上年增加45.21万元，原因是科目调整 。     </w:t>
      </w:r>
    </w:p>
    <w:p>
      <w:pPr>
        <w:numPr>
          <w:ilvl w:val="0"/>
          <w:numId w:val="4"/>
        </w:numPr>
        <w:spacing w:line="360" w:lineRule="auto"/>
        <w:ind w:firstLine="640"/>
        <w:rPr>
          <w:rFonts w:ascii="仿宋" w:hAnsi="仿宋" w:eastAsia="仿宋" w:cs="仿宋"/>
          <w:sz w:val="32"/>
          <w:szCs w:val="32"/>
        </w:rPr>
      </w:pPr>
      <w:r>
        <w:rPr>
          <w:rFonts w:hint="eastAsia" w:ascii="仿宋" w:hAnsi="仿宋" w:eastAsia="仿宋" w:cs="仿宋"/>
          <w:sz w:val="32"/>
          <w:szCs w:val="32"/>
        </w:rPr>
        <w:t>事业单位医疗（2101102）3.41万元，较上年增加1.08万元，原因是临聘人员增加3人；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（4）机关事业单位基本养老保险缴费支出（2080505）6.92万元，较上年增加2.16万元，原因是养老保险基数增加；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（5）住房公积金支出（2210201）5.24万元，今年较上年增加1.11万元，原因是住房公积金基数增加；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drawing>
          <wp:inline distT="0" distB="0" distL="114300" distR="114300">
            <wp:extent cx="4543425" cy="2743200"/>
            <wp:effectExtent l="0" t="0" r="9525" b="0"/>
            <wp:docPr id="1" name="图片 1" descr="QQ图片20230329090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230329090920"/>
                    <pic:cNvPicPr>
                      <a:picLocks noChangeAspect="1"/>
                    </pic:cNvPicPr>
                  </pic:nvPicPr>
                  <pic:blipFill>
                    <a:blip r:embed="rId13"/>
                    <a:stretch>
                      <a:fillRect/>
                    </a:stretch>
                  </pic:blipFill>
                  <pic:spPr>
                    <a:xfrm>
                      <a:off x="0" y="0"/>
                      <a:ext cx="4543425" cy="2743200"/>
                    </a:xfrm>
                    <a:prstGeom prst="rect">
                      <a:avLst/>
                    </a:prstGeom>
                  </pic:spPr>
                </pic:pic>
              </a:graphicData>
            </a:graphic>
          </wp:inline>
        </w:drawing>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2023年本单位当年一般公共预算支出230.78万元，其中：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工资福利支出（301）79.34万元，较上年增加25.01万元，原因是人员增加住房公积金单位部分，在职人员工资标准增加，临聘人员增加一人；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商品和服务支出（302）6.56万元，较上年减少4.91万元，原因是专项业务经费预算减少；</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对个人和家庭的补助支出（303）0.88万元，较上年减少0.19万元，原因是上年补发雷显佑遗属补贴0.19万元；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对企业的补助（312）144万元，较上年增加144万元，原因是上年企业补助无预算。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drawing>
          <wp:inline distT="0" distB="0" distL="114300" distR="114300">
            <wp:extent cx="4448175" cy="2657475"/>
            <wp:effectExtent l="0" t="0" r="9525" b="9525"/>
            <wp:docPr id="2" name="图片 2" descr="QQ图片20230329092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230329092107"/>
                    <pic:cNvPicPr>
                      <a:picLocks noChangeAspect="1"/>
                    </pic:cNvPicPr>
                  </pic:nvPicPr>
                  <pic:blipFill>
                    <a:blip r:embed="rId14"/>
                    <a:stretch>
                      <a:fillRect/>
                    </a:stretch>
                  </pic:blipFill>
                  <pic:spPr>
                    <a:xfrm>
                      <a:off x="0" y="0"/>
                      <a:ext cx="4448175" cy="2657475"/>
                    </a:xfrm>
                    <a:prstGeom prst="rect">
                      <a:avLst/>
                    </a:prstGeom>
                  </pic:spPr>
                </pic:pic>
              </a:graphicData>
            </a:graphic>
          </wp:inline>
        </w:drawing>
      </w:r>
    </w:p>
    <w:p>
      <w:pPr>
        <w:tabs>
          <w:tab w:val="left" w:pos="656"/>
        </w:tabs>
        <w:spacing w:line="360" w:lineRule="auto"/>
        <w:ind w:firstLine="640"/>
        <w:rPr>
          <w:rFonts w:ascii="仿宋" w:hAnsi="仿宋" w:eastAsia="仿宋" w:cs="仿宋"/>
          <w:sz w:val="32"/>
          <w:szCs w:val="32"/>
        </w:rPr>
      </w:pPr>
      <w:r>
        <w:rPr>
          <w:rFonts w:hint="eastAsia" w:ascii="仿宋" w:hAnsi="仿宋" w:eastAsia="仿宋" w:cs="仿宋"/>
          <w:sz w:val="32"/>
          <w:szCs w:val="32"/>
        </w:rPr>
        <w:t>（2）按照政府预算支出经济分类的类级科目说明。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2023年本单位当年一般公共预算支出230.78万元，其中：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对事业单位经常性补助</w:t>
      </w:r>
      <w:r>
        <w:rPr>
          <w:rFonts w:hint="eastAsia" w:ascii="仿宋" w:hAnsi="仿宋" w:eastAsia="仿宋" w:cs="仿宋"/>
          <w:sz w:val="32"/>
          <w:szCs w:val="32"/>
          <w:lang w:eastAsia="zh-CN"/>
        </w:rPr>
        <w:t>（</w:t>
      </w:r>
      <w:r>
        <w:rPr>
          <w:rFonts w:hint="eastAsia" w:ascii="仿宋" w:hAnsi="仿宋" w:eastAsia="仿宋" w:cs="仿宋"/>
          <w:sz w:val="32"/>
          <w:szCs w:val="32"/>
        </w:rPr>
        <w:t>505)85.9万元，较上年增加85.9万元，原因是今年将机关工资福利支出和机关商品服务支出放入了对事业单位经常性补助里面。</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对个人和家庭补助支出（509）0.88万元，较上年减少0.19万元，原因是上年补发雷显佑遗属补贴0.19万元；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对企业的补助（507）144万元，较上年增加144万元，原因是上年企业补助无预算。</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spacing w:line="360" w:lineRule="auto"/>
        <w:ind w:firstLine="643"/>
        <w:rPr>
          <w:rFonts w:ascii="仿宋" w:hAnsi="仿宋" w:eastAsia="仿宋" w:cs="仿宋"/>
          <w:b/>
          <w:bCs/>
          <w:sz w:val="32"/>
          <w:szCs w:val="32"/>
        </w:rPr>
      </w:pP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6"/>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6"/>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b/>
          <w:bCs/>
          <w:sz w:val="32"/>
          <w:szCs w:val="32"/>
        </w:rPr>
      </w:pPr>
      <w:r>
        <w:rPr>
          <w:rFonts w:hint="eastAsia" w:ascii="仿宋" w:hAnsi="仿宋" w:eastAsia="仿宋" w:cs="仿宋"/>
          <w:sz w:val="32"/>
          <w:szCs w:val="32"/>
        </w:rPr>
        <w:t>本单位无2022年结转的政府性基金预算拨款支出。</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五、单位预算“三公”经费等预算情况说明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2023年本单位当年一般公共预算“三公”经费预算支出0.32万元，较上年增加0.05万元（19%），增加的主要原因是人员增加一人公用经费增加。其中：因公出国（境）经费0万元，较上年增加（减少）0万元（0%），增加（减少）的主要原因是无预算；公务接待费0.32万元，较上年增加0.05万元（19%），增加的主要原因是人员增加一人公用经费增加；公务用车运行费0万元，较上年增加（减少）0万元（0%），增加（减少）的主要原因是无预算；公务车辆购置费0万元，较上年增加（减少）0万元（0%），增加（减少）的主要原因是无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（2）2023年本单位当年会议费预算支出0万元，较上年增加（减少）0万元（0%），增加（减少）的主要原因是无预算。培训费0万元，较上年增加（减少）0万元（0%），增加（减少）的主要原因是无预算。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截止2022年底，本单位所属预算单位共有车辆0辆，单价20万以上的设备0台（套）。2023年当年单位预算安排购置车辆0辆；安排购置单价20万元以上的设备0台（套）。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本单位无2022年结转的财政拨款支出资产购置。</w:t>
      </w:r>
    </w:p>
    <w:p>
      <w:pPr>
        <w:pStyle w:val="8"/>
        <w:numPr>
          <w:ilvl w:val="0"/>
          <w:numId w:val="7"/>
        </w:numPr>
        <w:spacing w:line="360" w:lineRule="auto"/>
        <w:ind w:firstLineChars="0"/>
        <w:rPr>
          <w:rFonts w:ascii="仿宋" w:hAnsi="仿宋" w:eastAsia="仿宋" w:cs="仿宋"/>
          <w:b/>
          <w:bCs/>
          <w:sz w:val="32"/>
          <w:szCs w:val="32"/>
        </w:rPr>
      </w:pPr>
      <w:r>
        <w:rPr>
          <w:rFonts w:hint="eastAsia" w:ascii="仿宋" w:hAnsi="仿宋" w:eastAsia="仿宋" w:cs="仿宋"/>
          <w:b/>
          <w:bCs/>
          <w:sz w:val="32"/>
          <w:szCs w:val="32"/>
        </w:rPr>
        <w:t>单位政府采购情况说明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2023年当年本单位政府采购预算共0万元，其中政府采购货物类预算0万元、政府采购服务</w:t>
      </w:r>
      <w:r>
        <w:rPr>
          <w:rFonts w:hint="eastAsia" w:ascii="仿宋" w:hAnsi="仿宋" w:eastAsia="仿宋" w:cs="仿宋"/>
          <w:sz w:val="32"/>
          <w:szCs w:val="32"/>
          <w:lang w:eastAsia="zh-CN"/>
        </w:rPr>
        <w:t>类</w:t>
      </w:r>
      <w:r>
        <w:rPr>
          <w:rFonts w:hint="eastAsia" w:ascii="仿宋" w:hAnsi="仿宋" w:eastAsia="仿宋" w:cs="仿宋"/>
          <w:sz w:val="32"/>
          <w:szCs w:val="32"/>
        </w:rPr>
        <w:t>预算0万元、政府采购工程类预算0万元。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本单位2023年无政府采购预算，并已公开空表。</w:t>
      </w:r>
    </w:p>
    <w:p>
      <w:pPr>
        <w:spacing w:line="360" w:lineRule="auto"/>
        <w:ind w:left="797" w:firstLine="0" w:firstLineChars="0"/>
        <w:rPr>
          <w:rFonts w:ascii="仿宋" w:hAnsi="仿宋" w:eastAsia="仿宋" w:cs="仿宋"/>
          <w:b/>
          <w:bCs/>
          <w:sz w:val="32"/>
          <w:szCs w:val="32"/>
        </w:rPr>
      </w:pPr>
      <w:r>
        <w:rPr>
          <w:rFonts w:hint="eastAsia" w:ascii="仿宋" w:hAnsi="仿宋" w:eastAsia="仿宋" w:cs="仿宋"/>
          <w:sz w:val="32"/>
          <w:szCs w:val="32"/>
        </w:rPr>
        <w:t>本单位无2022年结转的政府采购资金支出。</w:t>
      </w:r>
    </w:p>
    <w:p>
      <w:pPr>
        <w:spacing w:line="360" w:lineRule="auto"/>
        <w:ind w:firstLine="321" w:firstLineChars="100"/>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2023年本单位绩效目标管理全覆盖，涉及当年一般公共预算拨款230.78万元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本单位无2022年结转的财政拨款支出涉及的绩效目标管理</w:t>
      </w:r>
    </w:p>
    <w:p>
      <w:pPr>
        <w:pStyle w:val="8"/>
        <w:numPr>
          <w:ilvl w:val="0"/>
          <w:numId w:val="7"/>
        </w:numPr>
        <w:spacing w:line="360" w:lineRule="auto"/>
        <w:ind w:firstLineChars="0"/>
        <w:rPr>
          <w:rFonts w:ascii="仿宋" w:hAnsi="仿宋" w:eastAsia="仿宋" w:cs="仿宋"/>
          <w:b/>
          <w:bCs/>
          <w:sz w:val="32"/>
          <w:szCs w:val="32"/>
        </w:rPr>
      </w:pPr>
      <w:r>
        <w:rPr>
          <w:rFonts w:hint="eastAsia" w:ascii="仿宋" w:hAnsi="仿宋" w:eastAsia="仿宋" w:cs="仿宋"/>
          <w:b/>
          <w:bCs/>
          <w:sz w:val="32"/>
          <w:szCs w:val="32"/>
        </w:rPr>
        <w:t>机关运行经费安排说明</w:t>
      </w:r>
    </w:p>
    <w:p>
      <w:pPr>
        <w:shd w:val="clear" w:color="auto" w:fill="FFFFFF" w:themeFill="background1"/>
        <w:spacing w:line="360" w:lineRule="auto"/>
        <w:ind w:firstLine="640"/>
        <w:rPr>
          <w:rFonts w:ascii="仿宋" w:hAnsi="仿宋" w:eastAsia="仿宋" w:cs="仿宋"/>
          <w:sz w:val="32"/>
          <w:szCs w:val="32"/>
        </w:rPr>
      </w:pPr>
      <w:r>
        <w:rPr>
          <w:rFonts w:hint="eastAsia" w:ascii="仿宋" w:hAnsi="仿宋" w:eastAsia="仿宋" w:cs="仿宋"/>
          <w:sz w:val="32"/>
          <w:szCs w:val="32"/>
        </w:rPr>
        <w:t>本单位当年机关运行经费预算安排3.56万元，较上年增加0.59万元，主要原因是人员增加一人公用经费增加。</w:t>
      </w:r>
    </w:p>
    <w:p>
      <w:pPr>
        <w:shd w:val="clear" w:color="auto" w:fill="FFFFFF" w:themeFill="background1"/>
        <w:spacing w:line="360" w:lineRule="auto"/>
        <w:ind w:firstLine="64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ind w:firstLine="321" w:firstLineChars="100"/>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     2.“三公”经费</w:t>
      </w:r>
      <w:r>
        <w:rPr>
          <w:rFonts w:hint="eastAsia" w:ascii="仿宋" w:hAnsi="仿宋" w:eastAsia="仿宋" w:cs="仿宋"/>
          <w:sz w:val="32"/>
          <w:szCs w:val="32"/>
          <w:lang w:eastAsia="zh-CN"/>
        </w:rPr>
        <w:t>：</w:t>
      </w:r>
      <w:r>
        <w:rPr>
          <w:rFonts w:hint="eastAsia" w:ascii="仿宋" w:hAnsi="仿宋" w:eastAsia="仿宋" w:cs="仿宋"/>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0" w:firstLineChars="0"/>
        <w:rPr>
          <w:rFonts w:ascii="仿宋" w:hAnsi="仿宋" w:eastAsia="仿宋" w:cs="仿宋"/>
          <w:b/>
          <w:bCs/>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AAAC463E"/>
    <w:multiLevelType w:val="singleLevel"/>
    <w:tmpl w:val="AAAC463E"/>
    <w:lvl w:ilvl="0" w:tentative="0">
      <w:start w:val="1"/>
      <w:numFmt w:val="decimal"/>
      <w:lvlText w:val="%1."/>
      <w:lvlJc w:val="left"/>
      <w:pPr>
        <w:tabs>
          <w:tab w:val="left" w:pos="312"/>
        </w:tabs>
      </w:pPr>
    </w:lvl>
  </w:abstractNum>
  <w:abstractNum w:abstractNumId="2">
    <w:nsid w:val="F2C71238"/>
    <w:multiLevelType w:val="singleLevel"/>
    <w:tmpl w:val="F2C71238"/>
    <w:lvl w:ilvl="0" w:tentative="0">
      <w:start w:val="1"/>
      <w:numFmt w:val="decimal"/>
      <w:suff w:val="nothing"/>
      <w:lvlText w:val="（%1）"/>
      <w:lvlJc w:val="left"/>
    </w:lvl>
  </w:abstractNum>
  <w:abstractNum w:abstractNumId="3">
    <w:nsid w:val="02686215"/>
    <w:multiLevelType w:val="singleLevel"/>
    <w:tmpl w:val="02686215"/>
    <w:lvl w:ilvl="0" w:tentative="0">
      <w:start w:val="2"/>
      <w:numFmt w:val="decimal"/>
      <w:suff w:val="nothing"/>
      <w:lvlText w:val="%1、"/>
      <w:lvlJc w:val="left"/>
    </w:lvl>
  </w:abstractNum>
  <w:abstractNum w:abstractNumId="4">
    <w:nsid w:val="57F92C4B"/>
    <w:multiLevelType w:val="multilevel"/>
    <w:tmpl w:val="57F92C4B"/>
    <w:lvl w:ilvl="0" w:tentative="0">
      <w:start w:val="7"/>
      <w:numFmt w:val="japaneseCounting"/>
      <w:lvlText w:val="%1、"/>
      <w:lvlJc w:val="left"/>
      <w:pPr>
        <w:ind w:left="1041" w:hanging="720"/>
      </w:pPr>
      <w:rPr>
        <w:rFonts w:hint="default"/>
      </w:r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abstractNum w:abstractNumId="6">
    <w:nsid w:val="6AA7ABEC"/>
    <w:multiLevelType w:val="singleLevel"/>
    <w:tmpl w:val="6AA7ABEC"/>
    <w:lvl w:ilvl="0" w:tentative="0">
      <w:start w:val="3"/>
      <w:numFmt w:val="chineseCounting"/>
      <w:suff w:val="nothing"/>
      <w:lvlText w:val="（%1）"/>
      <w:lvlJc w:val="left"/>
      <w:rPr>
        <w:rFonts w:hint="eastAsia"/>
      </w:rPr>
    </w:lvl>
  </w:abstractNum>
  <w:num w:numId="1">
    <w:abstractNumId w:val="1"/>
  </w:num>
  <w:num w:numId="2">
    <w:abstractNumId w:val="6"/>
  </w:num>
  <w:num w:numId="3">
    <w:abstractNumId w:val="3"/>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5138D8"/>
    <w:rsid w:val="00912FCD"/>
    <w:rsid w:val="00D70262"/>
    <w:rsid w:val="018F2D13"/>
    <w:rsid w:val="02953D9A"/>
    <w:rsid w:val="02DB6913"/>
    <w:rsid w:val="03791D26"/>
    <w:rsid w:val="043A5387"/>
    <w:rsid w:val="0466605A"/>
    <w:rsid w:val="04F35073"/>
    <w:rsid w:val="05DE1D42"/>
    <w:rsid w:val="061D2748"/>
    <w:rsid w:val="06B238FA"/>
    <w:rsid w:val="06D7231D"/>
    <w:rsid w:val="075D6C6A"/>
    <w:rsid w:val="0773304F"/>
    <w:rsid w:val="089D1D43"/>
    <w:rsid w:val="09B702EC"/>
    <w:rsid w:val="09D75426"/>
    <w:rsid w:val="0A40121D"/>
    <w:rsid w:val="0A653AEA"/>
    <w:rsid w:val="0AAB1747"/>
    <w:rsid w:val="0B473936"/>
    <w:rsid w:val="0B820553"/>
    <w:rsid w:val="0B8A1B09"/>
    <w:rsid w:val="0C805687"/>
    <w:rsid w:val="0D053BAB"/>
    <w:rsid w:val="0D594F94"/>
    <w:rsid w:val="0E1F698E"/>
    <w:rsid w:val="0E9D78BE"/>
    <w:rsid w:val="0E9E6512"/>
    <w:rsid w:val="0F4D1908"/>
    <w:rsid w:val="0FA9052D"/>
    <w:rsid w:val="10163FB4"/>
    <w:rsid w:val="10A536CA"/>
    <w:rsid w:val="10F22389"/>
    <w:rsid w:val="12B55B02"/>
    <w:rsid w:val="13906D71"/>
    <w:rsid w:val="13A20852"/>
    <w:rsid w:val="13DD192D"/>
    <w:rsid w:val="147F7E6C"/>
    <w:rsid w:val="14C85364"/>
    <w:rsid w:val="14FA613E"/>
    <w:rsid w:val="15053ED9"/>
    <w:rsid w:val="15316124"/>
    <w:rsid w:val="15545B7C"/>
    <w:rsid w:val="15BA67E3"/>
    <w:rsid w:val="15EB6487"/>
    <w:rsid w:val="16290DB7"/>
    <w:rsid w:val="166918D6"/>
    <w:rsid w:val="176724C1"/>
    <w:rsid w:val="183103F7"/>
    <w:rsid w:val="18AF7F70"/>
    <w:rsid w:val="192C3984"/>
    <w:rsid w:val="19BE3F0C"/>
    <w:rsid w:val="1A431FF4"/>
    <w:rsid w:val="1B746107"/>
    <w:rsid w:val="1BD9502D"/>
    <w:rsid w:val="1CD64124"/>
    <w:rsid w:val="1CF245F9"/>
    <w:rsid w:val="1CF3211F"/>
    <w:rsid w:val="1D5C5F16"/>
    <w:rsid w:val="1E0072C5"/>
    <w:rsid w:val="1E1E7AD2"/>
    <w:rsid w:val="1ED0381D"/>
    <w:rsid w:val="1F1A3993"/>
    <w:rsid w:val="20FE50B8"/>
    <w:rsid w:val="210F400E"/>
    <w:rsid w:val="229A281A"/>
    <w:rsid w:val="2383657E"/>
    <w:rsid w:val="23F45765"/>
    <w:rsid w:val="242E73FF"/>
    <w:rsid w:val="246C5345"/>
    <w:rsid w:val="24AB40AF"/>
    <w:rsid w:val="24E16D01"/>
    <w:rsid w:val="24FC6952"/>
    <w:rsid w:val="258C4EBE"/>
    <w:rsid w:val="26347A30"/>
    <w:rsid w:val="26720558"/>
    <w:rsid w:val="26CC76FD"/>
    <w:rsid w:val="272308AF"/>
    <w:rsid w:val="28064C78"/>
    <w:rsid w:val="2864072E"/>
    <w:rsid w:val="2886653D"/>
    <w:rsid w:val="2A3E38E1"/>
    <w:rsid w:val="2BF2458F"/>
    <w:rsid w:val="2C057779"/>
    <w:rsid w:val="2D6A1F89"/>
    <w:rsid w:val="2E840E29"/>
    <w:rsid w:val="2E9C43C4"/>
    <w:rsid w:val="2F3B562F"/>
    <w:rsid w:val="2FC8494E"/>
    <w:rsid w:val="30917F49"/>
    <w:rsid w:val="30EF1041"/>
    <w:rsid w:val="314B37FB"/>
    <w:rsid w:val="317653A0"/>
    <w:rsid w:val="31B733F7"/>
    <w:rsid w:val="31E81033"/>
    <w:rsid w:val="324803BF"/>
    <w:rsid w:val="32780CC3"/>
    <w:rsid w:val="32A7158A"/>
    <w:rsid w:val="335C4122"/>
    <w:rsid w:val="381E5E4A"/>
    <w:rsid w:val="385D1A98"/>
    <w:rsid w:val="38F70388"/>
    <w:rsid w:val="3A4434B4"/>
    <w:rsid w:val="3B055E9C"/>
    <w:rsid w:val="3D28036F"/>
    <w:rsid w:val="3D8407DF"/>
    <w:rsid w:val="3DA45043"/>
    <w:rsid w:val="3DFF32ED"/>
    <w:rsid w:val="3E8D3D29"/>
    <w:rsid w:val="3F503091"/>
    <w:rsid w:val="3F9966FE"/>
    <w:rsid w:val="4008265B"/>
    <w:rsid w:val="40512B35"/>
    <w:rsid w:val="40AB66E9"/>
    <w:rsid w:val="40D7128C"/>
    <w:rsid w:val="40F005A0"/>
    <w:rsid w:val="41851E44"/>
    <w:rsid w:val="41F8595E"/>
    <w:rsid w:val="420B5D06"/>
    <w:rsid w:val="4248700C"/>
    <w:rsid w:val="426439D0"/>
    <w:rsid w:val="42877529"/>
    <w:rsid w:val="43086074"/>
    <w:rsid w:val="46456C98"/>
    <w:rsid w:val="465670F7"/>
    <w:rsid w:val="471D22FA"/>
    <w:rsid w:val="472B48D8"/>
    <w:rsid w:val="4741375D"/>
    <w:rsid w:val="47B2035D"/>
    <w:rsid w:val="47B265AF"/>
    <w:rsid w:val="47BE4F54"/>
    <w:rsid w:val="47C702DF"/>
    <w:rsid w:val="48422B9F"/>
    <w:rsid w:val="488947B6"/>
    <w:rsid w:val="489B7043"/>
    <w:rsid w:val="490966A2"/>
    <w:rsid w:val="4D254954"/>
    <w:rsid w:val="4E5008D0"/>
    <w:rsid w:val="4FB64197"/>
    <w:rsid w:val="50572E30"/>
    <w:rsid w:val="51AA26CF"/>
    <w:rsid w:val="51AA5E26"/>
    <w:rsid w:val="52324C02"/>
    <w:rsid w:val="52C93A96"/>
    <w:rsid w:val="531A3416"/>
    <w:rsid w:val="538C5F53"/>
    <w:rsid w:val="53F73CC7"/>
    <w:rsid w:val="54474AB6"/>
    <w:rsid w:val="5582405A"/>
    <w:rsid w:val="55BF6BA7"/>
    <w:rsid w:val="55E02539"/>
    <w:rsid w:val="56051C6B"/>
    <w:rsid w:val="563F4648"/>
    <w:rsid w:val="57BE4AFC"/>
    <w:rsid w:val="57C07DEE"/>
    <w:rsid w:val="5892629F"/>
    <w:rsid w:val="58FE3115"/>
    <w:rsid w:val="592D7B67"/>
    <w:rsid w:val="59D947AF"/>
    <w:rsid w:val="59F96CB8"/>
    <w:rsid w:val="5A3115B5"/>
    <w:rsid w:val="5BAA161F"/>
    <w:rsid w:val="5BD23E00"/>
    <w:rsid w:val="5BF47018"/>
    <w:rsid w:val="5C653576"/>
    <w:rsid w:val="5CAC13C7"/>
    <w:rsid w:val="5CC901CB"/>
    <w:rsid w:val="5CE40B61"/>
    <w:rsid w:val="5D6B1282"/>
    <w:rsid w:val="5E5C14C1"/>
    <w:rsid w:val="5F635E4B"/>
    <w:rsid w:val="60310561"/>
    <w:rsid w:val="60404B5F"/>
    <w:rsid w:val="60E23609"/>
    <w:rsid w:val="6134696F"/>
    <w:rsid w:val="61EE3D1B"/>
    <w:rsid w:val="62460F4D"/>
    <w:rsid w:val="62A365B5"/>
    <w:rsid w:val="639A641D"/>
    <w:rsid w:val="639F57E1"/>
    <w:rsid w:val="651E4E2C"/>
    <w:rsid w:val="65B7439B"/>
    <w:rsid w:val="662D5327"/>
    <w:rsid w:val="66607F61"/>
    <w:rsid w:val="67606C1C"/>
    <w:rsid w:val="676942F4"/>
    <w:rsid w:val="68EA113C"/>
    <w:rsid w:val="68F71C1C"/>
    <w:rsid w:val="699E67D8"/>
    <w:rsid w:val="69B23FEC"/>
    <w:rsid w:val="69E141D5"/>
    <w:rsid w:val="69F87A79"/>
    <w:rsid w:val="6C2C6080"/>
    <w:rsid w:val="6C335661"/>
    <w:rsid w:val="6C540332"/>
    <w:rsid w:val="6C5F6456"/>
    <w:rsid w:val="6DBE3A60"/>
    <w:rsid w:val="6E8A04A9"/>
    <w:rsid w:val="6F3075D5"/>
    <w:rsid w:val="6F5403ED"/>
    <w:rsid w:val="70313C65"/>
    <w:rsid w:val="71A236EE"/>
    <w:rsid w:val="72FA2A34"/>
    <w:rsid w:val="73843559"/>
    <w:rsid w:val="7387100F"/>
    <w:rsid w:val="73F76F74"/>
    <w:rsid w:val="75AC088F"/>
    <w:rsid w:val="76590D5F"/>
    <w:rsid w:val="776668EA"/>
    <w:rsid w:val="77AD3FB4"/>
    <w:rsid w:val="781B6398"/>
    <w:rsid w:val="7839395D"/>
    <w:rsid w:val="788B613B"/>
    <w:rsid w:val="78935A62"/>
    <w:rsid w:val="7920167B"/>
    <w:rsid w:val="795E63A3"/>
    <w:rsid w:val="79817A0B"/>
    <w:rsid w:val="7A3E4F09"/>
    <w:rsid w:val="7AB20098"/>
    <w:rsid w:val="7BF11232"/>
    <w:rsid w:val="7CA13F21"/>
    <w:rsid w:val="7CDE7F2F"/>
    <w:rsid w:val="7CE442E1"/>
    <w:rsid w:val="7CEE0D2E"/>
    <w:rsid w:val="7CF76871"/>
    <w:rsid w:val="7D221505"/>
    <w:rsid w:val="7D804F3A"/>
    <w:rsid w:val="7E2B2CA4"/>
    <w:rsid w:val="7E791462"/>
    <w:rsid w:val="7E90249F"/>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spacing w:line="240" w:lineRule="atLeast"/>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字符"/>
    <w:basedOn w:val="5"/>
    <w:link w:val="3"/>
    <w:uiPriority w:val="0"/>
    <w:rPr>
      <w:kern w:val="2"/>
      <w:sz w:val="18"/>
      <w:szCs w:val="18"/>
    </w:rPr>
  </w:style>
  <w:style w:type="character" w:customStyle="1" w:styleId="7">
    <w:name w:val="页脚 字符"/>
    <w:basedOn w:val="5"/>
    <w:link w:val="2"/>
    <w:uiPriority w:val="0"/>
    <w:rPr>
      <w:kern w:val="2"/>
      <w:sz w:val="18"/>
      <w:szCs w:val="18"/>
    </w:rPr>
  </w:style>
  <w:style w:type="paragraph" w:styleId="8">
    <w:name w:val="List Paragraph"/>
    <w:basedOn w:val="1"/>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3476</Words>
  <Characters>3830</Characters>
  <Lines>28</Lines>
  <Paragraphs>7</Paragraphs>
  <TotalTime>2</TotalTime>
  <ScaleCrop>false</ScaleCrop>
  <LinksUpToDate>false</LinksUpToDate>
  <CharactersWithSpaces>3879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2023-04-26T03:45:23Z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F8BB96940FFD455DAC55DB1E882578DE</vt:lpwstr>
  </property>
</Properties>
</file>