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0"/>
        <w:jc w:val="center"/>
        <w:rPr>
          <w:rFonts w:ascii="黑体" w:hAnsi="黑体" w:eastAsia="黑体" w:cs="黑体"/>
          <w:sz w:val="32"/>
          <w:szCs w:val="32"/>
        </w:rPr>
      </w:pPr>
    </w:p>
    <w:p>
      <w:pPr>
        <w:spacing w:line="360" w:lineRule="auto"/>
        <w:ind w:firstLine="640"/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360" w:lineRule="auto"/>
        <w:ind w:firstLine="640"/>
        <w:jc w:val="center"/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紫阳县双安镇卫生院</w:t>
      </w:r>
    </w:p>
    <w:bookmarkEnd w:id="0"/>
    <w:p>
      <w:pPr>
        <w:spacing w:line="360" w:lineRule="auto"/>
        <w:ind w:firstLine="64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2023年单位预算公开说明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目  录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第一部分   单位概况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一、单位主要职责及机构设置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二、2023年年度单位工作任务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三、单位人员情况说明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第二部分   收支情况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四、2023年单位预算收支说明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第三部分   其他说明情况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五、单位预算“三公”经费等情况说明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六、单位国有资产占有使用及资产购置情况说明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七、单位政府采购情况说明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八、单位预算绩效目标说明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九、机关运行 经费安排说明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十、专业 名词解释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第四部分   公开报表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（具体单位预算公开报表）</w:t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643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第一部分  单位概况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一、单位主要职责及机构设置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（一）单位主要职责</w:t>
      </w:r>
    </w:p>
    <w:p>
      <w:pPr>
        <w:spacing w:line="360" w:lineRule="auto"/>
        <w:ind w:firstLine="960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为人民身体健康提供医疗和预防保健服务，计划生育服务，搞好计划生育提供技术指导。</w:t>
      </w:r>
    </w:p>
    <w:p>
      <w:pPr>
        <w:spacing w:line="360" w:lineRule="auto"/>
        <w:ind w:firstLine="960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负责常见病多发病诊治与护理。</w:t>
      </w:r>
    </w:p>
    <w:p>
      <w:pPr>
        <w:spacing w:line="360" w:lineRule="auto"/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</w:rPr>
        <w:t>负责院前急救，巡回医疗，恢复期病人康复治疗与护理。</w:t>
      </w:r>
    </w:p>
    <w:p>
      <w:pPr>
        <w:spacing w:line="360" w:lineRule="auto"/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</w:t>
      </w:r>
      <w:r>
        <w:rPr>
          <w:rFonts w:hint="eastAsia" w:ascii="仿宋" w:hAnsi="仿宋" w:eastAsia="仿宋"/>
          <w:sz w:val="32"/>
          <w:szCs w:val="32"/>
        </w:rPr>
        <w:t>负责预防保健，初级卫生保健规划实施。</w:t>
      </w:r>
    </w:p>
    <w:p>
      <w:pPr>
        <w:spacing w:line="360" w:lineRule="auto"/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5.负责辖区基本公共卫生服务实施，信息咨询管理。</w:t>
      </w:r>
    </w:p>
    <w:p>
      <w:pPr>
        <w:spacing w:line="360" w:lineRule="auto"/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6.负责辖区村级相关技术及人员培训。</w:t>
      </w:r>
    </w:p>
    <w:p>
      <w:pPr>
        <w:spacing w:line="360" w:lineRule="auto"/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7.负责辖区突发重大公共卫生事件报告及处置。</w:t>
      </w:r>
    </w:p>
    <w:p>
      <w:pPr>
        <w:spacing w:line="360" w:lineRule="auto"/>
        <w:ind w:firstLine="960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8.完成上级部门交办的其他任务。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（二）机构设置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  <w:highlight w:val="green"/>
        </w:rPr>
      </w:pPr>
      <w:r>
        <w:rPr>
          <w:rFonts w:hint="eastAsia" w:ascii="仿宋" w:hAnsi="仿宋" w:eastAsia="仿宋" w:cs="仿宋"/>
          <w:sz w:val="32"/>
          <w:szCs w:val="32"/>
        </w:rPr>
        <w:t>本单位现设有内科、外科、妇科、儿科、中医科、中医理疗科、检验科、影像科、尘肺康复科、公卫科、发热门诊科、护理部、药房、收费、院办、财务管理16个职能科室，设行政院长1名，业务副院长1名，公卫主任1名，另有11个村卫生室下属单位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二、2023年度单位工作任务</w:t>
      </w:r>
    </w:p>
    <w:p>
      <w:pPr>
        <w:numPr>
          <w:ilvl w:val="0"/>
          <w:numId w:val="1"/>
        </w:numPr>
        <w:spacing w:line="360" w:lineRule="auto"/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做好医疗服务工作。继续加强对常见病、多发病的诊治，提高治愈率，降低次均费用，继续完善分级诊疗服务，加强医保报销，积极宣传医保新政策。进一步完善、规范医废转运、污水处置工作。</w:t>
      </w:r>
    </w:p>
    <w:p>
      <w:pPr>
        <w:numPr>
          <w:ilvl w:val="0"/>
          <w:numId w:val="1"/>
        </w:num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持续开展基本公卫服务工作。完成</w:t>
      </w:r>
      <w:r>
        <w:rPr>
          <w:rFonts w:hint="eastAsia" w:ascii="仿宋" w:hAnsi="仿宋" w:eastAsia="仿宋" w:cs="仿宋_GB2312"/>
          <w:sz w:val="32"/>
          <w:szCs w:val="32"/>
        </w:rPr>
        <w:t>居民健康档案管理、预防接种、0-6岁儿童健康管理、孕产妇健康管理、65岁以上老年人健康管理、健康教育、重性精神疾病患者管理、卫生监督协管、中医药健康管理、高血压、二型糖尿病、结核等慢性病管理、健康素养促进行动。</w:t>
      </w:r>
    </w:p>
    <w:p>
      <w:pPr>
        <w:numPr>
          <w:ilvl w:val="0"/>
          <w:numId w:val="1"/>
        </w:numPr>
        <w:spacing w:line="360" w:lineRule="auto"/>
        <w:ind w:firstLine="64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做好中医药发展建设。充分发挥传统医学优势，创新</w:t>
      </w:r>
      <w:r>
        <w:rPr>
          <w:rFonts w:hint="eastAsia" w:ascii="仿宋" w:hAnsi="仿宋" w:eastAsia="仿宋" w:cs="仿宋"/>
          <w:sz w:val="32"/>
          <w:szCs w:val="32"/>
        </w:rPr>
        <w:t>个性化中医药治疗服务，</w:t>
      </w:r>
      <w:r>
        <w:rPr>
          <w:rFonts w:hint="eastAsia" w:ascii="仿宋" w:hAnsi="仿宋" w:eastAsia="仿宋"/>
          <w:sz w:val="32"/>
          <w:szCs w:val="32"/>
        </w:rPr>
        <w:t>重点加强中医针灸、推拿、按摩的发展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numPr>
          <w:ilvl w:val="0"/>
          <w:numId w:val="1"/>
        </w:numPr>
        <w:spacing w:line="360" w:lineRule="auto"/>
        <w:ind w:firstLine="64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做好尘肺病康复服务工作。职业病防治是单位重要职责之一，也是解决因病致贫的有效途径，使患者少跑路，在家门口也能享受国家优惠政策，减少患者来回奔波，降低患者费用负担。</w:t>
      </w:r>
    </w:p>
    <w:p>
      <w:pPr>
        <w:numPr>
          <w:ilvl w:val="0"/>
          <w:numId w:val="1"/>
        </w:numPr>
        <w:spacing w:line="360" w:lineRule="auto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做实做细家庭医师签约服务，坚决守住因病返贫、因病致贫的底线，巩固脱贫成果，助力乡村振兴。</w:t>
      </w:r>
    </w:p>
    <w:p>
      <w:pPr>
        <w:numPr>
          <w:ilvl w:val="0"/>
          <w:numId w:val="1"/>
        </w:numPr>
        <w:spacing w:line="360" w:lineRule="auto"/>
        <w:ind w:firstLine="640"/>
        <w:rPr>
          <w:rFonts w:ascii="仿宋" w:hAnsi="仿宋" w:eastAsia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</w:rPr>
        <w:t>做好人员培训建设。贯彻执行国家“十百千万”培训计划，积极组织职工线上、线下、基地培训等多种方式，有效提高医务人员职业技能，更好服务患者。</w:t>
      </w:r>
    </w:p>
    <w:p>
      <w:pPr>
        <w:numPr>
          <w:ilvl w:val="0"/>
          <w:numId w:val="1"/>
        </w:numPr>
        <w:spacing w:line="360" w:lineRule="auto"/>
        <w:ind w:firstLine="640"/>
        <w:rPr>
          <w:rFonts w:ascii="仿宋" w:hAnsi="仿宋" w:eastAsia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</w:rPr>
        <w:t>做好常态化疫情防控工作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要时刻绷紧疫情防控这根弦，坚持按乙类乙管规定，扎实做好疫情防控工作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321" w:firstLineChars="1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三、单位人员情况说明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截止2022年底，本单位人员编制16人，其中行政编制0人、事业编制16人；实有人员17人，其中行政0人、事业17人。单位管理的离退休人员7人。</w:t>
      </w:r>
    </w:p>
    <w:p>
      <w:pPr>
        <w:spacing w:line="360" w:lineRule="auto"/>
        <w:ind w:firstLine="480"/>
      </w:pPr>
      <w:r>
        <w:drawing>
          <wp:inline distT="0" distB="0" distL="0" distR="0">
            <wp:extent cx="4572000" cy="2743200"/>
            <wp:effectExtent l="19050" t="0" r="19050" b="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第二部分  收支情况</w:t>
      </w:r>
    </w:p>
    <w:p>
      <w:pPr>
        <w:spacing w:line="360" w:lineRule="auto"/>
        <w:ind w:firstLine="964" w:firstLineChars="3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四、2023年单位预算收支说明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（一）收支预算总体情况。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按照综合预算的原则，本单位所有收入和支出均纳入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部门预算</w:t>
      </w:r>
      <w:r>
        <w:rPr>
          <w:rFonts w:hint="eastAsia" w:ascii="仿宋" w:hAnsi="仿宋" w:eastAsia="仿宋" w:cs="仿宋"/>
          <w:sz w:val="32"/>
          <w:szCs w:val="32"/>
        </w:rPr>
        <w:t>管理。2023年本单位预算收入47.09万元，其中一般公共预算拨款收入47.09万元、政府性基金拨款收入0.00万元、事业单位经营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收入</w:t>
      </w:r>
      <w:r>
        <w:rPr>
          <w:rFonts w:hint="eastAsia" w:ascii="仿宋" w:hAnsi="仿宋" w:eastAsia="仿宋" w:cs="仿宋"/>
          <w:sz w:val="32"/>
          <w:szCs w:val="32"/>
        </w:rPr>
        <w:t>0.00万元、附属单位上缴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收入</w:t>
      </w:r>
      <w:r>
        <w:rPr>
          <w:rFonts w:hint="eastAsia" w:ascii="仿宋" w:hAnsi="仿宋" w:eastAsia="仿宋" w:cs="仿宋"/>
          <w:sz w:val="32"/>
          <w:szCs w:val="32"/>
        </w:rPr>
        <w:t>0.00万元、其他自有资金收入0.00万元、上年结转收入0.00万元，2023年本单位预算收入较上年总体减少47.09万元，主要原因是人员工资预算指标统一上主管局，不在本预算反映；2023年本单位预算支出47.09万元，其中一般公共预算拨款支出47.09万元、政府性基金拨款支出0.00万元、事业单位经营支出0.00万元、附属单位上缴支出0.00万元、其他自有资金支出0.00万元、上年结转支出0.00万元，2023年本单位预算支出较上年减少47.09万元，主要原因是人员工资预算指标统一上主管局，不在本预算反映，本预算支出未反映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（二）财政拨款收支情况。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财政拨款收入47.09万元，其中一般公共预算拨款收入47.09万元、政府性基金拨款收入0.00万元、上年结转收入0.00万元，2023年本单位财政拨款收入较上年减少47.09万元，主要原因是人员工资预算指标统一上主管局，不在本预算反映；2023年本单位财政拨款支出47.09万元，其中一般公共预算拨款支出47.09万元、政府性基金拨款支出0.00万元、上年结转收入0.00万元，2023年本单位财政拨款支出较上年减少47.09万元，主要原因是人员工资预算指标统一上主管局，本预算支出未反映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（三）一般公共预算拨款支出明细情况。</w:t>
      </w:r>
    </w:p>
    <w:p>
      <w:pPr>
        <w:spacing w:line="360" w:lineRule="auto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一般公共预算当年拨款规模变化情况。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2023年本单位当年一般公共预算拨款支出47.09万元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2"/>
        </w:num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支出按功能科目分类的明细情况。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本单位2023年当年一般公共预算支出47.09万元，其中：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（1）机关事业单位基本养老保险缴费支出（2080505）19.34万元，较上年增加1.42万元，原因是缴费基数调整；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（2）乡镇卫生院（2100302）3.5万元，较上年减少    23.88万元，原因是人员工资预算指标统一上主管局，不在本预算反映；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（3）事业单位医疗（2101102）9.53万元，较上年减少0.49万元，原因是退休人员2%公务员医疗补助未预算其中；医保缴费政策调整，划入个人账户减少；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（4）住房公积金（2210201）14.72万元，较上年增加3.35万元，原因是缴费基数调整。</w:t>
      </w:r>
    </w:p>
    <w:p>
      <w:pPr>
        <w:spacing w:line="360" w:lineRule="auto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支出按经济科目分类的明细情况。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（1）按照单位预算支出经济分类的类级科目说明。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2023年本单位当年一般公共预算支出47.09万元，其中：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工资福利支出（301）44.79万元，较上年减少14.14万元，原因是人员工资预算指标统一上主管局，不在本预算反映；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对个人和家庭的补助支出（303）2.3万元，较上年增加0.1万元，原因是上年退休人员支出在工资福利支出（505）中反映；</w:t>
      </w:r>
    </w:p>
    <w:p>
      <w:pPr>
        <w:numPr>
          <w:ilvl w:val="0"/>
          <w:numId w:val="3"/>
        </w:num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按照政府预算支出经济分类的类级科目说明。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2023年本单位当年一般公共预算支出47.09万元，其中：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工资福利支出（505）44.79万元，较上年减少14.14万元，原因是人员工资预算指标统一上主管局，不在本预算反映；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对个人和家庭补助（509）2.3万元，较上年增加0.1万元，原因是上年退休人员支出在工资福利支出（505）中反映；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离退休费（50905）0.7万元，较上年增0.47万元，原因是上年退休人员支出在工资福利支出（505）中反映；</w:t>
      </w:r>
    </w:p>
    <w:p>
      <w:pPr>
        <w:spacing w:line="360" w:lineRule="auto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其他对个人和家庭补助（50999）1.56万元，较上年增加0.1万元，原因是上年在工资福利支出（505）中反映；</w:t>
      </w:r>
    </w:p>
    <w:p>
      <w:pPr>
        <w:spacing w:line="360" w:lineRule="auto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2022年结转财政资金一般公共预算拨款支出情况。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本单位无2022年结转的一般公共预算拨款资金支出。</w:t>
      </w:r>
    </w:p>
    <w:p>
      <w:pPr>
        <w:numPr>
          <w:ilvl w:val="0"/>
          <w:numId w:val="4"/>
        </w:num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政府性基金预算支出情况。</w:t>
      </w:r>
    </w:p>
    <w:p>
      <w:pPr>
        <w:numPr>
          <w:ilvl w:val="0"/>
          <w:numId w:val="5"/>
        </w:num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当年政府性基金预算支出情况。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本单位无当年政府性基金预算收支，并已公开空表。</w:t>
      </w:r>
    </w:p>
    <w:p>
      <w:pPr>
        <w:numPr>
          <w:ilvl w:val="0"/>
          <w:numId w:val="5"/>
        </w:num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上年结转政府性基金预算支出情况。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本单位无2022年结转的政府性基金预算拨款支出。</w:t>
      </w:r>
    </w:p>
    <w:p>
      <w:pPr>
        <w:numPr>
          <w:ilvl w:val="0"/>
          <w:numId w:val="4"/>
        </w:num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国有资本经营预算拨款收支情况。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本单位无当年国有资本经营预算拨款收支，并在财政拨款收支总体情况表中列示。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本单位无2022年结转的国有资本经营预算拨款支出。</w:t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第三部分  其他说明情况</w:t>
      </w:r>
    </w:p>
    <w:p>
      <w:pPr>
        <w:spacing w:line="360" w:lineRule="auto"/>
        <w:ind w:firstLine="964" w:firstLineChars="300"/>
        <w:rPr>
          <w:rFonts w:ascii="仿宋" w:hAnsi="仿宋" w:eastAsia="仿宋" w:cs="仿宋"/>
          <w:sz w:val="32"/>
          <w:szCs w:val="32"/>
          <w:highlight w:val="gree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五、单位预算“三公”经费等预算情况说明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（1）本单位2023年一般公共预算未安排“三公”经费、会议费、培训费支出预算，并已公开空表。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（2）本单位无2022年结转的财政拨款‘三公’经费和会议费、培训费支出。</w:t>
      </w:r>
    </w:p>
    <w:p>
      <w:pPr>
        <w:spacing w:line="360" w:lineRule="auto"/>
        <w:ind w:firstLine="964" w:firstLineChars="3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六、单位国有资产占有使用及资产购置情况说明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本单位无2022年结转的财政拨款支出资产购置。</w:t>
      </w:r>
    </w:p>
    <w:p>
      <w:pPr>
        <w:pStyle w:val="9"/>
        <w:numPr>
          <w:ilvl w:val="0"/>
          <w:numId w:val="6"/>
        </w:numPr>
        <w:spacing w:line="360" w:lineRule="auto"/>
        <w:ind w:left="1680" w:leftChars="0" w:firstLine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单位政府采购情况说明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本单位2023年无政府采购预算，并已公开空表。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本单位无2022年结转的政府采购资金支出。</w:t>
      </w:r>
    </w:p>
    <w:p>
      <w:pPr>
        <w:spacing w:line="360" w:lineRule="auto"/>
        <w:ind w:firstLine="964" w:firstLineChars="3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八、单位预算绩效目标说明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2023年本单位绩效目标管理全覆盖，涉及当年一般公共预算拨款47.09万元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当年政府性基金预算拨款0.00万元，当年国有资本经营预算拨款0.00万元（详见公开报表中的绩效目标表）。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  <w:highlight w:val="red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本单位无2022年结转的财政拨款支出涉及的绩效目标管理。</w:t>
      </w:r>
    </w:p>
    <w:p>
      <w:pPr>
        <w:spacing w:line="360" w:lineRule="auto"/>
        <w:ind w:firstLine="964" w:firstLineChars="3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九、机关运行经费安排说明</w:t>
      </w:r>
    </w:p>
    <w:p>
      <w:pPr>
        <w:pStyle w:val="7"/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本单位当年未预算一般公共预算机关运行经费。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本单位无2022年结转的财政拨款机关运行经费支出。</w:t>
      </w:r>
    </w:p>
    <w:p>
      <w:pPr>
        <w:spacing w:line="360" w:lineRule="auto"/>
        <w:ind w:left="960" w:firstLine="321" w:firstLineChars="1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十、专业名词解释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机关运行经费：指各单位的公用经费，包括办公及印刷费、邮电费、差旅费、会议费、福利费、日常维修费、专用材料及一般设备购置费、办公用房水电费、办公用房取暖费、办公用房物业管理费、公务用车运行费以及其他费用。</w:t>
      </w:r>
    </w:p>
    <w:p>
      <w:pPr>
        <w:pStyle w:val="7"/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“三公”经费：是指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车辆购置支出（含车辆购置税）及租用费、燃料费、维修费、过路过桥费、保险费、安全奖励费用等支出；公务接待费反映单位按规定开支的各类公务接待支出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第四部分  公开报表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（详见附表）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CC8E54"/>
    <w:multiLevelType w:val="singleLevel"/>
    <w:tmpl w:val="9ACC8E5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61CBF2F"/>
    <w:multiLevelType w:val="singleLevel"/>
    <w:tmpl w:val="A61CBF2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0B544CF"/>
    <w:multiLevelType w:val="multilevel"/>
    <w:tmpl w:val="00B544CF"/>
    <w:lvl w:ilvl="0" w:tentative="0">
      <w:start w:val="7"/>
      <w:numFmt w:val="japaneseCounting"/>
      <w:lvlText w:val="%1、"/>
      <w:lvlJc w:val="left"/>
      <w:pPr>
        <w:ind w:left="1680" w:hanging="72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1800" w:hanging="420"/>
      </w:pPr>
    </w:lvl>
    <w:lvl w:ilvl="2" w:tentative="0">
      <w:start w:val="1"/>
      <w:numFmt w:val="lowerRoman"/>
      <w:lvlText w:val="%3."/>
      <w:lvlJc w:val="right"/>
      <w:pPr>
        <w:ind w:left="2220" w:hanging="420"/>
      </w:pPr>
    </w:lvl>
    <w:lvl w:ilvl="3" w:tentative="0">
      <w:start w:val="1"/>
      <w:numFmt w:val="decimal"/>
      <w:lvlText w:val="%4."/>
      <w:lvlJc w:val="left"/>
      <w:pPr>
        <w:ind w:left="2640" w:hanging="420"/>
      </w:pPr>
    </w:lvl>
    <w:lvl w:ilvl="4" w:tentative="0">
      <w:start w:val="1"/>
      <w:numFmt w:val="lowerLetter"/>
      <w:lvlText w:val="%5)"/>
      <w:lvlJc w:val="left"/>
      <w:pPr>
        <w:ind w:left="3060" w:hanging="420"/>
      </w:pPr>
    </w:lvl>
    <w:lvl w:ilvl="5" w:tentative="0">
      <w:start w:val="1"/>
      <w:numFmt w:val="lowerRoman"/>
      <w:lvlText w:val="%6."/>
      <w:lvlJc w:val="right"/>
      <w:pPr>
        <w:ind w:left="3480" w:hanging="420"/>
      </w:pPr>
    </w:lvl>
    <w:lvl w:ilvl="6" w:tentative="0">
      <w:start w:val="1"/>
      <w:numFmt w:val="decimal"/>
      <w:lvlText w:val="%7."/>
      <w:lvlJc w:val="left"/>
      <w:pPr>
        <w:ind w:left="3900" w:hanging="420"/>
      </w:pPr>
    </w:lvl>
    <w:lvl w:ilvl="7" w:tentative="0">
      <w:start w:val="1"/>
      <w:numFmt w:val="lowerLetter"/>
      <w:lvlText w:val="%8)"/>
      <w:lvlJc w:val="left"/>
      <w:pPr>
        <w:ind w:left="4320" w:hanging="420"/>
      </w:pPr>
    </w:lvl>
    <w:lvl w:ilvl="8" w:tentative="0">
      <w:start w:val="1"/>
      <w:numFmt w:val="lowerRoman"/>
      <w:lvlText w:val="%9."/>
      <w:lvlJc w:val="right"/>
      <w:pPr>
        <w:ind w:left="4740" w:hanging="420"/>
      </w:pPr>
    </w:lvl>
  </w:abstractNum>
  <w:abstractNum w:abstractNumId="3">
    <w:nsid w:val="02686215"/>
    <w:multiLevelType w:val="singleLevel"/>
    <w:tmpl w:val="02686215"/>
    <w:lvl w:ilvl="0" w:tentative="0">
      <w:start w:val="2"/>
      <w:numFmt w:val="decimal"/>
      <w:suff w:val="nothing"/>
      <w:lvlText w:val="%1、"/>
      <w:lvlJc w:val="left"/>
    </w:lvl>
  </w:abstractNum>
  <w:abstractNum w:abstractNumId="4">
    <w:nsid w:val="27254C28"/>
    <w:multiLevelType w:val="singleLevel"/>
    <w:tmpl w:val="27254C28"/>
    <w:lvl w:ilvl="0" w:tentative="0">
      <w:start w:val="2"/>
      <w:numFmt w:val="decimal"/>
      <w:suff w:val="nothing"/>
      <w:lvlText w:val="（%1）"/>
      <w:lvlJc w:val="left"/>
    </w:lvl>
  </w:abstractNum>
  <w:abstractNum w:abstractNumId="5">
    <w:nsid w:val="5D0214CA"/>
    <w:multiLevelType w:val="singleLevel"/>
    <w:tmpl w:val="5D0214CA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doNotDisplayPageBoundaries w:val="1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Y5ZjU1ODlkZTJkZjZjN2Y3OGYzOGQwZjIwYjkwNjQifQ=="/>
  </w:docVars>
  <w:rsids>
    <w:rsidRoot w:val="00D57342"/>
    <w:rsid w:val="00006396"/>
    <w:rsid w:val="00431D7F"/>
    <w:rsid w:val="00511D5F"/>
    <w:rsid w:val="007C0F92"/>
    <w:rsid w:val="00A11690"/>
    <w:rsid w:val="00CA6C30"/>
    <w:rsid w:val="00D57342"/>
    <w:rsid w:val="00D819B0"/>
    <w:rsid w:val="00E3738F"/>
    <w:rsid w:val="032E269A"/>
    <w:rsid w:val="0E1704E7"/>
    <w:rsid w:val="29AB0CA5"/>
    <w:rsid w:val="2CEF5785"/>
    <w:rsid w:val="3F930941"/>
    <w:rsid w:val="41783195"/>
    <w:rsid w:val="4BCC1AF7"/>
    <w:rsid w:val="6198197F"/>
    <w:rsid w:val="7E78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6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pPr>
      <w:spacing w:line="240" w:lineRule="auto"/>
    </w:pPr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customStyle="1" w:styleId="7">
    <w:name w:val="列出段落1"/>
    <w:basedOn w:val="1"/>
    <w:unhideWhenUsed/>
    <w:qFormat/>
    <w:uiPriority w:val="99"/>
    <w:pPr>
      <w:ind w:firstLine="420"/>
    </w:pPr>
  </w:style>
  <w:style w:type="character" w:customStyle="1" w:styleId="8">
    <w:name w:val="批注框文本 字符"/>
    <w:basedOn w:val="6"/>
    <w:link w:val="2"/>
    <w:uiPriority w:val="0"/>
    <w:rPr>
      <w:kern w:val="2"/>
      <w:sz w:val="18"/>
      <w:szCs w:val="18"/>
    </w:rPr>
  </w:style>
  <w:style w:type="paragraph" w:styleId="9">
    <w:name w:val="List Paragraph"/>
    <w:basedOn w:val="1"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hart" Target="charts/chart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J:\&#26032;&#24314;&#25991;&#20214;&#22841;%20(2)\&#26609;&#24418;&#22270;(2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编制人数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Sheet1!$B$1:$C$1</c:f>
              <c:strCache>
                <c:ptCount val="2"/>
                <c:pt idx="0">
                  <c:v>行政</c:v>
                </c:pt>
                <c:pt idx="1">
                  <c:v>事业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0</c:v>
                </c:pt>
                <c:pt idx="1">
                  <c:v>16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实有人数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Sheet1!$B$1:$C$1</c:f>
              <c:strCache>
                <c:ptCount val="2"/>
                <c:pt idx="0">
                  <c:v>行政</c:v>
                </c:pt>
                <c:pt idx="1">
                  <c:v>事业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0</c:v>
                </c:pt>
                <c:pt idx="1">
                  <c:v>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5003264"/>
        <c:axId val="104891904"/>
      </c:barChart>
      <c:catAx>
        <c:axId val="8500326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04891904"/>
        <c:crosses val="autoZero"/>
        <c:auto val="1"/>
        <c:lblAlgn val="ctr"/>
        <c:lblOffset val="100"/>
        <c:noMultiLvlLbl val="0"/>
      </c:catAx>
      <c:valAx>
        <c:axId val="104891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50032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3240</Words>
  <Characters>3578</Characters>
  <Lines>26</Lines>
  <Paragraphs>7</Paragraphs>
  <TotalTime>439</TotalTime>
  <ScaleCrop>false</ScaleCrop>
  <LinksUpToDate>false</LinksUpToDate>
  <CharactersWithSpaces>3663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2019-11-29T08:56:00Z</dcterms:created>
  <dc:creator>郭超(拟稿)</dc:creator>
  <cp:lastModifiedBy>2148540017</cp:lastModifiedBy>
  <cp:lastPrinted>2020-08-03T08:28:00Z</cp:lastPrinted>
  <dcterms:modified xsi:type="dcterms:W3CDTF">2023-04-26T08:01:47Z</dcterms:modified>
  <dc:title>紫阳县洄水镇中心卫生院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5706BE6EF80D4498AEC319834199363E</vt:lpwstr>
  </property>
</Properties>
</file>