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eastAsia="宋体"/>
          <w:lang w:eastAsia="zh-CN"/>
        </w:rPr>
      </w:pPr>
    </w:p>
    <w:p>
      <w:pPr>
        <w:spacing w:line="341" w:lineRule="auto"/>
      </w:pPr>
    </w:p>
    <w:p>
      <w:pPr>
        <w:spacing w:before="101" w:line="228" w:lineRule="auto"/>
        <w:jc w:val="center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>
      <w:pPr>
        <w:spacing w:before="101" w:line="228" w:lineRule="auto"/>
        <w:jc w:val="center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紫阳县人民医院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napToGrid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（具体单位预算公开报表）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spacing w:before="242" w:line="227" w:lineRule="auto"/>
        <w:ind w:firstLine="622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第四部分  公开报表</w:t>
      </w:r>
    </w:p>
    <w:p>
      <w:pPr>
        <w:pStyle w:val="4"/>
        <w:spacing w:before="242" w:line="194" w:lineRule="auto"/>
        <w:ind w:firstLine="0" w:firstLineChars="0"/>
        <w:jc w:val="center"/>
        <w:rPr>
          <w:spacing w:val="6"/>
          <w:lang w:eastAsia="zh-CN"/>
        </w:rPr>
      </w:pPr>
      <w:r>
        <w:rPr>
          <w:spacing w:val="6"/>
          <w:lang w:eastAsia="zh-CN"/>
        </w:rPr>
        <w:t>（具体单位预算公开报表）</w:t>
      </w:r>
    </w:p>
    <w:p>
      <w:pPr>
        <w:pStyle w:val="4"/>
        <w:spacing w:before="242" w:line="194" w:lineRule="auto"/>
        <w:ind w:firstLine="0" w:firstLineChars="0"/>
        <w:jc w:val="center"/>
        <w:rPr>
          <w:spacing w:val="6"/>
          <w:lang w:eastAsia="zh-CN"/>
        </w:rPr>
      </w:pPr>
    </w:p>
    <w:p>
      <w:pPr>
        <w:pStyle w:val="4"/>
        <w:spacing w:before="242" w:line="194" w:lineRule="auto"/>
        <w:ind w:firstLine="0" w:firstLineChars="0"/>
        <w:jc w:val="center"/>
        <w:rPr>
          <w:spacing w:val="6"/>
          <w:lang w:eastAsia="zh-CN"/>
        </w:rPr>
      </w:pPr>
    </w:p>
    <w:p>
      <w:pPr>
        <w:spacing w:line="176" w:lineRule="exact"/>
        <w:rPr>
          <w:lang w:eastAsia="zh-CN"/>
        </w:rPr>
        <w:sectPr>
          <w:pgSz w:w="11906" w:h="16839"/>
          <w:pgMar w:top="1431" w:right="1785" w:bottom="0" w:left="1785" w:header="0" w:footer="0" w:gutter="0"/>
          <w:cols w:equalWidth="0" w:num="1">
            <w:col w:w="8335"/>
          </w:cols>
        </w:sectPr>
      </w:pP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line="228" w:lineRule="auto"/>
        <w:rPr>
          <w:lang w:eastAsia="zh-CN"/>
        </w:rPr>
        <w:sectPr>
          <w:type w:val="continuous"/>
          <w:pgSz w:w="11906" w:h="16839"/>
          <w:pgMar w:top="1431" w:right="1785" w:bottom="0" w:left="1785" w:header="0" w:footer="0" w:gutter="0"/>
          <w:cols w:equalWidth="0" w:num="2">
            <w:col w:w="4656" w:space="100"/>
            <w:col w:w="3580"/>
          </w:cols>
        </w:sectPr>
      </w:pPr>
    </w:p>
    <w:p>
      <w:pPr>
        <w:pStyle w:val="4"/>
        <w:spacing w:before="162"/>
        <w:ind w:left="3075" w:firstLine="622"/>
        <w:rPr>
          <w:lang w:eastAsia="zh-CN"/>
        </w:rPr>
      </w:pPr>
      <w:r>
        <w:rPr>
          <w:b/>
          <w:bCs/>
          <w:position w:val="23"/>
          <w:lang w:eastAsia="zh-CN"/>
        </w:rPr>
        <w:t>第一部分单位概况</w:t>
      </w:r>
    </w:p>
    <w:p>
      <w:pPr>
        <w:pStyle w:val="4"/>
        <w:spacing w:line="227" w:lineRule="auto"/>
        <w:ind w:firstLine="632"/>
        <w:rPr>
          <w:lang w:eastAsia="zh-CN"/>
        </w:rPr>
      </w:pPr>
      <w:r>
        <w:rPr>
          <w:b/>
          <w:bCs/>
          <w:spacing w:val="5"/>
          <w:lang w:eastAsia="zh-CN"/>
        </w:rPr>
        <w:t>一、单位主要职责及机构设置</w:t>
      </w:r>
    </w:p>
    <w:p>
      <w:pPr>
        <w:pStyle w:val="4"/>
        <w:spacing w:before="242" w:line="227" w:lineRule="auto"/>
        <w:ind w:firstLine="630"/>
        <w:rPr>
          <w:lang w:eastAsia="zh-CN"/>
        </w:rPr>
      </w:pPr>
      <w:r>
        <w:rPr>
          <w:b/>
          <w:bCs/>
          <w:spacing w:val="4"/>
          <w:lang w:eastAsia="zh-CN"/>
        </w:rPr>
        <w:t>（一）单位主要职责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1.贯彻执行党和国家有关卫生工作的方针、政策和法律法规。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2.开展临床医疗、健康保健、康复急救等工作，为人民健康提供医疗、护理和保健服务。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3.开展临床教学、培训及科研工作。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4.参与突发公共事件医疗应急处置与大型群体活动医疗保健。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5.完成上级和业务主管部门交办的其它工作。</w:t>
      </w:r>
    </w:p>
    <w:p>
      <w:pPr>
        <w:pStyle w:val="4"/>
        <w:ind w:firstLine="628"/>
        <w:rPr>
          <w:lang w:eastAsia="zh-CN"/>
        </w:rPr>
      </w:pPr>
      <w:r>
        <w:rPr>
          <w:b/>
          <w:bCs/>
          <w:spacing w:val="3"/>
          <w:lang w:eastAsia="zh-CN"/>
        </w:rPr>
        <w:t>（二）机构设置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本单位现设有党务办、办公室、纪检监察室、医务科、药剂科、护理部、感控科、公共卫生科、信息科、设备科、医保办、财务科、质控科</w:t>
      </w:r>
      <w:r>
        <w:rPr>
          <w:rFonts w:hint="eastAsia"/>
          <w:lang w:eastAsia="zh-CN"/>
        </w:rPr>
        <w:t>（</w:t>
      </w:r>
      <w:r>
        <w:rPr>
          <w:lang w:eastAsia="zh-CN"/>
        </w:rPr>
        <w:t>病案室</w:t>
      </w:r>
      <w:r>
        <w:rPr>
          <w:rFonts w:hint="eastAsia"/>
          <w:lang w:eastAsia="zh-CN"/>
        </w:rPr>
        <w:t>）</w:t>
      </w:r>
      <w:r>
        <w:rPr>
          <w:lang w:eastAsia="zh-CN"/>
        </w:rPr>
        <w:t>、门诊部、总务科、保卫科、</w:t>
      </w:r>
      <w:r>
        <w:rPr>
          <w:rFonts w:hint="eastAsia"/>
          <w:lang w:eastAsia="zh-CN"/>
        </w:rPr>
        <w:t>基建</w:t>
      </w:r>
      <w:r>
        <w:rPr>
          <w:lang w:eastAsia="zh-CN"/>
        </w:rPr>
        <w:t>办等1</w:t>
      </w:r>
      <w:r>
        <w:rPr>
          <w:rFonts w:hint="eastAsia"/>
          <w:lang w:eastAsia="zh-CN"/>
        </w:rPr>
        <w:t>8</w:t>
      </w:r>
      <w:r>
        <w:rPr>
          <w:lang w:eastAsia="zh-CN"/>
        </w:rPr>
        <w:t>个职能科室。</w:t>
      </w:r>
    </w:p>
    <w:p>
      <w:pPr>
        <w:pStyle w:val="4"/>
        <w:spacing w:before="242" w:line="226" w:lineRule="auto"/>
        <w:ind w:firstLine="626"/>
        <w:outlineLvl w:val="0"/>
        <w:rPr>
          <w:b/>
          <w:bCs/>
          <w:spacing w:val="2"/>
          <w:lang w:eastAsia="zh-CN"/>
        </w:rPr>
      </w:pPr>
      <w:r>
        <w:rPr>
          <w:b/>
          <w:bCs/>
          <w:spacing w:val="2"/>
          <w:lang w:eastAsia="zh-CN"/>
        </w:rPr>
        <w:t>二、</w:t>
      </w:r>
      <w:r>
        <w:rPr>
          <w:rFonts w:hint="eastAsia"/>
          <w:b/>
          <w:bCs/>
          <w:spacing w:val="2"/>
          <w:lang w:eastAsia="zh-CN"/>
        </w:rPr>
        <w:t>2023</w:t>
      </w:r>
      <w:r>
        <w:rPr>
          <w:b/>
          <w:bCs/>
          <w:spacing w:val="2"/>
          <w:lang w:eastAsia="zh-CN"/>
        </w:rPr>
        <w:t>年度单位工作任务</w:t>
      </w:r>
    </w:p>
    <w:p>
      <w:pPr>
        <w:pStyle w:val="4"/>
        <w:ind w:firstLine="622"/>
        <w:rPr>
          <w:lang w:eastAsia="zh-CN"/>
        </w:rPr>
      </w:pPr>
      <w:r>
        <w:rPr>
          <w:rFonts w:hint="eastAsia"/>
          <w:b/>
          <w:bCs/>
          <w:lang w:eastAsia="zh-CN"/>
        </w:rPr>
        <w:t>（一）狠抓党建引领，坚持党建与业务工作深度融合。</w:t>
      </w:r>
      <w:r>
        <w:rPr>
          <w:rFonts w:hint="eastAsia"/>
          <w:lang w:eastAsia="zh-CN"/>
        </w:rPr>
        <w:t>一是切实加强党的思想建设，坚持以习近平新时代中国特色社会主义思想为指导，深入贯彻党的二十大精神，贯彻落实党的基本理论、基本路线、基本方略，以及卫生与健康工作方针和深化医药卫生体制改革政策措施，充分发挥党委的领导作用，坚持公立医院公益性，确保医院改革发展正确方向。二是结合公立医院改革和现代医院管理制度的实施，不断完善和规范议事和决策制度，用制度管人、用流程管事，使医院各项管理、各项工作更加科学和规范。同时，全面落实党风廉政建设责任制，抓实医德医风建设，进一步巩固和扩大医疗行业不正之风专项整治行动成果。三是坚持正确选人用人导向，健全干部培养教育、交流锻炼和监督约束制度，完善考核评价体系；争取人才引进政策、拓宽人才引进渠道，搭建不同层次人才发展平台，完善医院领导班子成员联系高层次人才制度，建立以需求为导向，以医德、能力、业绩为重点的人才评价体系。组织全院中层以上干部，年内分批次赴常州市第一人民医院进行跟班学习，提升中层管理水平。四是持续推进党支部标准化建设工作，严格执行“三会一课”、组织生活会、主题党日等制度。严格遵照党员发展程序，积极发展党员及入党积极分子。五是以“围绕中心抓党建，抓好党建促发展”的工作思路，深入开展“党旗领航、护卫健康”主题实践活动，将党建工作与业务工作有机结合，提升党员队伍整体素质，增强党支部和科室整体服务功能，推动公立医院高质量发展，以实际行动贯彻落实党的二十大精神。</w:t>
      </w:r>
    </w:p>
    <w:p>
      <w:pPr>
        <w:pStyle w:val="4"/>
        <w:ind w:firstLine="622"/>
        <w:rPr>
          <w:lang w:eastAsia="zh-CN"/>
        </w:rPr>
      </w:pPr>
      <w:r>
        <w:rPr>
          <w:rFonts w:hint="eastAsia"/>
          <w:b/>
          <w:bCs/>
          <w:lang w:eastAsia="zh-CN"/>
        </w:rPr>
        <w:t>（二）狠抓医院改革，切实提升医院运行效率。</w:t>
      </w:r>
      <w:r>
        <w:rPr>
          <w:rFonts w:hint="eastAsia"/>
          <w:lang w:eastAsia="zh-CN"/>
        </w:rPr>
        <w:t>主要从以下四个方面实施：一是继续完善优化绩效分配考核方案，建立责任明确、考核到位、管理规范、公正有效、奖惩分明的绩效考核体系，使绩效分配更为均衡、合理，达到约束与激励相结合效果，通过合理分配提高科室凝聚力和职工的工作积极性，促进医院科室的良性竞争和协同发展。二是继续做好二级公立医院绩效考核工作，及时采集二级公立医院绩效考核指标，以医疗质量、运营效率、持续发展、满意度评价等指标要求作为医院改革发展方向，强化医院管理体系建设，提高运营效率和服务水平。三是对照《陕西省医院等级评审（复审）标准二级综合医院基本指标》，重新梳理、调整方法、查缺补漏、逐步完善，力争通过二甲复审。为实现这个目标，需要重点加强医院内部管理体系建设，提高医疗质量和服务水平，打造具有影响力的医疗品牌。四是强化服务创新，以改善患者就医体验为切入点，从改进医院环境、提高医疗服务质量、优化医疗流程等方面入手，建立系统性、标准化的优质服务长效机制，提升医院服务水平和满意度，吸引更多的患者就诊。同时，继续针对医院服务质量提升中的薄弱环节，加强对医护人员的服务能力培训，提升其服务水平和素质。</w:t>
      </w:r>
    </w:p>
    <w:p>
      <w:pPr>
        <w:pStyle w:val="4"/>
        <w:ind w:firstLine="622"/>
        <w:rPr>
          <w:lang w:eastAsia="zh-CN"/>
        </w:rPr>
      </w:pPr>
      <w:r>
        <w:rPr>
          <w:rFonts w:hint="eastAsia"/>
          <w:b/>
          <w:bCs/>
          <w:lang w:eastAsia="zh-CN"/>
        </w:rPr>
        <w:t>（三）狠抓能力提升，持续推动医院质量管理常态化。</w:t>
      </w:r>
      <w:r>
        <w:rPr>
          <w:rFonts w:hint="eastAsia"/>
          <w:lang w:eastAsia="zh-CN"/>
        </w:rPr>
        <w:t>具体包括以下六点：一是进一步加强依法执业管理，按相关政策做好限制类医疗技术临床应用备案工作，对各类技术授权、处方授权等实行动态管理，同时继续完善医务人员电子信息化管理。二是加大十八项核心制度落实力度，强化“三基”、“三严”培训，坚持做到人人参与、人人过关，把培训贯穿于医院质量管理的始终。三是强化护理质量监控体系，切实开展护理6S管理以及优质护理服务，修订和完善二级护理质控的考核细则，注重过程考核和结果考核相结合，提升质量管理能力和服务水平。四是继续巩固医院感染防控体系，完善相关医院感染管理制度、标准，落实各项防控措施，坚持“早发现、早报告、早控制”的原则，认真落实医院感染病例检测及报告制度，提升医院感染防控水平，最大限度降低医院感染发生。五是继续利用紧缺岗位招聘政策，引进高学历、实用紧缺人才。规范进修学习管理，加强进修前审核、进修后监管，有计划地选派专业技术骨干到省内外上级医院进修学习，使医院人才队伍建设更加合理。继续依托帮扶机遇，做强现有县域重点科室建设，鼓励科室在新技术、新项目开展上下功夫，不断推进医疗业务技术的拓展提升。六是认真做好医疗安全防范及医疗纠纷处理工作，对发生医疗事故、纠纷的科室，及时认真进行分析，总结教训，提出整改措施，督促落实，减少和避免医疗纠纷的发生。</w:t>
      </w:r>
    </w:p>
    <w:p>
      <w:pPr>
        <w:pStyle w:val="4"/>
        <w:ind w:firstLine="622"/>
        <w:rPr>
          <w:lang w:eastAsia="zh-CN"/>
        </w:rPr>
      </w:pPr>
      <w:r>
        <w:rPr>
          <w:rFonts w:hint="eastAsia"/>
          <w:b/>
          <w:bCs/>
          <w:lang w:eastAsia="zh-CN"/>
        </w:rPr>
        <w:t>（四）狠抓项目建设，持续做好安全生产工作。</w:t>
      </w:r>
      <w:r>
        <w:rPr>
          <w:rFonts w:hint="eastAsia"/>
          <w:lang w:eastAsia="zh-CN"/>
        </w:rPr>
        <w:t>包括以下四个方面的措施：一是继续推进加大门诊医技楼项目建设推进力度。目前门诊医技楼项目已开工建设，从开工之日起，项目建设将是我院当前及今后一段时间内尤为重要的工作，为此医院班子成员、中层领导以及全体医务人员要做到上下一心，合理推进项目建设，力争早日建成、早日投用、早日受益。二是继续推动医院高质量发展。以入选“千县工程”为契机，</w:t>
      </w:r>
      <w:r>
        <w:rPr>
          <w:lang w:eastAsia="zh-CN"/>
        </w:rPr>
        <w:t>继续通过强化全面质量管理，加强人才队伍建设，积极推动技术创新，强化专科能力建设，改善医疗服务质量，加快信息化建设等举措，持续推动医院高质量发展，让百姓享受更高质量的医疗服务。</w:t>
      </w:r>
      <w:r>
        <w:rPr>
          <w:rFonts w:hint="eastAsia"/>
          <w:lang w:eastAsia="zh-CN"/>
        </w:rPr>
        <w:t>三是继续推动智慧医院创建二期项目建设。按照医院《信息化及智慧医疗试点医院建设实施方案》要求，优化调整智慧医院创建二期项目建设内容，开展信息系统三级等保测评等安全防护工作，继续对HIS系统、自助系统、移动端应用、预约管理等系统进行升级改造，新增运营数据中心（BI）、移动医护、体检等新系统。做好医保新平台、安康市居民电子卡平台、县域远程医疗平台、院内HIS等业务系统的运行维护保障工作。四是持续开展安全生产排查与整改工作。严格落实安全生产责任和管理措施，加强对全院的危化品、特种设备、水电管道及线路、消防设备等定期进行检修，落实定期自查、排查制度，坚决堵塞安全隐患、漏洞。同步开展全院网络信息安全培训及演练，提升信息安全水平。</w:t>
      </w:r>
    </w:p>
    <w:p>
      <w:pPr>
        <w:pStyle w:val="4"/>
        <w:ind w:firstLine="622"/>
        <w:rPr>
          <w:lang w:eastAsia="zh-CN"/>
        </w:rPr>
      </w:pPr>
      <w:r>
        <w:rPr>
          <w:rFonts w:hint="eastAsia"/>
          <w:b/>
          <w:bCs/>
          <w:lang w:eastAsia="zh-CN"/>
        </w:rPr>
        <w:t>（五）狠抓对口帮扶，全面推进医院各项工作。</w:t>
      </w:r>
      <w:r>
        <w:rPr>
          <w:rFonts w:hint="eastAsia"/>
          <w:lang w:eastAsia="zh-CN"/>
        </w:rPr>
        <w:t>一是牢牢把握“组团式”帮扶机遇，加强与常州市第一人民医院以及其他上级医院交流协作的力度，不断强化医院学科建设，提升技术水平，拓展业务范围，加快补齐专业专科短板，争取在学科建设和人才培养上有突破性发展，2023年重点发展的方向是以提升“四个能力”为主，即提升诊疗能力、健康管理服务水平、人才队伍建设水平和医院管理水平。聚焦薄弱科室和关键科室建设，加快培养学科带头人、业务骨干和护理专科人才，包括管理人才的进修和培训。还要巩固完善“五大中心”建设，借助帮扶专家的力量，进一步推广介入诊疗、肿瘤治疗等新技术临床应用能力，从而提升医院整体的医疗服务能力和水平。二是进一步履行县级对口帮扶医院职责，加大对镇卫生院帮扶力度，总结上一年度帮扶经验，以紧密型医共体及远程医疗建设为平台，持续推动帮扶工作落实落细，根据各卫生院情况，适度选派、组建帮扶团队进驻卫生院开展帮扶工作。三是继续做好巩固拓展脱贫攻坚成果同乡村振兴有效衔接工作，加大对包联板厂村的帮扶力度，围绕乡村振兴各项考核指标和考核内容，做好包联板厂村的各项工作。四是按照“保健康、防重症、遏病亡”要求，抓实抓细新冠病毒感染“乙类乙管”各项举措，以“管”的有力有效实现“转”的平稳顺利。加快医疗救治能力建设，提升应对疫情处置能力，切实推动救治关口前移，确保重症风险人员及时发现、及时救治，应收尽收、应治尽治。五是严格执行医保政策和价格收费政策，按规定维护好收费项目，临床科室需切实做到合理检查、合理治疗、合理用药、合理收费，严禁出现违反医保政策管理规定现象。继续落实医保惠民政策，并认真、及时、高效地做好医保报销、财务结算工作。六是丰富医院文化生活，紧扣医院发展主题，通过护士节、医师节等活动开展，丰富职工业余生活，提高职工凝聚力。进一步加大宣传力度，充分利用好公众号及新媒体，加大舆论引导和健康知识普及，提高医院社会影响力。七是彰显社会效益，充分利用节假日、宣传日、活动日等开展多专业、多学科的义诊及咨询活动，普及医疗健康知识。同时，进一步拓宽信息公开渠道，在方便患者就医的同时主动接受社会舆论监督。深入开展患者满意度调查，认真落实出院病人回访工作，给予康复指导，收集意见和建议，促进医院工作质量和效率提升。</w:t>
      </w:r>
    </w:p>
    <w:p>
      <w:pPr>
        <w:pStyle w:val="4"/>
        <w:spacing w:before="155" w:line="227" w:lineRule="auto"/>
        <w:outlineLvl w:val="0"/>
        <w:rPr>
          <w:lang w:eastAsia="zh-CN"/>
        </w:rPr>
      </w:pPr>
      <w:r>
        <w:rPr>
          <w:rFonts w:hint="eastAsia"/>
          <w:b/>
          <w:bCs/>
          <w:spacing w:val="1"/>
          <w:lang w:eastAsia="zh-CN"/>
        </w:rPr>
        <w:t>三、</w:t>
      </w:r>
      <w:r>
        <w:rPr>
          <w:b/>
          <w:bCs/>
          <w:spacing w:val="1"/>
          <w:lang w:eastAsia="zh-CN"/>
        </w:rPr>
        <w:t>单位人员情况说明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截止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年底，本单位人员编制202人，其中行政编制0人、事业编制202人；实有人员202人，其中行政0人、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事业202人。单位管理的离退休人员88人。</w:t>
      </w:r>
    </w:p>
    <w:p>
      <w:pPr>
        <w:spacing w:before="223" w:line="5040" w:lineRule="exact"/>
        <w:ind w:firstLine="754"/>
      </w:pPr>
      <w:r>
        <w:rPr>
          <w:position w:val="-100"/>
        </w:rPr>
        <w:drawing>
          <wp:inline distT="0" distB="0" distL="0" distR="0">
            <wp:extent cx="5257800" cy="3200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pStyle w:val="4"/>
        <w:spacing w:line="227" w:lineRule="auto"/>
        <w:rPr>
          <w:b/>
          <w:bCs/>
          <w:spacing w:val="2"/>
          <w:lang w:eastAsia="zh-CN"/>
        </w:rPr>
      </w:pPr>
      <w:r>
        <w:rPr>
          <w:rFonts w:hint="eastAsia"/>
          <w:b/>
          <w:bCs/>
          <w:spacing w:val="2"/>
          <w:lang w:eastAsia="zh-CN"/>
        </w:rPr>
        <w:t>四、2023</w:t>
      </w:r>
      <w:r>
        <w:rPr>
          <w:b/>
          <w:bCs/>
          <w:spacing w:val="2"/>
          <w:lang w:eastAsia="zh-CN"/>
        </w:rPr>
        <w:t>年单位预算收支说明</w:t>
      </w:r>
    </w:p>
    <w:p>
      <w:pPr>
        <w:pStyle w:val="4"/>
        <w:spacing w:line="227" w:lineRule="auto"/>
        <w:rPr>
          <w:lang w:eastAsia="zh-CN"/>
        </w:rPr>
      </w:pPr>
      <w:r>
        <w:rPr>
          <w:b/>
          <w:bCs/>
          <w:spacing w:val="4"/>
          <w:lang w:eastAsia="zh-CN"/>
        </w:rPr>
        <w:t>（一）收支预算总体情况。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按照综合预算的原则，本单位所有收入和支出均纳入</w:t>
      </w:r>
      <w:r>
        <w:rPr>
          <w:rFonts w:hint="eastAsia"/>
          <w:lang w:eastAsia="zh-CN"/>
        </w:rPr>
        <w:t>部门预算</w:t>
      </w:r>
      <w:r>
        <w:rPr>
          <w:lang w:eastAsia="zh-CN"/>
        </w:rPr>
        <w:t>管理。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年本单位预算收入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万元，其中一般公共预算拨款收入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年本单位预算收入较上年增加</w:t>
      </w:r>
      <w:r>
        <w:rPr>
          <w:rFonts w:hint="eastAsia"/>
          <w:lang w:eastAsia="zh-CN"/>
        </w:rPr>
        <w:t>33.61</w:t>
      </w:r>
      <w:r>
        <w:rPr>
          <w:lang w:eastAsia="zh-CN"/>
        </w:rPr>
        <w:t>万元，主要原因是人员增加；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年本单位预算支出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万元，其中一般公共预算拨款支出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年本单位预算支出较上年增加</w:t>
      </w:r>
      <w:r>
        <w:rPr>
          <w:rFonts w:hint="eastAsia"/>
          <w:lang w:eastAsia="zh-CN"/>
        </w:rPr>
        <w:t>33.61</w:t>
      </w:r>
      <w:r>
        <w:rPr>
          <w:lang w:eastAsia="zh-CN"/>
        </w:rPr>
        <w:t>万元，主要原因是人员增加</w:t>
      </w:r>
      <w:r>
        <w:rPr>
          <w:rFonts w:hint="eastAsia"/>
          <w:lang w:eastAsia="zh-CN"/>
        </w:rPr>
        <w:t>。</w:t>
      </w:r>
    </w:p>
    <w:p>
      <w:pPr>
        <w:pStyle w:val="4"/>
        <w:spacing w:before="239" w:line="228" w:lineRule="auto"/>
        <w:ind w:firstLine="630"/>
        <w:rPr>
          <w:lang w:eastAsia="zh-CN"/>
        </w:rPr>
      </w:pPr>
      <w:r>
        <w:rPr>
          <w:b/>
          <w:bCs/>
          <w:spacing w:val="4"/>
          <w:lang w:eastAsia="zh-CN"/>
        </w:rPr>
        <w:t>（二）财政拨款收支情况。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2023</w:t>
      </w:r>
      <w:r>
        <w:rPr>
          <w:lang w:eastAsia="zh-CN"/>
        </w:rPr>
        <w:t>年本单位财政拨款收入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万元，其中一般公共预算拨款收入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年本单位财政拨款收入较上年增加</w:t>
      </w:r>
      <w:r>
        <w:rPr>
          <w:rFonts w:hint="eastAsia"/>
          <w:lang w:eastAsia="zh-CN"/>
        </w:rPr>
        <w:t>33.61</w:t>
      </w:r>
      <w:r>
        <w:rPr>
          <w:lang w:eastAsia="zh-CN"/>
        </w:rPr>
        <w:t>万元，主要</w:t>
      </w:r>
      <w:r>
        <w:rPr>
          <w:rFonts w:hint="eastAsia"/>
          <w:lang w:eastAsia="zh-CN"/>
        </w:rPr>
        <w:t>原因是</w:t>
      </w:r>
      <w:r>
        <w:rPr>
          <w:lang w:eastAsia="zh-CN"/>
        </w:rPr>
        <w:t>人员增加；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年本单位财政拨款支出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万元，其中一般公共预算拨款支出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年本单位财政拨款支出较上年增加</w:t>
      </w:r>
      <w:r>
        <w:rPr>
          <w:rFonts w:hint="eastAsia"/>
          <w:lang w:eastAsia="zh-CN"/>
        </w:rPr>
        <w:t>33.61</w:t>
      </w:r>
      <w:r>
        <w:rPr>
          <w:lang w:eastAsia="zh-CN"/>
        </w:rPr>
        <w:t>万元，主要原因是人员增加。</w:t>
      </w:r>
    </w:p>
    <w:p>
      <w:pPr>
        <w:pStyle w:val="4"/>
        <w:spacing w:before="241"/>
        <w:ind w:firstLine="632"/>
        <w:rPr>
          <w:lang w:eastAsia="zh-CN"/>
        </w:rPr>
      </w:pPr>
      <w:r>
        <w:rPr>
          <w:b/>
          <w:bCs/>
          <w:spacing w:val="5"/>
          <w:position w:val="23"/>
          <w:lang w:eastAsia="zh-CN"/>
        </w:rPr>
        <w:t>（三）一般公共预算拨款支出明细情况。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1、一般公共预算当年拨款规模变化情况。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2023</w:t>
      </w:r>
      <w:r>
        <w:rPr>
          <w:lang w:eastAsia="zh-CN"/>
        </w:rPr>
        <w:t>年本单位当年一般公共预算拨款支出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万元，较上年增加</w:t>
      </w:r>
      <w:r>
        <w:rPr>
          <w:rFonts w:hint="eastAsia"/>
          <w:lang w:eastAsia="zh-CN"/>
        </w:rPr>
        <w:t>33.61</w:t>
      </w:r>
      <w:r>
        <w:rPr>
          <w:lang w:eastAsia="zh-CN"/>
        </w:rPr>
        <w:t>万元，主要原因是人员增加，人员经费支出增加。</w:t>
      </w:r>
    </w:p>
    <w:p>
      <w:pPr>
        <w:pStyle w:val="4"/>
        <w:numPr>
          <w:ilvl w:val="0"/>
          <w:numId w:val="1"/>
        </w:numPr>
        <w:ind w:firstLine="620"/>
        <w:rPr>
          <w:lang w:eastAsia="zh-CN"/>
        </w:rPr>
      </w:pPr>
      <w:r>
        <w:rPr>
          <w:lang w:eastAsia="zh-CN"/>
        </w:rPr>
        <w:t>支出按功能科目分类的明细情况。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年当年一般公共预算支出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万元，其中：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（1）社会保障和就业支出（2080505）</w:t>
      </w:r>
      <w:r>
        <w:rPr>
          <w:rFonts w:hint="eastAsia"/>
          <w:lang w:eastAsia="zh-CN"/>
        </w:rPr>
        <w:t>232.57</w:t>
      </w:r>
      <w:r>
        <w:rPr>
          <w:lang w:eastAsia="zh-CN"/>
        </w:rPr>
        <w:t>万元，较上年减少</w:t>
      </w:r>
      <w:r>
        <w:rPr>
          <w:rFonts w:hint="eastAsia"/>
          <w:lang w:eastAsia="zh-CN"/>
        </w:rPr>
        <w:t>91.87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原因是单位经济科目分类较上年发生变动</w:t>
      </w:r>
      <w:r>
        <w:rPr>
          <w:lang w:eastAsia="zh-CN"/>
        </w:rPr>
        <w:t>；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（2）卫生健康支出（2100201）</w:t>
      </w:r>
      <w:r>
        <w:rPr>
          <w:rFonts w:hint="eastAsia"/>
          <w:lang w:eastAsia="zh-CN"/>
        </w:rPr>
        <w:t>460.49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较上年增加125.49万元，原因是单位经济科目分类较上年发生变动</w:t>
      </w:r>
      <w:r>
        <w:rPr>
          <w:lang w:eastAsia="zh-CN"/>
        </w:rPr>
        <w:t>；</w:t>
      </w:r>
    </w:p>
    <w:p>
      <w:pPr>
        <w:pStyle w:val="4"/>
        <w:spacing w:before="242" w:line="226" w:lineRule="auto"/>
        <w:ind w:firstLine="634"/>
        <w:rPr>
          <w:lang w:eastAsia="zh-CN"/>
        </w:rPr>
      </w:pPr>
      <w:r>
        <w:rPr>
          <w:spacing w:val="7"/>
          <w:lang w:eastAsia="zh-CN"/>
        </w:rPr>
        <w:t>3、支出按经济科目分类的明细情况。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（1）按照单位预算支出经济分类的类级科目说明。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2023</w:t>
      </w:r>
      <w:r>
        <w:rPr>
          <w:lang w:eastAsia="zh-CN"/>
        </w:rPr>
        <w:t>年本单位当年一般公共预算支出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</w:t>
      </w:r>
    </w:p>
    <w:p>
      <w:pPr>
        <w:pStyle w:val="4"/>
        <w:ind w:firstLine="0" w:firstLineChars="0"/>
        <w:rPr>
          <w:lang w:eastAsia="zh-CN"/>
        </w:rPr>
      </w:pPr>
      <w:r>
        <w:rPr>
          <w:lang w:eastAsia="zh-CN"/>
        </w:rPr>
        <w:t>中：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工资福利支出（301）</w:t>
      </w:r>
      <w:r>
        <w:rPr>
          <w:rFonts w:hint="eastAsia"/>
          <w:lang w:eastAsia="zh-CN"/>
        </w:rPr>
        <w:t>348.85</w:t>
      </w:r>
      <w:r>
        <w:rPr>
          <w:lang w:eastAsia="zh-CN"/>
        </w:rPr>
        <w:t>万元，较上年增加</w:t>
      </w:r>
      <w:r>
        <w:rPr>
          <w:rFonts w:hint="eastAsia"/>
          <w:lang w:eastAsia="zh-CN"/>
        </w:rPr>
        <w:t>24.41</w:t>
      </w:r>
    </w:p>
    <w:p>
      <w:pPr>
        <w:pStyle w:val="4"/>
        <w:ind w:firstLine="0" w:firstLineChars="0"/>
        <w:rPr>
          <w:lang w:eastAsia="zh-CN"/>
        </w:rPr>
      </w:pPr>
      <w:r>
        <w:rPr>
          <w:lang w:eastAsia="zh-CN"/>
        </w:rPr>
        <w:t>万元，原因是人员增加；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对个人和家庭的补助支出（30</w:t>
      </w:r>
      <w:r>
        <w:rPr>
          <w:rFonts w:hint="eastAsia"/>
          <w:lang w:eastAsia="zh-CN"/>
        </w:rPr>
        <w:t>2</w:t>
      </w:r>
      <w:r>
        <w:rPr>
          <w:lang w:eastAsia="zh-CN"/>
        </w:rPr>
        <w:t>）335万元，较上年无增减</w:t>
      </w:r>
      <w:r>
        <w:rPr>
          <w:rFonts w:hint="eastAsia"/>
          <w:lang w:eastAsia="zh-CN"/>
        </w:rPr>
        <w:t>；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对个人和家庭的补助支出</w:t>
      </w:r>
      <w:r>
        <w:rPr>
          <w:lang w:eastAsia="zh-CN"/>
        </w:rPr>
        <w:t>（30</w:t>
      </w:r>
      <w:r>
        <w:rPr>
          <w:rFonts w:hint="eastAsia"/>
          <w:lang w:eastAsia="zh-CN"/>
        </w:rPr>
        <w:t>3</w:t>
      </w:r>
      <w:r>
        <w:rPr>
          <w:lang w:eastAsia="zh-CN"/>
        </w:rPr>
        <w:t>）</w:t>
      </w:r>
      <w:r>
        <w:rPr>
          <w:rFonts w:hint="eastAsia"/>
          <w:lang w:eastAsia="zh-CN"/>
        </w:rPr>
        <w:t>9.2万元，较上年增加9.2万元，原因是退休人员降温费及取暖补差现由单位负责发放。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（2）按照政府预算支出经济分类的类级科目说明。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2023</w:t>
      </w:r>
      <w:r>
        <w:rPr>
          <w:lang w:eastAsia="zh-CN"/>
        </w:rPr>
        <w:t>年本单位当年一般公共预算支出</w:t>
      </w:r>
      <w:r>
        <w:rPr>
          <w:rFonts w:hint="eastAsia"/>
          <w:lang w:eastAsia="zh-CN"/>
        </w:rPr>
        <w:t>693.06</w:t>
      </w:r>
      <w:r>
        <w:rPr>
          <w:lang w:eastAsia="zh-CN"/>
        </w:rPr>
        <w:t>万元，其</w:t>
      </w:r>
    </w:p>
    <w:p>
      <w:pPr>
        <w:pStyle w:val="4"/>
        <w:ind w:firstLine="0" w:firstLineChars="0"/>
        <w:rPr>
          <w:lang w:eastAsia="zh-CN"/>
        </w:rPr>
      </w:pPr>
      <w:r>
        <w:rPr>
          <w:lang w:eastAsia="zh-CN"/>
        </w:rPr>
        <w:t>中：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工资福利支出</w:t>
      </w:r>
      <w:r>
        <w:rPr>
          <w:lang w:eastAsia="zh-CN"/>
        </w:rPr>
        <w:t>（505）</w:t>
      </w:r>
      <w:r>
        <w:rPr>
          <w:rFonts w:hint="eastAsia"/>
          <w:lang w:eastAsia="zh-CN"/>
        </w:rPr>
        <w:t>683.85</w:t>
      </w:r>
      <w:r>
        <w:rPr>
          <w:lang w:eastAsia="zh-CN"/>
        </w:rPr>
        <w:t>万元，较上年增加</w:t>
      </w:r>
      <w:r>
        <w:rPr>
          <w:rFonts w:hint="eastAsia"/>
          <w:lang w:eastAsia="zh-CN"/>
        </w:rPr>
        <w:t>359.41</w:t>
      </w:r>
      <w:r>
        <w:rPr>
          <w:lang w:eastAsia="zh-CN"/>
        </w:rPr>
        <w:t>万元，原因是</w:t>
      </w:r>
      <w:r>
        <w:rPr>
          <w:rFonts w:hint="eastAsia"/>
          <w:lang w:eastAsia="zh-CN"/>
        </w:rPr>
        <w:t>单位经济科目分类本年发生变动，综合补335万元上年未在工资福利支出（505）科目下列支</w:t>
      </w:r>
      <w:r>
        <w:rPr>
          <w:lang w:eastAsia="zh-CN"/>
        </w:rPr>
        <w:t>；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离退休费</w:t>
      </w:r>
      <w:r>
        <w:rPr>
          <w:lang w:eastAsia="zh-CN"/>
        </w:rPr>
        <w:t>（509）</w:t>
      </w:r>
      <w:r>
        <w:rPr>
          <w:rFonts w:hint="eastAsia"/>
          <w:lang w:eastAsia="zh-CN"/>
        </w:rPr>
        <w:t>9.2</w:t>
      </w:r>
      <w:r>
        <w:rPr>
          <w:lang w:eastAsia="zh-CN"/>
        </w:rPr>
        <w:t>万元，</w:t>
      </w:r>
      <w:r>
        <w:rPr>
          <w:rFonts w:hint="eastAsia"/>
          <w:lang w:eastAsia="zh-CN"/>
        </w:rPr>
        <w:t>较上年增加9.2万元，原因是退休人员降温费及取暖补差现由单位负责发放</w:t>
      </w:r>
      <w:r>
        <w:rPr>
          <w:lang w:eastAsia="zh-CN"/>
        </w:rPr>
        <w:t>；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4、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年结转财政资金一般公共预算拨款支出情况。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年结转的一般公共预算拨款资金支出。</w:t>
      </w:r>
    </w:p>
    <w:p>
      <w:pPr>
        <w:pStyle w:val="4"/>
        <w:spacing w:before="162"/>
        <w:ind w:firstLine="632"/>
        <w:rPr>
          <w:lang w:eastAsia="zh-CN"/>
        </w:rPr>
      </w:pPr>
      <w:r>
        <w:rPr>
          <w:b/>
          <w:bCs/>
          <w:spacing w:val="5"/>
          <w:position w:val="23"/>
          <w:lang w:eastAsia="zh-CN"/>
        </w:rPr>
        <w:t>（四）政府性基金预算支出情况。</w:t>
      </w:r>
    </w:p>
    <w:p>
      <w:pPr>
        <w:pStyle w:val="4"/>
        <w:spacing w:before="1" w:line="225" w:lineRule="auto"/>
        <w:ind w:firstLine="630"/>
        <w:rPr>
          <w:lang w:eastAsia="zh-CN"/>
        </w:rPr>
      </w:pPr>
      <w:r>
        <w:rPr>
          <w:b/>
          <w:bCs/>
          <w:spacing w:val="4"/>
          <w:lang w:eastAsia="zh-CN"/>
        </w:rPr>
        <w:t>1、当年政府性基金预算支出情况。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本单位无当年政府性基金预算收支，并已公开空表。</w:t>
      </w:r>
    </w:p>
    <w:p>
      <w:pPr>
        <w:pStyle w:val="4"/>
        <w:spacing w:before="245" w:line="224" w:lineRule="auto"/>
        <w:ind w:firstLine="632"/>
        <w:outlineLvl w:val="0"/>
        <w:rPr>
          <w:lang w:eastAsia="zh-CN"/>
        </w:rPr>
      </w:pPr>
      <w:r>
        <w:rPr>
          <w:b/>
          <w:bCs/>
          <w:spacing w:val="5"/>
          <w:lang w:eastAsia="zh-CN"/>
        </w:rPr>
        <w:t>2、上年结转政府性基金预算支出情况。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年结转的政府性基金预算拨款支出，并</w:t>
      </w:r>
    </w:p>
    <w:p>
      <w:pPr>
        <w:pStyle w:val="4"/>
        <w:ind w:firstLine="0" w:firstLineChars="0"/>
        <w:rPr>
          <w:lang w:eastAsia="zh-CN"/>
        </w:rPr>
      </w:pPr>
      <w:r>
        <w:rPr>
          <w:lang w:eastAsia="zh-CN"/>
        </w:rPr>
        <w:t>已公开空表。</w:t>
      </w:r>
    </w:p>
    <w:p>
      <w:pPr>
        <w:pStyle w:val="4"/>
        <w:spacing w:before="242" w:line="227" w:lineRule="auto"/>
        <w:ind w:firstLine="624"/>
        <w:rPr>
          <w:lang w:eastAsia="zh-CN"/>
        </w:rPr>
      </w:pPr>
      <w:r>
        <w:rPr>
          <w:b/>
          <w:bCs/>
          <w:spacing w:val="1"/>
          <w:lang w:eastAsia="zh-CN"/>
        </w:rPr>
        <w:t>（五）国有资本经营预算拨款收支情况。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本单位无当年国有资本经营预算拨款收支，并在财政拨款收支总体情况表中列示。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年结转的国有资本经营预算拨款支出。</w:t>
      </w:r>
    </w:p>
    <w:p>
      <w:pPr>
        <w:pStyle w:val="4"/>
        <w:spacing w:before="247" w:line="227" w:lineRule="auto"/>
        <w:ind w:left="2753" w:firstLine="624"/>
        <w:rPr>
          <w:lang w:eastAsia="zh-CN"/>
        </w:rPr>
      </w:pPr>
      <w:r>
        <w:rPr>
          <w:b/>
          <w:bCs/>
          <w:spacing w:val="1"/>
          <w:lang w:eastAsia="zh-CN"/>
        </w:rPr>
        <w:t>第三部分其他说明情况</w:t>
      </w:r>
    </w:p>
    <w:p>
      <w:pPr>
        <w:pStyle w:val="4"/>
        <w:spacing w:before="243" w:line="227" w:lineRule="auto"/>
        <w:ind w:firstLine="958" w:firstLineChars="300"/>
        <w:rPr>
          <w:lang w:eastAsia="zh-CN"/>
        </w:rPr>
      </w:pPr>
      <w:r>
        <w:rPr>
          <w:rFonts w:hint="eastAsia"/>
          <w:b/>
          <w:bCs/>
          <w:spacing w:val="4"/>
          <w:lang w:eastAsia="zh-CN"/>
        </w:rPr>
        <w:t>五、</w:t>
      </w:r>
      <w:r>
        <w:rPr>
          <w:b/>
          <w:bCs/>
          <w:spacing w:val="4"/>
          <w:lang w:eastAsia="zh-CN"/>
        </w:rPr>
        <w:t>单位预算“三公”经费等预算情况说明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(1）本单位2023年一般公共预算未安排“三公”经费、会议费、培训费支出预算，并已公开空表。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(2）本单位无2022年结转的财政拨款</w:t>
      </w:r>
      <w:r>
        <w:rPr>
          <w:lang w:eastAsia="zh-CN"/>
        </w:rPr>
        <w:t>‘三公’经费</w:t>
      </w:r>
      <w:r>
        <w:rPr>
          <w:rFonts w:hint="eastAsia"/>
          <w:lang w:eastAsia="zh-CN"/>
        </w:rPr>
        <w:t>和会议费、培训费支出。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年结转的财政拨款‘三公’经费和会议费、培训费支出</w:t>
      </w:r>
      <w:r>
        <w:rPr>
          <w:rFonts w:hint="eastAsia"/>
          <w:lang w:eastAsia="zh-CN"/>
        </w:rPr>
        <w:t>。</w:t>
      </w:r>
    </w:p>
    <w:p>
      <w:pPr>
        <w:pStyle w:val="4"/>
        <w:spacing w:before="240" w:line="227" w:lineRule="auto"/>
        <w:ind w:firstLine="970" w:firstLineChars="300"/>
        <w:outlineLvl w:val="0"/>
        <w:rPr>
          <w:lang w:eastAsia="zh-CN"/>
        </w:rPr>
      </w:pPr>
      <w:r>
        <w:rPr>
          <w:rFonts w:hint="eastAsia"/>
          <w:b/>
          <w:bCs/>
          <w:spacing w:val="6"/>
          <w:lang w:eastAsia="zh-CN"/>
        </w:rPr>
        <w:t>六、</w:t>
      </w:r>
      <w:r>
        <w:rPr>
          <w:b/>
          <w:bCs/>
          <w:spacing w:val="6"/>
          <w:lang w:eastAsia="zh-CN"/>
        </w:rPr>
        <w:t>单位国有资产占有使用及资产购置情况说明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截止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年底，本单位所属预算单位共有车辆9辆，单价20万元以上的设备73台（套）。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年当年单位预算安排购置车辆0辆；安排购置单价20万元以上的设备0台（套）。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年结转的财政拨款支出资产购置。</w:t>
      </w:r>
    </w:p>
    <w:p>
      <w:pPr>
        <w:pStyle w:val="4"/>
        <w:spacing w:line="227" w:lineRule="auto"/>
        <w:ind w:firstLine="970" w:firstLineChars="300"/>
        <w:rPr>
          <w:lang w:eastAsia="zh-CN"/>
        </w:rPr>
      </w:pPr>
      <w:r>
        <w:rPr>
          <w:rFonts w:hint="eastAsia"/>
          <w:b/>
          <w:bCs/>
          <w:spacing w:val="6"/>
          <w:lang w:eastAsia="zh-CN"/>
        </w:rPr>
        <w:t>七、</w:t>
      </w:r>
      <w:r>
        <w:rPr>
          <w:b/>
          <w:bCs/>
          <w:spacing w:val="6"/>
          <w:lang w:eastAsia="zh-CN"/>
        </w:rPr>
        <w:t>单位政府采购情况说明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</w:t>
      </w:r>
      <w:r>
        <w:rPr>
          <w:rFonts w:hint="eastAsia"/>
          <w:lang w:eastAsia="zh-CN"/>
        </w:rPr>
        <w:t>2023</w:t>
      </w:r>
      <w:r>
        <w:rPr>
          <w:lang w:eastAsia="zh-CN"/>
        </w:rPr>
        <w:t>年无政府采购预算，并已公开空表。</w:t>
      </w:r>
    </w:p>
    <w:p>
      <w:pPr>
        <w:pStyle w:val="4"/>
        <w:ind w:firstLine="620"/>
        <w:rPr>
          <w:lang w:eastAsia="zh-CN"/>
        </w:rPr>
      </w:pPr>
      <w:r>
        <w:rPr>
          <w:lang w:eastAsia="zh-CN"/>
        </w:rPr>
        <w:t>本单位无</w:t>
      </w:r>
      <w:r>
        <w:rPr>
          <w:rFonts w:hint="eastAsia"/>
          <w:lang w:eastAsia="zh-CN"/>
        </w:rPr>
        <w:t>2022</w:t>
      </w:r>
      <w:r>
        <w:rPr>
          <w:lang w:eastAsia="zh-CN"/>
        </w:rPr>
        <w:t>年结转的政府采购资金支出。</w:t>
      </w:r>
    </w:p>
    <w:p>
      <w:pPr>
        <w:pStyle w:val="4"/>
        <w:spacing w:before="248" w:line="227" w:lineRule="auto"/>
        <w:ind w:firstLine="964" w:firstLineChars="300"/>
        <w:outlineLvl w:val="0"/>
        <w:rPr>
          <w:lang w:eastAsia="zh-CN"/>
        </w:rPr>
      </w:pPr>
      <w:r>
        <w:rPr>
          <w:rFonts w:hint="eastAsia"/>
          <w:b/>
          <w:bCs/>
          <w:spacing w:val="5"/>
          <w:lang w:eastAsia="zh-CN"/>
        </w:rPr>
        <w:t>八、</w:t>
      </w:r>
      <w:r>
        <w:rPr>
          <w:b/>
          <w:bCs/>
          <w:spacing w:val="5"/>
          <w:lang w:eastAsia="zh-CN"/>
        </w:rPr>
        <w:t>单位预算绩效目标说明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2023年本单位绩效目标管理全覆盖，涉及当年一般公共预算拨款693.06万元，当年政府性基金预算拨款0万元，当年国有资本经营预算拨款0万元（详见公开报表中的绩效目标表）。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本单位无2022年结转的财政拨款支出涉及的绩效目标管理。</w:t>
      </w:r>
    </w:p>
    <w:p>
      <w:pPr>
        <w:spacing w:line="229" w:lineRule="auto"/>
        <w:ind w:firstLine="964" w:firstLineChars="300"/>
        <w:rPr>
          <w:lang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eastAsia="zh-CN"/>
        </w:rPr>
        <w:t>九、机关运行经费安排说明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本单位当年无机关运行经费预算安排。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本单位无2022年结转的财政拨款机关运行经费支出。</w:t>
      </w:r>
    </w:p>
    <w:p>
      <w:pPr>
        <w:spacing w:line="229" w:lineRule="auto"/>
        <w:ind w:firstLine="964" w:firstLineChars="300"/>
        <w:rPr>
          <w:lang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eastAsia="zh-CN"/>
        </w:rPr>
        <w:t>十、专业名词解释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4"/>
        <w:ind w:firstLine="620"/>
        <w:rPr>
          <w:lang w:eastAsia="zh-CN"/>
        </w:rPr>
      </w:pPr>
      <w:r>
        <w:rPr>
          <w:rFonts w:hint="eastAsia"/>
          <w:lang w:eastAsia="zh-CN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4"/>
        <w:spacing w:before="247" w:line="227" w:lineRule="auto"/>
        <w:ind w:left="2753" w:firstLine="624"/>
        <w:rPr>
          <w:b/>
          <w:bCs/>
          <w:spacing w:val="1"/>
          <w:lang w:eastAsia="zh-CN"/>
        </w:rPr>
      </w:pPr>
      <w:r>
        <w:rPr>
          <w:rFonts w:hint="eastAsia"/>
          <w:b/>
          <w:bCs/>
          <w:spacing w:val="1"/>
          <w:lang w:eastAsia="zh-CN"/>
        </w:rPr>
        <w:t>第四部分公开报表</w:t>
      </w:r>
    </w:p>
    <w:p>
      <w:pPr>
        <w:pStyle w:val="4"/>
        <w:spacing w:before="241" w:line="372" w:lineRule="auto"/>
        <w:ind w:left="37" w:right="16" w:firstLine="628"/>
        <w:rPr>
          <w:lang w:eastAsia="zh-CN"/>
        </w:rPr>
      </w:pPr>
      <w:r>
        <w:rPr>
          <w:rFonts w:hint="eastAsia"/>
          <w:spacing w:val="4"/>
          <w:lang w:eastAsia="zh-CN"/>
        </w:rPr>
        <w:t>（详见附</w:t>
      </w:r>
      <w:r>
        <w:rPr>
          <w:rFonts w:hint="eastAsia"/>
          <w:lang w:eastAsia="zh-CN"/>
        </w:rPr>
        <w:t>表）</w:t>
      </w:r>
    </w:p>
    <w:p>
      <w:pPr>
        <w:pStyle w:val="4"/>
        <w:wordWrap w:val="0"/>
        <w:spacing w:before="241" w:line="372" w:lineRule="auto"/>
        <w:ind w:left="37" w:right="16" w:firstLine="6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紫阳县人民医院</w:t>
      </w:r>
    </w:p>
    <w:p>
      <w:pPr>
        <w:pStyle w:val="4"/>
        <w:wordWrap w:val="0"/>
        <w:spacing w:before="241" w:line="372" w:lineRule="auto"/>
        <w:ind w:left="37" w:right="16" w:firstLine="620"/>
        <w:jc w:val="right"/>
      </w:pPr>
      <w:r>
        <w:rPr>
          <w:rFonts w:hint="eastAsia"/>
          <w:lang w:eastAsia="zh-CN"/>
        </w:rPr>
        <w:t>2023年3月21日</w:t>
      </w:r>
    </w:p>
    <w:sectPr>
      <w:headerReference r:id="rId3" w:type="default"/>
      <w:footerReference r:id="rId4" w:type="default"/>
      <w:pgSz w:w="11905" w:h="16837"/>
      <w:pgMar w:top="2525" w:right="400" w:bottom="1077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CD428"/>
    <w:multiLevelType w:val="singleLevel"/>
    <w:tmpl w:val="285CD4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Y5ZjU1ODlkZTJkZjZjN2Y3OGYzOGQwZjIwYjkwNjQifQ=="/>
  </w:docVars>
  <w:rsids>
    <w:rsidRoot w:val="003A6660"/>
    <w:rsid w:val="00151AB7"/>
    <w:rsid w:val="003A6660"/>
    <w:rsid w:val="014001AC"/>
    <w:rsid w:val="03194D85"/>
    <w:rsid w:val="050A25DD"/>
    <w:rsid w:val="085F1CDB"/>
    <w:rsid w:val="119625C2"/>
    <w:rsid w:val="15204484"/>
    <w:rsid w:val="195D3ED7"/>
    <w:rsid w:val="1A4E78BE"/>
    <w:rsid w:val="1C7D1E5D"/>
    <w:rsid w:val="1EF448CE"/>
    <w:rsid w:val="256C0CC0"/>
    <w:rsid w:val="25BA3691"/>
    <w:rsid w:val="27F82CDF"/>
    <w:rsid w:val="3B3A5D6E"/>
    <w:rsid w:val="3C1A1A1E"/>
    <w:rsid w:val="446F18EF"/>
    <w:rsid w:val="447039A1"/>
    <w:rsid w:val="4F512B51"/>
    <w:rsid w:val="51DA5E5F"/>
    <w:rsid w:val="53FE5F4B"/>
    <w:rsid w:val="5D6A1E31"/>
    <w:rsid w:val="64A20E0B"/>
    <w:rsid w:val="66AC7689"/>
    <w:rsid w:val="731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spacing w:line="240" w:lineRule="atLeast"/>
      <w:jc w:val="center"/>
    </w:pPr>
    <w:rPr>
      <w:rFonts w:eastAsia="黑体"/>
      <w:sz w:val="52"/>
      <w:szCs w:val="22"/>
    </w:rPr>
  </w:style>
  <w:style w:type="paragraph" w:customStyle="1" w:styleId="3">
    <w:name w:val="UserStyle_11"/>
    <w:basedOn w:val="1"/>
    <w:next w:val="1"/>
    <w:qFormat/>
    <w:uiPriority w:val="99"/>
    <w:pPr>
      <w:spacing w:after="120"/>
      <w:ind w:left="420" w:leftChars="200"/>
    </w:pPr>
    <w:rPr>
      <w:szCs w:val="22"/>
    </w:rPr>
  </w:style>
  <w:style w:type="paragraph" w:styleId="4">
    <w:name w:val="Body Text"/>
    <w:basedOn w:val="1"/>
    <w:qFormat/>
    <w:uiPriority w:val="0"/>
    <w:pPr>
      <w:spacing w:line="624" w:lineRule="exact"/>
      <w:ind w:firstLine="420" w:firstLineChars="200"/>
    </w:pPr>
    <w:rPr>
      <w:rFonts w:ascii="仿宋" w:hAnsi="仿宋" w:eastAsia="仿宋" w:cs="仿宋"/>
      <w:sz w:val="31"/>
      <w:szCs w:val="31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</w:rPr>
  </w:style>
  <w:style w:type="character" w:customStyle="1" w:styleId="12">
    <w:name w:val="页眉 字符"/>
    <w:basedOn w:val="8"/>
    <w:link w:val="6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8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5628</Words>
  <Characters>5925</Characters>
  <Lines>43</Lines>
  <Paragraphs>12</Paragraphs>
  <TotalTime>0</TotalTime>
  <ScaleCrop>false</ScaleCrop>
  <LinksUpToDate>false</LinksUpToDate>
  <CharactersWithSpaces>5943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2022-04-24T16:50:00Z</dcterms:created>
  <dc:creator>郭超(拟稿)</dc:creator>
  <cp:lastModifiedBy>2148540017</cp:lastModifiedBy>
  <cp:lastPrinted>2023-03-21T07:36:00Z</cp:lastPrinted>
  <dcterms:modified xsi:type="dcterms:W3CDTF">2023-04-26T08:38:55Z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2023-03-16T10:50:43Z</vt:filetime>
  </property>
  <property fmtid="{D5CDD505-2E9C-101B-9397-08002B2CF9AE}" pid="4" name="UsrData">
    <vt:lpwstr>641283f112a1150015c1378f</vt:lpwstr>
  </property>
  <property fmtid="{D5CDD505-2E9C-101B-9397-08002B2CF9AE}" pid="5" name="KSOProductBuildVer">
    <vt:lpwstr>2052-11.1.0.14036</vt:lpwstr>
  </property>
  <property fmtid="{D5CDD505-2E9C-101B-9397-08002B2CF9AE}" pid="6" name="ICV">
    <vt:lpwstr>FD3BB8DA2C6448E691637297C017AEEA</vt:lpwstr>
  </property>
</Properties>
</file>