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阳县</w:t>
      </w:r>
      <w:r>
        <w:rPr>
          <w:rFonts w:hint="eastAsia" w:ascii="黑体" w:hAnsi="黑体" w:eastAsia="黑体" w:cs="黑体"/>
          <w:sz w:val="32"/>
          <w:szCs w:val="32"/>
        </w:rPr>
        <w:t>疾病预防控制中心</w:t>
      </w:r>
      <w:bookmarkEnd w:id="0"/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643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1、</w:t>
      </w:r>
      <w:r>
        <w:rPr>
          <w:rFonts w:hint="eastAsia" w:ascii="宋体" w:hAnsi="宋体" w:cs="宋体"/>
          <w:color w:val="333333"/>
          <w:sz w:val="32"/>
          <w:szCs w:val="32"/>
        </w:rPr>
        <w:t>完成上级下达的疾病预防控制任务，负责辖区内疾病预防控制具体工作的管理和落实。</w:t>
      </w:r>
    </w:p>
    <w:p>
      <w:pPr>
        <w:spacing w:line="360" w:lineRule="auto"/>
        <w:ind w:firstLine="960" w:firstLineChars="3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2、</w:t>
      </w:r>
      <w:r>
        <w:rPr>
          <w:rFonts w:hint="eastAsia" w:ascii="宋体" w:hAnsi="宋体" w:cs="宋体"/>
          <w:color w:val="333333"/>
          <w:sz w:val="32"/>
          <w:szCs w:val="32"/>
        </w:rPr>
        <w:t>负责辖区内疫苗使用管理，组织实施免疫、消毒。</w:t>
      </w:r>
    </w:p>
    <w:p>
      <w:pPr>
        <w:spacing w:line="360" w:lineRule="auto"/>
        <w:ind w:firstLine="960" w:firstLineChars="300"/>
        <w:rPr>
          <w:rFonts w:ascii="宋体" w:hAnsi="宋体" w:cs="宋体"/>
          <w:color w:val="333333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3、</w:t>
      </w:r>
      <w:r>
        <w:rPr>
          <w:rFonts w:hint="eastAsia" w:ascii="宋体" w:hAnsi="宋体" w:cs="宋体"/>
          <w:color w:val="333333"/>
          <w:sz w:val="32"/>
          <w:szCs w:val="32"/>
        </w:rPr>
        <w:t>负责辖区内突发公共卫生事件的监测调查与信息收集、报告，落实具体控制措施。</w:t>
      </w:r>
    </w:p>
    <w:p>
      <w:pPr>
        <w:spacing w:line="360" w:lineRule="auto"/>
        <w:ind w:firstLine="960" w:firstLineChars="300"/>
        <w:rPr>
          <w:rFonts w:ascii="宋体" w:hAnsi="宋体" w:cs="宋体"/>
          <w:color w:val="333333"/>
          <w:sz w:val="32"/>
          <w:szCs w:val="32"/>
        </w:rPr>
      </w:pPr>
      <w:r>
        <w:rPr>
          <w:rFonts w:hint="eastAsia" w:ascii="宋体" w:hAnsi="宋体" w:cs="宋体"/>
          <w:color w:val="333333"/>
          <w:sz w:val="32"/>
          <w:szCs w:val="32"/>
        </w:rPr>
        <w:t>4、开展病原微生物常规检验和常见污染物的检验。承担卫生行政单位委托的与卫生监督执法相关的检验检测任务。</w:t>
      </w:r>
    </w:p>
    <w:p>
      <w:pPr>
        <w:spacing w:line="360" w:lineRule="auto"/>
        <w:ind w:firstLine="960" w:firstLineChars="300"/>
        <w:rPr>
          <w:rFonts w:ascii="宋体" w:hAnsi="宋体" w:cs="宋体"/>
          <w:color w:val="333333"/>
          <w:sz w:val="32"/>
          <w:szCs w:val="32"/>
        </w:rPr>
      </w:pPr>
      <w:r>
        <w:rPr>
          <w:rFonts w:hint="eastAsia" w:ascii="宋体" w:hAnsi="宋体" w:cs="宋体"/>
          <w:color w:val="333333"/>
          <w:sz w:val="32"/>
          <w:szCs w:val="32"/>
        </w:rPr>
        <w:t>5、指导辖区内医疗卫生机构、城市社区卫生组织和农村乡</w:t>
      </w:r>
      <w:r>
        <w:rPr>
          <w:rFonts w:hint="eastAsia" w:ascii="宋体" w:hAnsi="宋体" w:cs="宋体"/>
          <w:color w:val="333333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color w:val="333333"/>
          <w:sz w:val="32"/>
          <w:szCs w:val="32"/>
        </w:rPr>
        <w:t>镇</w:t>
      </w:r>
      <w:r>
        <w:rPr>
          <w:rFonts w:hint="eastAsia" w:ascii="宋体" w:hAnsi="宋体" w:cs="宋体"/>
          <w:color w:val="333333"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color w:val="333333"/>
          <w:sz w:val="32"/>
          <w:szCs w:val="32"/>
        </w:rPr>
        <w:t>卫生院开展卫生防病工作，负责考核和评价，对从事疾病预防控制相关工作的人员进行培训。</w:t>
      </w:r>
    </w:p>
    <w:p>
      <w:pPr>
        <w:spacing w:line="360" w:lineRule="auto"/>
        <w:ind w:firstLine="960" w:firstLineChars="300"/>
        <w:rPr>
          <w:rFonts w:ascii="宋体" w:hAnsi="宋体" w:cs="宋体"/>
          <w:color w:val="333333"/>
          <w:sz w:val="32"/>
          <w:szCs w:val="32"/>
        </w:rPr>
      </w:pPr>
      <w:r>
        <w:rPr>
          <w:rFonts w:hint="eastAsia" w:ascii="宋体" w:hAnsi="宋体" w:cs="宋体"/>
          <w:color w:val="333333"/>
          <w:sz w:val="32"/>
          <w:szCs w:val="32"/>
        </w:rPr>
        <w:t>6、负责疫情和公共卫生健康危害因素监测、报告，指导乡、村和有关单位收集、报告疫情。</w:t>
      </w:r>
    </w:p>
    <w:p>
      <w:pPr>
        <w:spacing w:line="600" w:lineRule="exact"/>
        <w:ind w:firstLine="64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color w:val="333333"/>
          <w:sz w:val="32"/>
          <w:szCs w:val="32"/>
        </w:rPr>
        <w:t>7、开展卫生宣传教育与健康促进活动，普及卫生防病知识。</w:t>
      </w:r>
    </w:p>
    <w:p>
      <w:pPr>
        <w:spacing w:line="360" w:lineRule="auto"/>
        <w:ind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（二）机构设置</w:t>
      </w:r>
    </w:p>
    <w:p>
      <w:pPr>
        <w:spacing w:line="600" w:lineRule="exact"/>
        <w:ind w:firstLine="640"/>
        <w:jc w:val="left"/>
        <w:rPr>
          <w:rFonts w:ascii="宋体" w:hAnsi="宋体" w:cs="宋体"/>
          <w:color w:val="333333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本单位现设有</w:t>
      </w:r>
      <w:r>
        <w:rPr>
          <w:rFonts w:hint="eastAsia" w:ascii="宋体" w:hAnsi="宋体" w:cs="宋体"/>
          <w:color w:val="333333"/>
          <w:sz w:val="32"/>
          <w:szCs w:val="32"/>
        </w:rPr>
        <w:t>7个科室，免疫规划科、结核科、流病科、检验科、办公室、健教科、慢病科。</w:t>
      </w:r>
    </w:p>
    <w:p>
      <w:pPr>
        <w:spacing w:line="360" w:lineRule="auto"/>
        <w:ind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二、2023年度单位工作任务</w:t>
      </w:r>
    </w:p>
    <w:p>
      <w:pPr>
        <w:spacing w:line="560" w:lineRule="exact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（一）切实做好重点传染病防控工作</w:t>
      </w:r>
    </w:p>
    <w:p>
      <w:pPr>
        <w:spacing w:line="560" w:lineRule="exact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坚决贯彻预防为主的卫生与健康工作方针，推动公共卫生服务与医疗服务高效协同、无缝衔接，健全防治结合、联防联控、群防群治工作机制。</w:t>
      </w:r>
    </w:p>
    <w:p>
      <w:pPr>
        <w:pStyle w:val="2"/>
        <w:ind w:firstLine="64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1、深入贯彻落实中、省、市疫情防控决策部署，进一步拓展监测渠道，做好疫情防控新阶段新冠病毒感染监测工作，严格落实“乙类乙管”常态化防控各项措施。</w:t>
      </w:r>
    </w:p>
    <w:p>
      <w:pPr>
        <w:spacing w:line="560" w:lineRule="exact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、充分发挥艾滋病咨询检测网络的作用，扩大检测覆盖面，最大限度地发现HIV感染者。协调发挥各级医疗机构的作用，提高HIV检测率、抗病毒治疗覆盖率和治疗成功率。落实艾滋病综合干预措施，积极推广使用安全套，对重点高危人群进行干预检测，对HIV暴露后人群及时动员进行药物阻断。加强与艾滋病定点治疗医院、性病诊疗医院的协调和技术指导，确保病例报告及规范化诊疗工作有效运行。做好预防艾滋病宣传教育工作，提高各类人群艾滋病防治知识知晓率。</w:t>
      </w:r>
    </w:p>
    <w:p>
      <w:pPr>
        <w:spacing w:line="560" w:lineRule="exact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3、夯实基层结核病患者家庭签约服务，做到转诊、追踪、治疗管理等工作无缝衔接。采取综合措施，提高全县结核病防治水平，降低发病率。加强与医疗机构协作，确保“防、治、管、保”措施落实到位，提高总体到位率、病原学诊断率、耐药检测率、治疗成功率。加强学校结核病防治工作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color w:val="000000"/>
          <w:sz w:val="32"/>
          <w:szCs w:val="32"/>
        </w:rPr>
        <w:t>指导新生和教职员工开展健康体检。</w:t>
      </w:r>
    </w:p>
    <w:p>
      <w:pPr>
        <w:spacing w:line="560" w:lineRule="exact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4、高度重视不明原因肺炎、肠道传染病监测工作。做好呼吸道传染病防控，开展人感染高致病性禽流感职业暴露人群、哨点医院流感监测工作。加强以霍乱为重点的肠道传染病防控工作，在哨点医院开展肠道传染病监测工作。</w:t>
      </w:r>
    </w:p>
    <w:p>
      <w:pPr>
        <w:spacing w:line="560" w:lineRule="exact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5、做好狂犬病疫情监测。规范犬伤门诊建设，保证犬伤患者伤口规范处理，疫苗、免疫蛋白及时接种；做好狂犬病每月犬伤报表的收集、一犬伤多人的报告和处置工作。</w:t>
      </w:r>
    </w:p>
    <w:p>
      <w:pPr>
        <w:spacing w:line="560" w:lineRule="exact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6、采取综合措施，切实做好以学校、幼儿园为重点人群的流行性感冒、手足口病、水痘等防控工作。做好布鲁氏菌病病例调查和处置工作，加强与动物疫病防治机构联系。开展麻风病症状监测，及时发现新（复）发麻风病例。做好疟疾病例监测工作。</w:t>
      </w:r>
    </w:p>
    <w:p>
      <w:pPr>
        <w:spacing w:line="560" w:lineRule="exact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7、开展病媒生物防制工作。做好中心城区病媒生物密度监测、效果评价、防制技术培训。</w:t>
      </w:r>
    </w:p>
    <w:p>
      <w:pPr>
        <w:spacing w:line="560" w:lineRule="exact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（二）扎实做好免疫规划工作</w:t>
      </w:r>
    </w:p>
    <w:p>
      <w:pPr>
        <w:spacing w:line="560" w:lineRule="exact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加强常规免疫管理，按月实施冷链运转，以镇为单位国家免疫规划疫苗接种率达95％以上。加强免疫规划针对疾病综合防控工作，落实重点传染病专病专防策略。扎实开展春季、秋季儿童入托、入学查验预防接种证工作。继续加强预防接种信息化建设工作，提高疫苗追溯和冷链监测管理系统运行质量。持续加强各类预防接种门诊规范化建设，扩大预防接种示范门诊覆盖面。规范开展疑似预防接种异常反应调查诊断，及时应对协助处置疫苗相关信访投诉和负面舆情。</w:t>
      </w:r>
    </w:p>
    <w:p>
      <w:pPr>
        <w:spacing w:line="560" w:lineRule="exact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（三）加强突发公共卫生事件应急处置工作</w:t>
      </w:r>
    </w:p>
    <w:p>
      <w:pPr>
        <w:spacing w:line="560" w:lineRule="exact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进一步加强应急队伍建设，重视应急知识培训，做好应急处置工作。突发公共卫生事件及时报告率、及时处置率均达100％，无因防控不力而导致的传染病疫情暴发和扩散。实行突发公共卫生事件每月风险评估。定期清点、补充应急物资，做好应急物资日常管理工作。加强节假日应急值守，按法定程序和县委县政府有关规定上报突发事件，严禁迟报、瞒报、漏报现象发生。</w:t>
      </w:r>
    </w:p>
    <w:p>
      <w:pPr>
        <w:spacing w:line="560" w:lineRule="exact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（四）认真做好地方病慢性病综合防治</w:t>
      </w:r>
    </w:p>
    <w:p>
      <w:pPr>
        <w:spacing w:line="560" w:lineRule="exact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做好地方病患者诊断治疗、健康管理和签约服务；开展碘缺乏病、燃煤污染型氟（砷）中毒、饮水型氟中毒、大骨节病监测评价。组织实施重大公共卫生慢性病防治项目，推进全民健康生活方式行动；做好慢性病患者健康管理工作，积极推动慢性病患者自我管理；开展肿瘤登记、心脑血管事件报告工作，提高肿瘤和心脑血管事件报告数量和质量，加强全人群死因监测工作。</w:t>
      </w:r>
    </w:p>
    <w:p>
      <w:pPr>
        <w:spacing w:line="560" w:lineRule="exact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（五）加强卫生监测检验和五大卫生工作</w:t>
      </w:r>
    </w:p>
    <w:p>
      <w:pPr>
        <w:spacing w:line="560" w:lineRule="exact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完成食品安全风险监测、城乡饮用水监测、学生营养及常见病监测、食源性疾病监测、环境卫生监测等工作任务。开展重点职业病监测及职业健康风险评估工作；完成工作场所职业病危害因素监测任务；开展尘肺病随访与回顾性调查工作。</w:t>
      </w:r>
    </w:p>
    <w:p>
      <w:pPr>
        <w:spacing w:line="560" w:lineRule="exact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（六）大力开展健康教育与健康促进</w:t>
      </w:r>
    </w:p>
    <w:p>
      <w:pPr>
        <w:spacing w:line="560" w:lineRule="exact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积极推进健康教育“六进”，开展健康科普活动，增强城乡居民健康意识，提高健康素养水平。利用多种形式，广泛开展新冠疫情防控和重点传染病防控知识的宣传；做好基本公共卫生服务健康教育项目工作；完成健康素养和烟草流行监测工作。</w:t>
      </w:r>
    </w:p>
    <w:p>
      <w:pPr>
        <w:spacing w:line="560" w:lineRule="exact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（七）加强疾控能力建设</w:t>
      </w:r>
    </w:p>
    <w:p>
      <w:pPr>
        <w:spacing w:line="560" w:lineRule="exact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优化人员结构，补强卫生检验、流行病学调查工作人员。加强日常业务培训，提高监测预警、风险评估、现场流调、检验检测、应急处置能力。综合运用信息化等手段，加强演练“备战”。促进医防协同监测机制形成，充分发挥哨点的作用，做到早发现、早报告、早处置。</w:t>
      </w:r>
    </w:p>
    <w:p>
      <w:pPr>
        <w:spacing w:line="560" w:lineRule="exact"/>
        <w:ind w:firstLine="640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（八）全面做好巩固拓展脱贫攻坚成果同乡村振兴有效衔接</w:t>
      </w:r>
    </w:p>
    <w:p>
      <w:pPr>
        <w:spacing w:line="560" w:lineRule="exact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为持续巩固脱贫成果，全面推进乡村振兴。严格落实“四个不摘”的要求，持续强化政治担当和责任落实，保证帮扶目标不变、帮扶力度不减，扎实开展单位包联各项工作，巩固提升群众的知晓率和满意度。</w:t>
      </w:r>
    </w:p>
    <w:p>
      <w:pPr>
        <w:spacing w:line="560" w:lineRule="exact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（九）坚守底线红线，加强风险防范</w:t>
      </w:r>
    </w:p>
    <w:p>
      <w:pPr>
        <w:spacing w:line="560" w:lineRule="exact"/>
        <w:ind w:firstLine="64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z w:val="32"/>
          <w:szCs w:val="32"/>
        </w:rPr>
        <w:t>牢固树立“四个意识”，坚定“四个自信”，做到“两个维护”，以坚定牢靠的政治品格、真抓实干的工作作风，全力推进疾控工作全面规范开展，加大档案、信息等保密管理，严防泄密事件发生。坚决守住生物、黑恶、生产、疫苗、网络等安全防线。聚焦疫情防控、突发事件、安全生产等领域网络舆情监测应对和有效处置工作。</w:t>
      </w:r>
    </w:p>
    <w:p>
      <w:pPr>
        <w:spacing w:line="360" w:lineRule="auto"/>
        <w:ind w:firstLine="964" w:firstLineChars="3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截止2022年底，本单位人员编制27人，其中行政编制0人、事业编制27人；实有人员25人，其中行政0人、事业25人。单位管理的离退休人员26人。</w:t>
      </w:r>
    </w:p>
    <w:p>
      <w:pPr>
        <w:pStyle w:val="2"/>
        <w:ind w:firstLine="10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505325" cy="2743200"/>
            <wp:effectExtent l="4445" t="4445" r="5080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60" w:lineRule="auto"/>
        <w:ind w:firstLine="48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</w:rPr>
        <w:t xml:space="preserve">     </w:t>
      </w:r>
      <w:r>
        <w:rPr>
          <w:rFonts w:hint="eastAsia" w:ascii="宋体" w:hAnsi="宋体" w:cs="宋体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按照综合预算的原则，本单位所有收入和支出均纳入</w:t>
      </w:r>
      <w:r>
        <w:rPr>
          <w:rFonts w:hint="eastAsia" w:ascii="宋体" w:hAnsi="宋体" w:cs="宋体"/>
          <w:sz w:val="32"/>
          <w:szCs w:val="32"/>
          <w:lang w:eastAsia="zh-CN"/>
        </w:rPr>
        <w:t>部门预算</w:t>
      </w:r>
      <w:r>
        <w:rPr>
          <w:rFonts w:hint="eastAsia" w:ascii="宋体" w:hAnsi="宋体" w:cs="宋体"/>
          <w:sz w:val="32"/>
          <w:szCs w:val="32"/>
        </w:rPr>
        <w:t>管理。2023年本单位预算收入355.11万元，其中一般公共预算拨款收入355.11万元、政府性基金拨款收入0万元，2023年本单位预算收入较上年增加33.39万元，主要原因是人员经费增加；2023年本单位预算支出355.11万元，其中一般公共预算拨款支出355.11万元、政府性基金拨款支0万元，2023年本单位预算支出较上年增加33.99万元，主要原因是人员经费增加。</w:t>
      </w:r>
    </w:p>
    <w:p>
      <w:pPr>
        <w:spacing w:line="360" w:lineRule="auto"/>
        <w:ind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2023年本单位财政拨款收入355.11万元，其中一般公共预算拨款收入355.11万元、政府性基金拨款收入0万元，2023年本单位财政拨款收入较上年增加33.99万元，主要原因是人员经费增加；2023年本单位财政拨款支出355.11万元，其中一般公共预算拨款支出355.11万元、政府性基金拨款支出0万元，2023年本单位财政拨款支出较上年增加33.99万元，主要原因是人员经费增加。</w:t>
      </w:r>
    </w:p>
    <w:p>
      <w:pPr>
        <w:spacing w:line="360" w:lineRule="auto"/>
        <w:ind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1、</w:t>
      </w:r>
      <w:r>
        <w:rPr>
          <w:rFonts w:hint="eastAsia" w:ascii="宋体" w:hAnsi="宋体" w:cs="宋体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2023年本单位当年一般公共预算拨款支出355.11万元，较上年增加33.99万元，主要原因是人员经费增加。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本单位2023年当年一般公共预算支出355.11万元，其中：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（1）疾病预防控制机构（2100401）280.83万元，较上年增加37.32万元，原因是人员经费增加；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（2）机关事业单位基本养老保险缴费支出（2080505）33.12万元，较上年增加3.93万元，原因是调整了2022年工资基数；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（3）事业单位医疗（2101102）16.27万元，较上年增加2.01万元，原因是调整了2022年工资基数；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（4）住房公积金（2210201）24.89万元，较上年增加0.13万元，原因是调整了2022年工资基数。</w:t>
      </w:r>
    </w:p>
    <w:p>
      <w:pPr>
        <w:spacing w:line="360" w:lineRule="auto"/>
        <w:ind w:firstLine="643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3、</w:t>
      </w:r>
      <w:r>
        <w:rPr>
          <w:rFonts w:hint="eastAsia" w:ascii="宋体" w:hAnsi="宋体" w:cs="宋体"/>
          <w:sz w:val="32"/>
          <w:szCs w:val="32"/>
        </w:rPr>
        <w:t>支出按经济科目分类的明细情况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2023年本单位当年一般公共预算支出355.11万元，其中：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工资福利支出（301）314.21万元，较上年增加34.99万元，原因是人员经费增加；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商品和服务支出（302）38.44万元，较上年减少1.6万元，原因是公用经费较上年减少0.6万元，专项业务经费较上年减少1万元；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对个人和家庭的补助支出（303）2.46万元，较上年增加（减少）0万元；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2023年本单位当年一般公共预算支出355.11万元，其中：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机关工资福利支出（505）352.65万元，较上年增加33.39万元，原因是人员经费增加；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离退休费（509）2.46万元，较上年增加（减少）0万元；</w:t>
      </w:r>
    </w:p>
    <w:p>
      <w:pPr>
        <w:spacing w:line="360" w:lineRule="auto"/>
        <w:ind w:firstLine="643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4、</w:t>
      </w:r>
      <w:r>
        <w:rPr>
          <w:rFonts w:hint="eastAsia" w:ascii="宋体" w:hAnsi="宋体" w:cs="宋体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3"/>
        </w:numPr>
        <w:spacing w:line="360" w:lineRule="auto"/>
        <w:ind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3"/>
        </w:numPr>
        <w:spacing w:line="360" w:lineRule="auto"/>
        <w:ind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1）2023年本单位当年一般公共预算“三公”经费预算支出5.4万元，较上年减少0.06万元（1.1%），减少的主要原因是公务接待费是按人头经费的10%提取，但2023年人员数较上年数减少2人，因而2023年的公务接待费减少。其中：因公出国（境）经费0万元，较上年增加（减少）0万元（0%）；公务接待费1.4万元，较上年减少0.06万元（1.1%），减少主要原因是公务接待费按单位标准公务费的10%预算，公务费支出预算按单位实际在职在岗人数预算，2023年较上年在职人员减少1人；公务用车运行费4万元，较上年增加（减少）0万元（0%）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sz w:val="32"/>
          <w:szCs w:val="32"/>
        </w:rPr>
        <w:t>公务用车购置费0万元，较上年增加（减少）0万元（0%）。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（2）2023年本单位当年会议费预算支出0万元，较上年增加（减少）0万元（0%）。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培训费0万元，较上年增加（减少）0万元（0%）。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本单位无2022年结转的财政拨款‘三公’经费和会议费、培训费支出。</w:t>
      </w:r>
    </w:p>
    <w:p>
      <w:pPr>
        <w:spacing w:line="360" w:lineRule="auto"/>
        <w:ind w:firstLine="964" w:firstLineChars="3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截止2022年底，本单位所属预算单位共有车辆3辆，单价20万元以上的设备8台（套）。2023年当年单位预算安排购置车辆0辆；安排购置单价20万元以上的设备0台（套）。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本单位无2022年结转的财政拨款支出资产购置。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单位政府采购情况说明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2023年当年本单位政府采购预算共1.98万元，其中政府采购货物类预算0万元、政府采购服务类预算1.98万元、政府采购工程类预算0万元。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964" w:firstLineChars="3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2023年本单位绩效目标管理全覆盖，涉及当年一般公共预算拨款355.11万元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  <w:highlight w:val="red"/>
        </w:rPr>
      </w:pPr>
      <w:r>
        <w:rPr>
          <w:rFonts w:hint="eastAsia" w:ascii="宋体" w:hAnsi="宋体" w:cs="宋体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964" w:firstLineChars="3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九、机关运行经费安排说明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本单位当年机关运行经费预算安排34.88万元，较上年减少1.6万元，主要原因是公用经费较上年减少0.6万元，专项业务经费较上年减少1万元。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left="960" w:firstLine="321" w:firstLineChars="1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1.机关运行经费</w:t>
      </w:r>
      <w:r>
        <w:rPr>
          <w:rFonts w:hint="eastAsia" w:ascii="宋体" w:hAnsi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sz w:val="32"/>
          <w:szCs w:val="32"/>
        </w:rPr>
        <w:t>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2、“三公”经费：是指用财政拨款安排的因公出国（境） 费、公务用车购置及运行费和公务</w:t>
      </w:r>
      <w:r>
        <w:rPr>
          <w:rFonts w:hint="eastAsia" w:ascii="宋体" w:hAnsi="宋体" w:cs="宋体"/>
          <w:sz w:val="32"/>
          <w:szCs w:val="32"/>
          <w:lang w:eastAsia="zh-CN"/>
        </w:rPr>
        <w:t>接待费</w:t>
      </w:r>
      <w:r>
        <w:rPr>
          <w:rFonts w:hint="eastAsia" w:ascii="宋体" w:hAnsi="宋体" w:cs="宋体"/>
          <w:sz w:val="32"/>
          <w:szCs w:val="32"/>
        </w:rPr>
        <w:t>。其中，因公出 国（境）费反映单位公务出国（境）的国际旅费、国外城市 间交通费、住宿费、 伙食费、培训费、公杂费等支出；公 务用车购置及运行费反映单位公务用车车辆购置支出（含车 辆购 置税）及租用费、燃料费、维修费、过路过桥费、保 险费、安全奖励费用等支出；公务接待费反映单 位按规定 开支的各类公务接待支出。</w:t>
      </w:r>
    </w:p>
    <w:p>
      <w:pPr>
        <w:spacing w:line="360" w:lineRule="auto"/>
        <w:ind w:firstLine="2891" w:firstLineChars="9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（详见附表）</w:t>
      </w:r>
      <w:r>
        <w:rPr>
          <w:rFonts w:hint="eastAsia" w:ascii="宋体" w:hAnsi="宋体" w:cs="宋体"/>
          <w:sz w:val="32"/>
          <w:szCs w:val="32"/>
        </w:rP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12A87D37"/>
    <w:multiLevelType w:val="multilevel"/>
    <w:tmpl w:val="12A87D37"/>
    <w:lvl w:ilvl="0" w:tentative="0">
      <w:start w:val="7"/>
      <w:numFmt w:val="japaneseCounting"/>
      <w:lvlText w:val="%1、"/>
      <w:lvlJc w:val="left"/>
      <w:pPr>
        <w:ind w:left="104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1" w:hanging="420"/>
      </w:pPr>
    </w:lvl>
    <w:lvl w:ilvl="2" w:tentative="0">
      <w:start w:val="1"/>
      <w:numFmt w:val="lowerRoman"/>
      <w:lvlText w:val="%3."/>
      <w:lvlJc w:val="right"/>
      <w:pPr>
        <w:ind w:left="1581" w:hanging="420"/>
      </w:pPr>
    </w:lvl>
    <w:lvl w:ilvl="3" w:tentative="0">
      <w:start w:val="1"/>
      <w:numFmt w:val="decimal"/>
      <w:lvlText w:val="%4."/>
      <w:lvlJc w:val="left"/>
      <w:pPr>
        <w:ind w:left="2001" w:hanging="420"/>
      </w:pPr>
    </w:lvl>
    <w:lvl w:ilvl="4" w:tentative="0">
      <w:start w:val="1"/>
      <w:numFmt w:val="lowerLetter"/>
      <w:lvlText w:val="%5)"/>
      <w:lvlJc w:val="left"/>
      <w:pPr>
        <w:ind w:left="2421" w:hanging="420"/>
      </w:pPr>
    </w:lvl>
    <w:lvl w:ilvl="5" w:tentative="0">
      <w:start w:val="1"/>
      <w:numFmt w:val="lowerRoman"/>
      <w:lvlText w:val="%6."/>
      <w:lvlJc w:val="right"/>
      <w:pPr>
        <w:ind w:left="2841" w:hanging="420"/>
      </w:pPr>
    </w:lvl>
    <w:lvl w:ilvl="6" w:tentative="0">
      <w:start w:val="1"/>
      <w:numFmt w:val="decimal"/>
      <w:lvlText w:val="%7."/>
      <w:lvlJc w:val="left"/>
      <w:pPr>
        <w:ind w:left="3261" w:hanging="420"/>
      </w:pPr>
    </w:lvl>
    <w:lvl w:ilvl="7" w:tentative="0">
      <w:start w:val="1"/>
      <w:numFmt w:val="lowerLetter"/>
      <w:lvlText w:val="%8)"/>
      <w:lvlJc w:val="left"/>
      <w:pPr>
        <w:ind w:left="3681" w:hanging="420"/>
      </w:pPr>
    </w:lvl>
    <w:lvl w:ilvl="8" w:tentative="0">
      <w:start w:val="1"/>
      <w:numFmt w:val="lowerRoman"/>
      <w:lvlText w:val="%9."/>
      <w:lvlJc w:val="right"/>
      <w:pPr>
        <w:ind w:left="4101" w:hanging="420"/>
      </w:pPr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AD3E59"/>
    <w:rsid w:val="00D70262"/>
    <w:rsid w:val="00DC3BC0"/>
    <w:rsid w:val="018F2D13"/>
    <w:rsid w:val="02953D9A"/>
    <w:rsid w:val="03791D26"/>
    <w:rsid w:val="0466605A"/>
    <w:rsid w:val="04F35073"/>
    <w:rsid w:val="05E362BC"/>
    <w:rsid w:val="061D2748"/>
    <w:rsid w:val="06D7231D"/>
    <w:rsid w:val="075D6C6A"/>
    <w:rsid w:val="0773304F"/>
    <w:rsid w:val="08717414"/>
    <w:rsid w:val="089D1D43"/>
    <w:rsid w:val="0A653AEA"/>
    <w:rsid w:val="0AAB1747"/>
    <w:rsid w:val="0B473936"/>
    <w:rsid w:val="0B820553"/>
    <w:rsid w:val="0B8A1B09"/>
    <w:rsid w:val="0C3A03FE"/>
    <w:rsid w:val="0C805687"/>
    <w:rsid w:val="0D053BAB"/>
    <w:rsid w:val="0D594F94"/>
    <w:rsid w:val="0E1F698E"/>
    <w:rsid w:val="0FA9052D"/>
    <w:rsid w:val="10163FB4"/>
    <w:rsid w:val="10703C6A"/>
    <w:rsid w:val="10A536CA"/>
    <w:rsid w:val="123E78CE"/>
    <w:rsid w:val="12B55B02"/>
    <w:rsid w:val="13DD192D"/>
    <w:rsid w:val="140A7067"/>
    <w:rsid w:val="14537D9F"/>
    <w:rsid w:val="147F7E6C"/>
    <w:rsid w:val="14C85364"/>
    <w:rsid w:val="14FA613E"/>
    <w:rsid w:val="15053ED9"/>
    <w:rsid w:val="15BA67E3"/>
    <w:rsid w:val="15EB6487"/>
    <w:rsid w:val="166918D6"/>
    <w:rsid w:val="176724C1"/>
    <w:rsid w:val="18863AF9"/>
    <w:rsid w:val="18AF7F70"/>
    <w:rsid w:val="1A431FF4"/>
    <w:rsid w:val="1B746107"/>
    <w:rsid w:val="1CD64124"/>
    <w:rsid w:val="1D9E7E6E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08113C"/>
    <w:rsid w:val="2864072E"/>
    <w:rsid w:val="2A3E38E1"/>
    <w:rsid w:val="2B526E58"/>
    <w:rsid w:val="2BF2458F"/>
    <w:rsid w:val="2D510B0C"/>
    <w:rsid w:val="2F3B562F"/>
    <w:rsid w:val="2FC8494E"/>
    <w:rsid w:val="314B37FB"/>
    <w:rsid w:val="31B733F7"/>
    <w:rsid w:val="34F83735"/>
    <w:rsid w:val="385D1A98"/>
    <w:rsid w:val="38673C95"/>
    <w:rsid w:val="38F70388"/>
    <w:rsid w:val="3A4434B4"/>
    <w:rsid w:val="3B055E9C"/>
    <w:rsid w:val="3CD90645"/>
    <w:rsid w:val="3CF74AE3"/>
    <w:rsid w:val="3D28036F"/>
    <w:rsid w:val="3D8407DF"/>
    <w:rsid w:val="3DFF32ED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9C34859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7C07DEE"/>
    <w:rsid w:val="58FE3115"/>
    <w:rsid w:val="592D7B67"/>
    <w:rsid w:val="59D947AF"/>
    <w:rsid w:val="59F96CB8"/>
    <w:rsid w:val="5B97229A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8EA113C"/>
    <w:rsid w:val="68F63287"/>
    <w:rsid w:val="699E67D8"/>
    <w:rsid w:val="69B23FEC"/>
    <w:rsid w:val="69E141D5"/>
    <w:rsid w:val="69F87A79"/>
    <w:rsid w:val="6BF15785"/>
    <w:rsid w:val="6C540332"/>
    <w:rsid w:val="6DBE3A60"/>
    <w:rsid w:val="6E8A04A9"/>
    <w:rsid w:val="6F3075D5"/>
    <w:rsid w:val="6F5403ED"/>
    <w:rsid w:val="71A236EE"/>
    <w:rsid w:val="73843559"/>
    <w:rsid w:val="75184334"/>
    <w:rsid w:val="75AC088F"/>
    <w:rsid w:val="76503311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0E55E6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widowControl/>
      <w:spacing w:line="240" w:lineRule="atLeast"/>
      <w:jc w:val="center"/>
      <w:textAlignment w:val="baseline"/>
    </w:pPr>
    <w:rPr>
      <w:rFonts w:ascii="Arial" w:hAnsi="Arial" w:eastAsia="黑体"/>
      <w:sz w:val="52"/>
      <w:szCs w:val="22"/>
    </w:rPr>
  </w:style>
  <w:style w:type="paragraph" w:styleId="3">
    <w:name w:val="Body Text Indent"/>
    <w:basedOn w:val="1"/>
    <w:next w:val="1"/>
    <w:qFormat/>
    <w:uiPriority w:val="0"/>
    <w:pPr>
      <w:ind w:left="150" w:firstLine="567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8">
    <w:name w:val="UserStyle_11"/>
    <w:basedOn w:val="1"/>
    <w:next w:val="1"/>
    <w:qFormat/>
    <w:uiPriority w:val="0"/>
    <w:pPr>
      <w:widowControl/>
      <w:spacing w:after="120"/>
      <w:ind w:left="420" w:leftChars="200"/>
      <w:textAlignment w:val="baseline"/>
    </w:pPr>
    <w:rPr>
      <w:rFonts w:ascii="Calibri" w:hAnsi="Calibri"/>
      <w:sz w:val="21"/>
      <w:szCs w:val="22"/>
    </w:rPr>
  </w:style>
  <w:style w:type="character" w:customStyle="1" w:styleId="9">
    <w:name w:val="页眉 字符"/>
    <w:basedOn w:val="7"/>
    <w:link w:val="5"/>
    <w:uiPriority w:val="0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.ZY-202211291044\Desktop\&#26609;&#24418;&#22270;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[柱形图(1).xlsx]Sheet1!数据透视表2</c:name>
    <c:fmtId val="-1"/>
  </c:pivotSource>
  <c:chart>
    <c:autoTitleDeleted val="1"/>
    <c:plotArea>
      <c:layout>
        <c:manualLayout>
          <c:layoutTarget val="inner"/>
          <c:xMode val="edge"/>
          <c:yMode val="edge"/>
          <c:x val="0.0652008456659619"/>
          <c:y val="0.155555554562145"/>
          <c:w val="0.713939393939394"/>
          <c:h val="0.7027777797645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'[柱形图(1).xlsx]Sheet1'!$F$1</c:f>
              <c:strCache>
                <c:ptCount val="1"/>
                <c:pt idx="0">
                  <c:v>求和项:行政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'[柱形图(1).xlsx]Sheet1'!$E$2:$E$4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'[柱形图(1).xlsx]Sheet1'!$F$2:$F$4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'[柱形图(1).xlsx]Sheet1'!$G$1</c:f>
              <c:strCache>
                <c:ptCount val="1"/>
                <c:pt idx="0">
                  <c:v>求和项:事业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'[柱形图(1).xlsx]Sheet1'!$E$2:$E$4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'[柱形图(1).xlsx]Sheet1'!$G$2:$G$4</c:f>
              <c:numCache>
                <c:formatCode>General</c:formatCode>
                <c:ptCount val="2"/>
                <c:pt idx="0">
                  <c:v>27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axId val="140531588"/>
        <c:axId val="410230685"/>
      </c:barChart>
      <c:catAx>
        <c:axId val="1405315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0230685"/>
        <c:crosses val="autoZero"/>
        <c:auto val="1"/>
        <c:lblAlgn val="ctr"/>
        <c:lblOffset val="100"/>
        <c:noMultiLvlLbl val="0"/>
      </c:catAx>
      <c:valAx>
        <c:axId val="41023068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05315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4960</Words>
  <Characters>5314</Characters>
  <Lines>38</Lines>
  <Paragraphs>10</Paragraphs>
  <TotalTime>7</TotalTime>
  <ScaleCrop>false</ScaleCrop>
  <LinksUpToDate>false</LinksUpToDate>
  <CharactersWithSpaces>5359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2023-04-26T06:29:49Z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