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p>
    <w:p>
      <w:pPr>
        <w:spacing w:line="360" w:lineRule="auto"/>
        <w:ind w:firstLine="640"/>
        <w:jc w:val="center"/>
        <w:rPr>
          <w:rFonts w:ascii="黑体" w:hAnsi="黑体" w:eastAsia="黑体" w:cs="黑体"/>
          <w:sz w:val="32"/>
          <w:szCs w:val="32"/>
        </w:rPr>
      </w:pPr>
      <w:bookmarkStart w:id="0" w:name="_GoBack"/>
      <w:r>
        <w:rPr>
          <w:rFonts w:hint="eastAsia" w:ascii="黑体" w:hAnsi="黑体" w:eastAsia="黑体" w:cs="黑体"/>
          <w:sz w:val="32"/>
          <w:szCs w:val="32"/>
        </w:rPr>
        <w:t>紫阳县焕古镇卫生院</w:t>
      </w:r>
    </w:p>
    <w:bookmarkEnd w:id="0"/>
    <w:p>
      <w:pPr>
        <w:spacing w:line="360" w:lineRule="auto"/>
        <w:ind w:firstLine="640"/>
        <w:jc w:val="center"/>
        <w:rPr>
          <w:rFonts w:ascii="黑体" w:hAnsi="黑体" w:eastAsia="黑体" w:cs="黑体"/>
          <w:sz w:val="32"/>
          <w:szCs w:val="32"/>
        </w:rPr>
      </w:pPr>
      <w:r>
        <w:rPr>
          <w:rFonts w:hint="eastAsia" w:ascii="黑体" w:hAnsi="黑体" w:eastAsia="黑体" w:cs="黑体"/>
          <w:sz w:val="32"/>
          <w:szCs w:val="32"/>
        </w:rPr>
        <w:t>2023年单位预算公开说明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目  录</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第一部分   单位概况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一、单位主要职责及机构设置</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二、2023年年度单位工作任务</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三、单位人员情况说明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第二部分   收支情况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四、2023年单位预算收支说明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五、单位预算“三公”经费等情况说明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六、单位国有资产占有使用及资产购置情况说明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七、单位政府采购情况说明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八、单位预算绩效目标说明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九、机关运行 经费安排说明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十、专业 名词解释</w:t>
      </w:r>
    </w:p>
    <w:p>
      <w:pPr>
        <w:spacing w:line="360" w:lineRule="auto"/>
        <w:ind w:firstLine="643"/>
        <w:jc w:val="center"/>
        <w:rPr>
          <w:rFonts w:hint="eastAsia" w:ascii="仿宋" w:hAnsi="仿宋" w:eastAsia="仿宋" w:cs="仿宋"/>
          <w:sz w:val="32"/>
          <w:szCs w:val="32"/>
        </w:rPr>
      </w:pPr>
      <w:r>
        <w:rPr>
          <w:rFonts w:hint="eastAsia" w:ascii="仿宋" w:hAnsi="仿宋" w:eastAsia="仿宋" w:cs="仿宋"/>
          <w:b/>
          <w:bCs/>
          <w:sz w:val="32"/>
          <w:szCs w:val="32"/>
        </w:rPr>
        <w:t>第四部分   公开报表</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（具体单位预算公开报表）</w:t>
      </w:r>
    </w:p>
    <w:p>
      <w:pPr>
        <w:spacing w:line="360" w:lineRule="auto"/>
        <w:ind w:firstLine="643"/>
        <w:jc w:val="center"/>
        <w:rPr>
          <w:rFonts w:ascii="仿宋" w:hAnsi="仿宋" w:eastAsia="仿宋" w:cs="仿宋"/>
          <w:b/>
          <w:bCs/>
          <w:sz w:val="32"/>
          <w:szCs w:val="32"/>
        </w:rPr>
      </w:pPr>
    </w:p>
    <w:p>
      <w:pPr>
        <w:spacing w:line="360" w:lineRule="auto"/>
        <w:ind w:firstLine="643"/>
        <w:jc w:val="center"/>
        <w:rPr>
          <w:rFonts w:ascii="仿宋" w:hAnsi="仿宋" w:eastAsia="仿宋" w:cs="仿宋"/>
          <w:b/>
          <w:bCs/>
          <w:sz w:val="32"/>
          <w:szCs w:val="32"/>
        </w:rPr>
      </w:pPr>
    </w:p>
    <w:p>
      <w:pPr>
        <w:spacing w:line="360" w:lineRule="auto"/>
        <w:ind w:firstLine="643"/>
        <w:jc w:val="center"/>
        <w:rPr>
          <w:rFonts w:ascii="仿宋" w:hAnsi="仿宋" w:eastAsia="仿宋" w:cs="仿宋"/>
          <w:b/>
          <w:bCs/>
          <w:sz w:val="32"/>
          <w:szCs w:val="32"/>
        </w:rPr>
      </w:pPr>
    </w:p>
    <w:p>
      <w:pPr>
        <w:spacing w:line="360" w:lineRule="auto"/>
        <w:ind w:firstLine="2249" w:firstLineChars="700"/>
        <w:rPr>
          <w:rFonts w:ascii="仿宋" w:hAnsi="仿宋" w:eastAsia="仿宋" w:cs="仿宋"/>
          <w:sz w:val="32"/>
          <w:szCs w:val="32"/>
        </w:rPr>
      </w:pPr>
      <w:r>
        <w:rPr>
          <w:rFonts w:hint="eastAsia" w:ascii="仿宋" w:hAnsi="仿宋" w:eastAsia="仿宋" w:cs="仿宋"/>
          <w:b/>
          <w:bCs/>
          <w:sz w:val="32"/>
          <w:szCs w:val="32"/>
        </w:rPr>
        <w:t>第一部分  单位概况</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一、单位主要职责及机构设置</w:t>
      </w:r>
    </w:p>
    <w:p>
      <w:pPr>
        <w:spacing w:line="360" w:lineRule="auto"/>
        <w:ind w:firstLine="321" w:firstLineChars="100"/>
        <w:rPr>
          <w:rFonts w:ascii="仿宋" w:hAnsi="仿宋" w:eastAsia="仿宋" w:cs="仿宋"/>
          <w:b/>
          <w:bCs/>
          <w:sz w:val="32"/>
          <w:szCs w:val="32"/>
        </w:rPr>
      </w:pPr>
      <w:r>
        <w:rPr>
          <w:rFonts w:hint="eastAsia" w:ascii="仿宋" w:hAnsi="仿宋" w:eastAsia="仿宋" w:cs="仿宋"/>
          <w:b/>
          <w:bCs/>
          <w:sz w:val="32"/>
          <w:szCs w:val="32"/>
        </w:rPr>
        <w:t>（一）单位主要职责</w:t>
      </w:r>
    </w:p>
    <w:p>
      <w:pPr>
        <w:tabs>
          <w:tab w:val="left" w:pos="3120"/>
        </w:tabs>
        <w:spacing w:line="360" w:lineRule="auto"/>
        <w:ind w:firstLine="640"/>
        <w:rPr>
          <w:rFonts w:ascii="仿宋" w:hAnsi="仿宋" w:eastAsia="仿宋" w:cs="仿宋"/>
          <w:sz w:val="32"/>
          <w:szCs w:val="32"/>
        </w:rPr>
      </w:pPr>
      <w:r>
        <w:rPr>
          <w:rFonts w:hint="eastAsia" w:ascii="仿宋" w:hAnsi="仿宋" w:eastAsia="仿宋" w:cs="仿宋"/>
          <w:sz w:val="32"/>
          <w:szCs w:val="32"/>
        </w:rPr>
        <w:t>1、负责常见病多发病及常见慢性病的诊治与护理.</w:t>
      </w:r>
    </w:p>
    <w:p>
      <w:pPr>
        <w:tabs>
          <w:tab w:val="left" w:pos="3120"/>
        </w:tabs>
        <w:spacing w:line="360" w:lineRule="auto"/>
        <w:ind w:firstLine="640"/>
        <w:rPr>
          <w:rFonts w:ascii="仿宋" w:hAnsi="仿宋" w:eastAsia="仿宋" w:cs="仿宋"/>
          <w:sz w:val="32"/>
          <w:szCs w:val="32"/>
        </w:rPr>
      </w:pPr>
      <w:r>
        <w:rPr>
          <w:rFonts w:hint="eastAsia" w:ascii="仿宋" w:hAnsi="仿宋" w:eastAsia="仿宋" w:cs="仿宋"/>
          <w:sz w:val="32"/>
          <w:szCs w:val="32"/>
        </w:rPr>
        <w:t>2、负责院前急救，巡回医疗，恢复期病人的康复期质量。</w:t>
      </w:r>
    </w:p>
    <w:p>
      <w:pPr>
        <w:tabs>
          <w:tab w:val="left" w:pos="3120"/>
        </w:tabs>
        <w:spacing w:line="360" w:lineRule="auto"/>
        <w:ind w:firstLine="640"/>
        <w:rPr>
          <w:rFonts w:ascii="仿宋" w:hAnsi="仿宋" w:eastAsia="仿宋" w:cs="仿宋"/>
          <w:sz w:val="32"/>
          <w:szCs w:val="32"/>
        </w:rPr>
      </w:pPr>
      <w:r>
        <w:rPr>
          <w:rFonts w:hint="eastAsia" w:ascii="仿宋" w:hAnsi="仿宋" w:eastAsia="仿宋" w:cs="仿宋"/>
          <w:sz w:val="32"/>
          <w:szCs w:val="32"/>
        </w:rPr>
        <w:t>3、负责辖区内基本公共卫生服务实施，信息咨询管理。</w:t>
      </w:r>
    </w:p>
    <w:p>
      <w:pPr>
        <w:tabs>
          <w:tab w:val="left" w:pos="3120"/>
        </w:tabs>
        <w:spacing w:line="360" w:lineRule="auto"/>
        <w:ind w:firstLine="640"/>
        <w:rPr>
          <w:rFonts w:ascii="仿宋" w:hAnsi="仿宋" w:eastAsia="仿宋" w:cs="仿宋"/>
          <w:sz w:val="32"/>
          <w:szCs w:val="32"/>
        </w:rPr>
      </w:pPr>
      <w:r>
        <w:rPr>
          <w:rFonts w:hint="eastAsia" w:ascii="仿宋" w:hAnsi="仿宋" w:eastAsia="仿宋" w:cs="仿宋"/>
          <w:sz w:val="32"/>
          <w:szCs w:val="32"/>
        </w:rPr>
        <w:t>4、负责辖区内村级相关人员的技术及人员培训。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5、组织落实国家药物政策和国家基本药物制度，执行国家药品法典和国家基本药物目录。</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6、落实疾病预防控制规划、国家免疫规划以及严重危害人民健康公共卫生问题的干预措施</w:t>
      </w:r>
      <w:r>
        <w:rPr>
          <w:rFonts w:hint="eastAsia" w:ascii="仿宋" w:hAnsi="仿宋" w:eastAsia="仿宋" w:cs="仿宋"/>
          <w:sz w:val="32"/>
          <w:szCs w:val="32"/>
          <w:lang w:eastAsia="zh-CN"/>
        </w:rPr>
        <w:t>；</w:t>
      </w:r>
      <w:r>
        <w:rPr>
          <w:rFonts w:hint="eastAsia" w:ascii="仿宋" w:hAnsi="仿宋" w:eastAsia="仿宋" w:cs="仿宋"/>
          <w:sz w:val="32"/>
          <w:szCs w:val="32"/>
        </w:rPr>
        <w:t>负责卫生应急工作，组织指导全镇突发公共卫生事件的预防控制和各类突发公共事件的医疗卫生救援</w:t>
      </w:r>
      <w:r>
        <w:rPr>
          <w:rFonts w:hint="eastAsia" w:ascii="仿宋" w:hAnsi="仿宋" w:eastAsia="仿宋" w:cs="仿宋"/>
          <w:sz w:val="32"/>
          <w:szCs w:val="32"/>
          <w:lang w:eastAsia="zh-CN"/>
        </w:rPr>
        <w:t>；</w:t>
      </w:r>
      <w:r>
        <w:rPr>
          <w:rFonts w:hint="eastAsia" w:ascii="仿宋" w:hAnsi="仿宋" w:eastAsia="仿宋" w:cs="仿宋"/>
          <w:sz w:val="32"/>
          <w:szCs w:val="32"/>
        </w:rPr>
        <w:t>依法发布法定报告传染病疫情信息、突发公共卫生事件应急处置信息。</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7、负责落实职责范围内的职业卫生、环境卫</w:t>
      </w:r>
      <w:r>
        <w:rPr>
          <w:rFonts w:ascii="仿宋" w:hAnsi="仿宋" w:eastAsia="仿宋" w:cs="仿宋"/>
          <w:sz w:val="32"/>
          <w:szCs w:val="32"/>
        </w:rPr>
        <w:t> </w:t>
      </w:r>
      <w:r>
        <w:rPr>
          <w:rFonts w:hint="eastAsia" w:ascii="仿宋" w:hAnsi="仿宋" w:eastAsia="仿宋" w:cs="仿宋"/>
          <w:sz w:val="32"/>
          <w:szCs w:val="32"/>
        </w:rPr>
        <w:t>生、学校卫生、公共场所卫生、饮用水卫生管理的规范标准、政策措施并监督管理</w:t>
      </w:r>
      <w:r>
        <w:rPr>
          <w:rFonts w:hint="eastAsia" w:ascii="仿宋" w:hAnsi="仿宋" w:eastAsia="仿宋" w:cs="仿宋"/>
          <w:sz w:val="32"/>
          <w:szCs w:val="32"/>
          <w:lang w:eastAsia="zh-CN"/>
        </w:rPr>
        <w:t>；</w:t>
      </w:r>
      <w:r>
        <w:rPr>
          <w:rFonts w:hint="eastAsia" w:ascii="仿宋" w:hAnsi="仿宋" w:eastAsia="仿宋" w:cs="仿宋"/>
          <w:sz w:val="32"/>
          <w:szCs w:val="32"/>
        </w:rPr>
        <w:t>负责职业安全健康监督管理；负责传染病防治监督，建立健全卫生健康综合监督体系；组织实施食品安全风险监测。</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8、贯彻落实计划生育政策，负责计划生育管理和服务工</w:t>
      </w:r>
      <w:r>
        <w:rPr>
          <w:rFonts w:ascii="仿宋" w:hAnsi="仿宋" w:eastAsia="仿宋" w:cs="仿宋"/>
          <w:sz w:val="32"/>
          <w:szCs w:val="32"/>
        </w:rPr>
        <w:t> </w:t>
      </w:r>
      <w:r>
        <w:rPr>
          <w:rFonts w:hint="eastAsia" w:ascii="仿宋" w:hAnsi="仿宋" w:eastAsia="仿宋" w:cs="仿宋"/>
          <w:sz w:val="32"/>
          <w:szCs w:val="32"/>
        </w:rPr>
        <w:t>作，开展人口监测预警，研究提出人口与家庭发展相关政策建议，制定优生优育和提高出生人口素质的政策措施并组织实施。</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9、落实基层卫生健康服务、妇幼健康发</w:t>
      </w:r>
      <w:r>
        <w:rPr>
          <w:rFonts w:ascii="仿宋" w:hAnsi="仿宋" w:eastAsia="仿宋" w:cs="仿宋"/>
          <w:sz w:val="32"/>
          <w:szCs w:val="32"/>
        </w:rPr>
        <w:t> </w:t>
      </w:r>
      <w:r>
        <w:rPr>
          <w:rFonts w:hint="eastAsia" w:ascii="仿宋" w:hAnsi="仿宋" w:eastAsia="仿宋" w:cs="仿宋"/>
          <w:sz w:val="32"/>
          <w:szCs w:val="32"/>
        </w:rPr>
        <w:t>展规划和政策措施，建立健全基层卫生健康机构运行新机制和乡村医生管理制度。</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10、实施卫生健康人才发展和科技发展规划，卫生健康人才队伍建设，推进卫生健康科技创新发展</w:t>
      </w:r>
      <w:r>
        <w:rPr>
          <w:rFonts w:hint="eastAsia" w:ascii="仿宋" w:hAnsi="仿宋" w:eastAsia="仿宋" w:cs="仿宋"/>
          <w:sz w:val="32"/>
          <w:szCs w:val="32"/>
          <w:lang w:eastAsia="zh-CN"/>
        </w:rPr>
        <w:t>；</w:t>
      </w:r>
      <w:r>
        <w:rPr>
          <w:rFonts w:hint="eastAsia" w:ascii="仿宋" w:hAnsi="仿宋" w:eastAsia="仿宋" w:cs="仿宋"/>
          <w:sz w:val="32"/>
          <w:szCs w:val="32"/>
        </w:rPr>
        <w:t>会同有关单位开展国家住院医师、专科医师和全科医生规范化培训等毕业后医学教育和继续医学教育。</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11、负责卫生健康宣传、健康教育、健康促进等工作。</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12、负责本行业领域的安全生产监督管理工作。</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13、完成上级部门的其他任务。</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（二）机构设置</w:t>
      </w:r>
    </w:p>
    <w:p>
      <w:pPr>
        <w:spacing w:line="360" w:lineRule="auto"/>
        <w:ind w:firstLine="640"/>
        <w:rPr>
          <w:rFonts w:ascii="仿宋" w:hAnsi="仿宋" w:eastAsia="仿宋" w:cs="仿宋"/>
          <w:sz w:val="32"/>
          <w:szCs w:val="32"/>
          <w:highlight w:val="green"/>
        </w:rPr>
      </w:pPr>
      <w:r>
        <w:rPr>
          <w:rFonts w:hint="eastAsia" w:ascii="仿宋" w:hAnsi="仿宋" w:eastAsia="仿宋" w:cs="仿宋"/>
          <w:sz w:val="32"/>
          <w:szCs w:val="32"/>
        </w:rPr>
        <w:t>本单位现设有全科门诊、住院部、公共卫生服务中心、中医科、中医理疗科、中西药房、收费、检验科、放射科、行政办公、财务室、院办12个职能科室。设行政院长1名，业务副院长1名，公卫主任1名，另有12个村卫生室下属单位。</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二、2023年度单位工作任务</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1、规范医院管理，提高服务质量，加强卫生行业作风建设，树立良好形象。结合“满意乡镇卫生院</w:t>
      </w:r>
      <w:r>
        <w:rPr>
          <w:rFonts w:hint="eastAsia" w:ascii="仿宋" w:hAnsi="仿宋" w:eastAsia="仿宋" w:cs="仿宋"/>
          <w:sz w:val="32"/>
          <w:szCs w:val="32"/>
          <w:lang w:eastAsia="zh-CN"/>
        </w:rPr>
        <w:t>”“</w:t>
      </w:r>
      <w:r>
        <w:rPr>
          <w:rFonts w:hint="eastAsia" w:ascii="仿宋" w:hAnsi="仿宋" w:eastAsia="仿宋" w:cs="仿宋"/>
          <w:sz w:val="32"/>
          <w:szCs w:val="32"/>
        </w:rPr>
        <w:t>优质服务基层行”等活动，坚持以病人为中心，继续优化医疗服务环境，完善医院各项管理制度。狠抓医疗质量，在院内开展医疗质量评比，加强“三基”“三严”培训；开展医疗文书书写规范的学习，提高医疗文书规范合格率；杜绝院内感染事件，加强《执业医师法</w:t>
      </w:r>
      <w:r>
        <w:rPr>
          <w:rFonts w:hint="eastAsia" w:ascii="仿宋" w:hAnsi="仿宋" w:eastAsia="仿宋" w:cs="仿宋"/>
          <w:sz w:val="32"/>
          <w:szCs w:val="32"/>
          <w:lang w:eastAsia="zh-CN"/>
        </w:rPr>
        <w:t>》《</w:t>
      </w:r>
      <w:r>
        <w:rPr>
          <w:rFonts w:hint="eastAsia" w:ascii="仿宋" w:hAnsi="仿宋" w:eastAsia="仿宋" w:cs="仿宋"/>
          <w:sz w:val="32"/>
          <w:szCs w:val="32"/>
        </w:rPr>
        <w:t>医疗事故处理条例》的学习，树立医务人员的责任感；加强作风建设，</w:t>
      </w:r>
      <w:r>
        <w:rPr>
          <w:rFonts w:hint="eastAsia" w:ascii="仿宋" w:hAnsi="仿宋" w:eastAsia="仿宋" w:cs="仿宋"/>
          <w:sz w:val="32"/>
          <w:szCs w:val="32"/>
          <w:lang w:eastAsia="zh-CN"/>
        </w:rPr>
        <w:t>增强</w:t>
      </w:r>
      <w:r>
        <w:rPr>
          <w:rFonts w:hint="eastAsia" w:ascii="仿宋" w:hAnsi="仿宋" w:eastAsia="仿宋" w:cs="仿宋"/>
          <w:sz w:val="32"/>
          <w:szCs w:val="32"/>
        </w:rPr>
        <w:t>医务人员依法从业意识和职业素质；保证业务收入增长8%以上。</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2、积极推进中医适宜技术工作，提升中医药业务收入的比重。逐步开展中医康复治疗项目，增加理疗设备和人员，力争在中医康复上取得较好成绩，满足人民群众对中医药服务需求。</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3、改革绩效考核办法，促进基本医疗服务更好发展。结合我院实际情况，以服务数量和质量为重点，对各科、个人的考核要求细化成各项考核指标，考核过程做到公平公正公开，考核成绩与绩效工资挂钩，通过绩效考核的杠杆作用，促进了卫生院的医疗服务在数量和质量上的提升。</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4、进一步做好乡村一体化管理工作。加大对村医的培训力度，努力提高乡村医生对常见病、多发病的医疗救治能力，发挥村卫生室在疾病防治、健康教育、慢病随访、预防保健、妇女儿童、老年健康等公共卫生服务中的基础性作用；要做到对村卫生室工作月月有督导，季度有考评，半年有考核，年终有总结；卫生院定期下村去指导业务工作，村医</w:t>
      </w:r>
      <w:r>
        <w:rPr>
          <w:rFonts w:hint="eastAsia" w:ascii="仿宋" w:hAnsi="仿宋" w:eastAsia="仿宋" w:cs="仿宋"/>
          <w:sz w:val="32"/>
          <w:szCs w:val="32"/>
          <w:lang w:eastAsia="zh-CN"/>
        </w:rPr>
        <w:t>有计划地到</w:t>
      </w:r>
      <w:r>
        <w:rPr>
          <w:rFonts w:hint="eastAsia" w:ascii="仿宋" w:hAnsi="仿宋" w:eastAsia="仿宋" w:cs="仿宋"/>
          <w:sz w:val="32"/>
          <w:szCs w:val="32"/>
        </w:rPr>
        <w:t>卫生院接受培训和学习；实行双向转诊制度，方便群众就医。</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5、做好疾病预防控制工作。精细化开展公共卫生，提高突发公共卫生事件应急处置能力，切实加强传染病防治工作；培训好各科医务人员，做到对可疑病例及时发现及时报告，切实发挥发现疫情的“前哨”作用；加强预防接种管理制度，规范接种门诊，提高计划免疫接种质量和接种率；开展健康教育，保持健康文明的生活方式；继续做好老年人体检和居民档案规范管理工作，对体检结果及时进行反馈，对体检中发现的存在健康问题的人，主动跟踪随访；创造良好的控烟环境，教育广大群众养成不吸烟的习惯，促进身心健康发展，积极响应政府号召，大力宣传控烟工作，争创无烟单位；加强孕产妇系统化管理和儿童保健工作，提高住院分娩率。做好有生育意愿和新婚夫妇增补叶酸，孕前优生优育筛查；按照主管部门要求，组织好两癌筛查和妇女病普查，儿童营养包改善计划；开展水源</w:t>
      </w:r>
      <w:r>
        <w:rPr>
          <w:rFonts w:hint="eastAsia" w:ascii="仿宋" w:hAnsi="仿宋" w:eastAsia="仿宋" w:cs="仿宋"/>
          <w:sz w:val="32"/>
          <w:szCs w:val="32"/>
          <w:lang w:eastAsia="zh-CN"/>
        </w:rPr>
        <w:t>监测</w:t>
      </w:r>
      <w:r>
        <w:rPr>
          <w:rFonts w:hint="eastAsia" w:ascii="仿宋" w:hAnsi="仿宋" w:eastAsia="仿宋" w:cs="仿宋"/>
          <w:sz w:val="32"/>
          <w:szCs w:val="32"/>
        </w:rPr>
        <w:t>和食源性疾病监测；打击非法行医和禁止非医学需要的胎儿性别鉴定；做好日常门诊日志监测、对发现的传染病及时上报，对疑似结核病进行推荐和转诊。</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6、加强人才培训及继续医学教育。人才培养是卫生院发展的关键，我院将选派一名</w:t>
      </w:r>
      <w:r>
        <w:rPr>
          <w:rFonts w:hint="eastAsia" w:ascii="仿宋" w:hAnsi="仿宋" w:eastAsia="仿宋" w:cs="仿宋"/>
          <w:sz w:val="32"/>
          <w:szCs w:val="32"/>
          <w:lang w:eastAsia="zh-CN"/>
        </w:rPr>
        <w:t>年轻</w:t>
      </w:r>
      <w:r>
        <w:rPr>
          <w:rFonts w:hint="eastAsia" w:ascii="仿宋" w:hAnsi="仿宋" w:eastAsia="仿宋" w:cs="仿宋"/>
          <w:sz w:val="32"/>
          <w:szCs w:val="32"/>
        </w:rPr>
        <w:t>人员外出进修学习，培养医疗后备人才，招聘两名医学院校毕业生，壮大专业技术人员队伍。鼓励全院职工参加继续医学教育、成人高等教育，为卫生院的长远发展做好人才储备。</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7、进一步加强医保基金制度建设，积极配合医疗保障工作，严格控制费用，开展四合理检查，及时办理门诊统筹、出院结算、慢特病补偿，加大宣传力度，让惠民政策落在实处。</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8、加强综合治理工作，保证医疗安全和生活生产安全。节假日、汛期、冬春季开展安全检查，落实好医疗废物处置和废水检测。</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9、严明纪律规定，狠刹大操大办不正之风。</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部门人员情况说明</w:t>
      </w:r>
    </w:p>
    <w:p>
      <w:pPr>
        <w:spacing w:line="360" w:lineRule="auto"/>
        <w:ind w:firstLine="643"/>
        <w:rPr>
          <w:rFonts w:hint="eastAsia" w:ascii="仿宋" w:hAnsi="仿宋" w:eastAsia="仿宋" w:cs="仿宋"/>
          <w:b/>
          <w:bCs/>
          <w:sz w:val="32"/>
          <w:szCs w:val="32"/>
        </w:rPr>
      </w:pPr>
      <w:r>
        <w:rPr>
          <w:rFonts w:hint="eastAsia" w:ascii="仿宋" w:hAnsi="仿宋" w:eastAsia="仿宋" w:cs="仿宋"/>
          <w:sz w:val="32"/>
          <w:szCs w:val="32"/>
        </w:rPr>
        <w:t>截止</w:t>
      </w:r>
      <w:r>
        <w:rPr>
          <w:rFonts w:hint="eastAsia" w:ascii="仿宋" w:hAnsi="仿宋" w:eastAsia="仿宋" w:cs="仿宋"/>
          <w:sz w:val="32"/>
          <w:szCs w:val="32"/>
          <w:lang w:eastAsia="zh-CN"/>
        </w:rPr>
        <w:t>2022年</w:t>
      </w:r>
      <w:r>
        <w:rPr>
          <w:rFonts w:hint="eastAsia" w:ascii="仿宋" w:hAnsi="仿宋" w:eastAsia="仿宋" w:cs="仿宋"/>
          <w:sz w:val="32"/>
          <w:szCs w:val="32"/>
        </w:rPr>
        <w:t>底，本部门人员编制</w:t>
      </w:r>
      <w:r>
        <w:rPr>
          <w:rFonts w:hint="eastAsia" w:ascii="仿宋" w:hAnsi="仿宋" w:eastAsia="仿宋" w:cs="仿宋"/>
          <w:sz w:val="32"/>
          <w:szCs w:val="32"/>
          <w:lang w:val="en-US" w:eastAsia="zh-CN"/>
        </w:rPr>
        <w:t>19</w:t>
      </w:r>
      <w:r>
        <w:rPr>
          <w:rFonts w:hint="eastAsia" w:ascii="仿宋" w:hAnsi="仿宋" w:eastAsia="仿宋" w:cs="仿宋"/>
          <w:sz w:val="32"/>
          <w:szCs w:val="32"/>
        </w:rPr>
        <w:t>人，其中行政编制</w:t>
      </w:r>
      <w:r>
        <w:rPr>
          <w:rFonts w:hint="eastAsia" w:ascii="仿宋" w:hAnsi="仿宋" w:eastAsia="仿宋" w:cs="仿宋"/>
          <w:sz w:val="32"/>
          <w:szCs w:val="32"/>
          <w:lang w:val="en-US" w:eastAsia="zh-CN"/>
        </w:rPr>
        <w:t>0</w:t>
      </w:r>
      <w:r>
        <w:rPr>
          <w:rFonts w:hint="eastAsia" w:ascii="仿宋" w:hAnsi="仿宋" w:eastAsia="仿宋" w:cs="仿宋"/>
          <w:sz w:val="32"/>
          <w:szCs w:val="32"/>
        </w:rPr>
        <w:t>人、事业编制</w:t>
      </w:r>
      <w:r>
        <w:rPr>
          <w:rFonts w:hint="eastAsia" w:ascii="仿宋" w:hAnsi="仿宋" w:eastAsia="仿宋" w:cs="仿宋"/>
          <w:sz w:val="32"/>
          <w:szCs w:val="32"/>
          <w:lang w:val="en-US" w:eastAsia="zh-CN"/>
        </w:rPr>
        <w:t>19</w:t>
      </w:r>
      <w:r>
        <w:rPr>
          <w:rFonts w:hint="eastAsia" w:ascii="仿宋" w:hAnsi="仿宋" w:eastAsia="仿宋" w:cs="仿宋"/>
          <w:sz w:val="32"/>
          <w:szCs w:val="32"/>
        </w:rPr>
        <w:t>人；实有人员</w:t>
      </w:r>
      <w:r>
        <w:rPr>
          <w:rFonts w:hint="eastAsia" w:ascii="仿宋" w:hAnsi="仿宋" w:eastAsia="仿宋" w:cs="仿宋"/>
          <w:sz w:val="32"/>
          <w:szCs w:val="32"/>
          <w:lang w:val="en-US" w:eastAsia="zh-CN"/>
        </w:rPr>
        <w:t>12</w:t>
      </w:r>
      <w:r>
        <w:rPr>
          <w:rFonts w:hint="eastAsia" w:ascii="仿宋" w:hAnsi="仿宋" w:eastAsia="仿宋" w:cs="仿宋"/>
          <w:sz w:val="32"/>
          <w:szCs w:val="32"/>
        </w:rPr>
        <w:t>人，其中行政</w:t>
      </w:r>
      <w:r>
        <w:rPr>
          <w:rFonts w:hint="eastAsia" w:ascii="仿宋" w:hAnsi="仿宋" w:eastAsia="仿宋" w:cs="仿宋"/>
          <w:sz w:val="32"/>
          <w:szCs w:val="32"/>
          <w:lang w:val="en-US" w:eastAsia="zh-CN"/>
        </w:rPr>
        <w:t>0</w:t>
      </w:r>
      <w:r>
        <w:rPr>
          <w:rFonts w:hint="eastAsia" w:ascii="仿宋" w:hAnsi="仿宋" w:eastAsia="仿宋" w:cs="仿宋"/>
          <w:sz w:val="32"/>
          <w:szCs w:val="32"/>
        </w:rPr>
        <w:t>人、事业</w:t>
      </w:r>
      <w:r>
        <w:rPr>
          <w:rFonts w:hint="eastAsia" w:ascii="仿宋" w:hAnsi="仿宋" w:eastAsia="仿宋" w:cs="仿宋"/>
          <w:sz w:val="32"/>
          <w:szCs w:val="32"/>
          <w:lang w:val="en-US" w:eastAsia="zh-CN"/>
        </w:rPr>
        <w:t>12</w:t>
      </w:r>
      <w:r>
        <w:rPr>
          <w:rFonts w:hint="eastAsia" w:ascii="仿宋" w:hAnsi="仿宋" w:eastAsia="仿宋" w:cs="仿宋"/>
          <w:sz w:val="32"/>
          <w:szCs w:val="32"/>
        </w:rPr>
        <w:t>人。单位管理的离退休人员</w:t>
      </w:r>
      <w:r>
        <w:rPr>
          <w:rFonts w:hint="eastAsia" w:ascii="仿宋" w:hAnsi="仿宋" w:eastAsia="仿宋" w:cs="仿宋"/>
          <w:sz w:val="32"/>
          <w:szCs w:val="32"/>
          <w:lang w:val="en-US" w:eastAsia="zh-CN"/>
        </w:rPr>
        <w:t>9</w:t>
      </w:r>
      <w:r>
        <w:rPr>
          <w:rFonts w:hint="eastAsia" w:ascii="仿宋" w:hAnsi="仿宋" w:eastAsia="仿宋" w:cs="仿宋"/>
          <w:sz w:val="32"/>
          <w:szCs w:val="32"/>
        </w:rPr>
        <w:t>人。</w:t>
      </w:r>
    </w:p>
    <w:p>
      <w:pPr>
        <w:spacing w:line="360" w:lineRule="auto"/>
        <w:ind w:firstLine="480"/>
        <w:jc w:val="center"/>
      </w:pPr>
    </w:p>
    <w:p>
      <w:pPr>
        <w:spacing w:line="360" w:lineRule="auto"/>
        <w:ind w:firstLine="480"/>
        <w:jc w:val="center"/>
      </w:pPr>
      <w:r>
        <w:drawing>
          <wp:inline distT="0" distB="0" distL="114300" distR="114300">
            <wp:extent cx="4533265" cy="2752090"/>
            <wp:effectExtent l="0" t="0" r="635"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2"/>
                    <a:stretch>
                      <a:fillRect/>
                    </a:stretch>
                  </pic:blipFill>
                  <pic:spPr>
                    <a:xfrm>
                      <a:off x="0" y="0"/>
                      <a:ext cx="4533265" cy="2752090"/>
                    </a:xfrm>
                    <a:prstGeom prst="rect">
                      <a:avLst/>
                    </a:prstGeom>
                    <a:noFill/>
                    <a:ln>
                      <a:noFill/>
                    </a:ln>
                  </pic:spPr>
                </pic:pic>
              </a:graphicData>
            </a:graphic>
          </wp:inline>
        </w:drawing>
      </w:r>
    </w:p>
    <w:p>
      <w:pPr>
        <w:spacing w:line="360" w:lineRule="auto"/>
        <w:ind w:firstLine="480"/>
        <w:jc w:val="center"/>
      </w:pPr>
    </w:p>
    <w:p>
      <w:pPr>
        <w:spacing w:line="360" w:lineRule="auto"/>
        <w:ind w:firstLine="480"/>
        <w:jc w:val="center"/>
      </w:pPr>
    </w:p>
    <w:p>
      <w:pPr>
        <w:numPr>
          <w:ilvl w:val="0"/>
          <w:numId w:val="1"/>
        </w:numPr>
        <w:spacing w:line="360" w:lineRule="auto"/>
        <w:ind w:firstLine="2570" w:firstLineChars="800"/>
        <w:rPr>
          <w:rFonts w:ascii="仿宋" w:hAnsi="仿宋" w:eastAsia="仿宋" w:cs="仿宋"/>
          <w:b/>
          <w:bCs/>
          <w:sz w:val="32"/>
          <w:szCs w:val="32"/>
        </w:rPr>
      </w:pPr>
      <w:r>
        <w:rPr>
          <w:rFonts w:hint="eastAsia" w:ascii="仿宋" w:hAnsi="仿宋" w:eastAsia="仿宋" w:cs="仿宋"/>
          <w:b/>
          <w:bCs/>
          <w:sz w:val="32"/>
          <w:szCs w:val="32"/>
        </w:rPr>
        <w:t>收支情况</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四、2023年单位预算收支说明</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（一）收支预算总体情况。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按照综合预算的原则，本单位所有收入和支出均纳入</w:t>
      </w:r>
      <w:r>
        <w:rPr>
          <w:rFonts w:hint="eastAsia" w:ascii="仿宋" w:hAnsi="仿宋" w:eastAsia="仿宋" w:cs="仿宋"/>
          <w:sz w:val="32"/>
          <w:szCs w:val="32"/>
          <w:lang w:eastAsia="zh-CN"/>
        </w:rPr>
        <w:t>部门预算</w:t>
      </w:r>
      <w:r>
        <w:rPr>
          <w:rFonts w:hint="eastAsia" w:ascii="仿宋" w:hAnsi="仿宋" w:eastAsia="仿宋" w:cs="仿宋"/>
          <w:sz w:val="32"/>
          <w:szCs w:val="32"/>
        </w:rPr>
        <w:t>管理。2023年本单位预算收入44.28万元，其中一般公共预算拨款收入44.28万元、政府性基金拨款收入0.00万元、事业单位经营收入0.00万元、附属单位上缴收入0.00万元、其他自有资金收入0.00万元、上年结转收入0.00万元，2023年本单位预算收入较上年减少36.71万元，主要原因是人员工资预算指标统一上主管局，不在本预算单位反映；2023年本单位预算支出44.28万元，其中一般公共预算拨款支出44.28万元、政府性基金拨款支出0.00万元、事业单位经营支出0.00万元、附属单位上缴支出0.00万元、其他自有资金支出0.00万元、上年结转支出0.00万元，2023年本单位预算支出较上年减少36.71万元，主要原因是人员工资支出预算指标统一上主管局，本预算支出未反映。</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（二）财政拨款收支情况。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财政拨款收入44.28万元，其中一般公共预算拨款收入44.28万元、政府性基金拨款收入0.00万元、上年结转收入0.00万元，2023年本单位财政拨款收入较上年减少36.71万元，主要原因是人员工资预算指标统一上主管局，不在本预算反映；2023年本单位财政拨款支出44.28万元，其中一般公共预算拨款支出44.28万元、政府性基金拨款支出0.00万元，2023年本单位财政拨款支出较上年减少36.71万元，主要原因是人员工资预算指标统一上主管局，不在本预算反映。</w:t>
      </w:r>
    </w:p>
    <w:p>
      <w:pPr>
        <w:numPr>
          <w:ilvl w:val="0"/>
          <w:numId w:val="2"/>
        </w:numPr>
        <w:spacing w:line="360" w:lineRule="auto"/>
        <w:ind w:firstLine="643"/>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sz w:val="32"/>
          <w:szCs w:val="32"/>
        </w:rPr>
        <w:t>一般公共预算拨款支出明细情况。</w:t>
      </w:r>
    </w:p>
    <w:p>
      <w:pPr>
        <w:spacing w:line="360" w:lineRule="auto"/>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rPr>
        <w:t>1</w:t>
      </w:r>
      <w:r>
        <w:rPr>
          <w:rFonts w:hint="eastAsia" w:ascii="仿宋" w:hAnsi="仿宋" w:eastAsia="仿宋" w:cs="仿宋"/>
          <w:color w:val="000000" w:themeColor="text1"/>
          <w:sz w:val="32"/>
          <w:szCs w:val="32"/>
          <w14:textFill>
            <w14:solidFill>
              <w14:schemeClr w14:val="tx1"/>
            </w14:solidFill>
          </w14:textFill>
        </w:rPr>
        <w:t>、一般公共预算当年拨款规模变化情况。</w:t>
      </w:r>
    </w:p>
    <w:p>
      <w:pPr>
        <w:spacing w:line="360" w:lineRule="auto"/>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2023年本单位当年一般公共预算拨款支出44.28万元，较上年减少</w:t>
      </w:r>
      <w:r>
        <w:rPr>
          <w:rFonts w:hint="eastAsia" w:ascii="仿宋" w:hAnsi="仿宋" w:eastAsia="仿宋" w:cs="仿宋"/>
          <w:sz w:val="32"/>
          <w:szCs w:val="32"/>
        </w:rPr>
        <w:t>36.71</w:t>
      </w:r>
      <w:r>
        <w:rPr>
          <w:rFonts w:hint="eastAsia" w:ascii="仿宋" w:hAnsi="仿宋" w:eastAsia="仿宋" w:cs="仿宋"/>
          <w:color w:val="000000" w:themeColor="text1"/>
          <w:sz w:val="32"/>
          <w:szCs w:val="32"/>
          <w14:textFill>
            <w14:solidFill>
              <w14:schemeClr w14:val="tx1"/>
            </w14:solidFill>
          </w14:textFill>
        </w:rPr>
        <w:t>万元，主要原因是人员工资预算指标统一上主管局，不在本预算反映。</w:t>
      </w:r>
    </w:p>
    <w:p>
      <w:pPr>
        <w:spacing w:line="360" w:lineRule="auto"/>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2、支出按功能科目分类的明细情况。</w:t>
      </w:r>
    </w:p>
    <w:p>
      <w:pPr>
        <w:spacing w:line="360" w:lineRule="auto"/>
        <w:ind w:firstLine="640"/>
        <w:rPr>
          <w:rFonts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本单位2023年当年一般公</w:t>
      </w:r>
      <w:r>
        <w:rPr>
          <w:rFonts w:hint="eastAsia" w:ascii="仿宋" w:hAnsi="仿宋" w:eastAsia="仿宋" w:cs="仿宋"/>
          <w:sz w:val="32"/>
          <w:szCs w:val="32"/>
        </w:rPr>
        <w:t>共预算支出44.28万元，其中：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（1）机关事业单位基本养老保险缴费支出（2080505）18.39万元，较上年增加4.32万元，原因是缴费基数调整。</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（2）乡镇卫生院（2100302）2.71万元，较上年减少</w:t>
      </w:r>
      <w:r>
        <w:rPr>
          <w:rFonts w:hint="eastAsia" w:ascii="仿宋" w:hAnsi="仿宋" w:eastAsia="仿宋" w:cs="仿宋"/>
          <w:color w:val="000000" w:themeColor="text1"/>
          <w:sz w:val="32"/>
          <w:szCs w:val="32"/>
          <w14:textFill>
            <w14:solidFill>
              <w14:schemeClr w14:val="tx1"/>
            </w14:solidFill>
          </w14:textFill>
        </w:rPr>
        <w:t>41.33</w:t>
      </w:r>
      <w:r>
        <w:rPr>
          <w:rFonts w:hint="eastAsia" w:ascii="仿宋" w:hAnsi="仿宋" w:eastAsia="仿宋" w:cs="仿宋"/>
          <w:sz w:val="32"/>
          <w:szCs w:val="32"/>
        </w:rPr>
        <w:t>万元，原因是人员工资预算指标统一上主管局，不在本预算反映。</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（3）事业单位医疗（2101102）9.08万元，较上年减少1.22万元，原因是退休人员2%公务员医疗补助未预算其中；医保政策调整，划入个人账户减少。</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（4）住房公积金（2210201）14.10万元，较上年增加1.52万元，原因是缴费基数调整。</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b/>
          <w:bCs/>
          <w:sz w:val="32"/>
          <w:szCs w:val="32"/>
        </w:rPr>
        <w:t>、</w:t>
      </w:r>
      <w:r>
        <w:rPr>
          <w:rFonts w:hint="eastAsia" w:ascii="仿宋" w:hAnsi="仿宋" w:eastAsia="仿宋" w:cs="仿宋"/>
          <w:sz w:val="32"/>
          <w:szCs w:val="32"/>
        </w:rPr>
        <w:t>支出按经济科目分类的明细情况。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（1）按照单位预算支出经济分类的类级科目说明。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2023年本单位当年一般公共预算支出44.28万元，其中：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工资福利支出（301）42.72万元，较上年减少38.27万元，原因是人员工资预算指标统一上主管局，不在本预算反映。</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对个人和家庭的补助支出（303）1.56万元，较上年增加1.56万元，原因是上年退休人员支出在工资福利支出（301）中反映。</w:t>
      </w:r>
    </w:p>
    <w:p>
      <w:pPr>
        <w:numPr>
          <w:ilvl w:val="0"/>
          <w:numId w:val="3"/>
        </w:numPr>
        <w:spacing w:line="360" w:lineRule="auto"/>
        <w:ind w:firstLine="640"/>
        <w:rPr>
          <w:rFonts w:ascii="仿宋" w:hAnsi="仿宋" w:eastAsia="仿宋" w:cs="仿宋"/>
          <w:sz w:val="32"/>
          <w:szCs w:val="32"/>
        </w:rPr>
      </w:pPr>
      <w:r>
        <w:rPr>
          <w:rFonts w:hint="eastAsia" w:ascii="仿宋" w:hAnsi="仿宋" w:eastAsia="仿宋" w:cs="仿宋"/>
          <w:sz w:val="32"/>
          <w:szCs w:val="32"/>
        </w:rPr>
        <w:t>按照政府预算支出经济分类的类级科目说明。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2023年本单位当年一般公共预算支出44.28万元，其中：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工资福利支出（505）42.72万元，较上年减少38.27万元，原因是人员工资预算指标统一上主管局，不在本预算反映；</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对个人和家庭补助（509）1.56万元，较上年增加1.56万元，原因是上年退休人员支出在工资福利支出（301）中反映；</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离退休费（50905）0.84万元，较上年增加0.84万元，原因是上年退休人员支出在工资福利支出（301）中反映；</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其他对个人和家庭补助（50999）0.72万元，较上年增加0.72万元，原因是上年在工资福利支出（301）中反映；</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4、2022年结转财政资金一般公共预算拨款支出情况。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本单位无2022年结转的一般公共预算拨款资金支出。</w:t>
      </w:r>
    </w:p>
    <w:p>
      <w:pPr>
        <w:numPr>
          <w:ilvl w:val="0"/>
          <w:numId w:val="4"/>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政府性基金预算支出情况。</w:t>
      </w:r>
    </w:p>
    <w:p>
      <w:pPr>
        <w:numPr>
          <w:ilvl w:val="0"/>
          <w:numId w:val="5"/>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当年政府性基金预算支出情况。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本单位无当年政府性基金预算收支，并已公开空表。</w:t>
      </w:r>
    </w:p>
    <w:p>
      <w:pPr>
        <w:numPr>
          <w:ilvl w:val="0"/>
          <w:numId w:val="5"/>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上年结转政府性基金预算支出情况。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本单位无2022年结转的政府性基金预算拨款支出。</w:t>
      </w:r>
    </w:p>
    <w:p>
      <w:pPr>
        <w:numPr>
          <w:ilvl w:val="0"/>
          <w:numId w:val="4"/>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国有资本经营预算拨款收支情况。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本单位无当年国有资本经营预算拨款收支，并在财政拨款收支总体情况表中列示。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本单位无2022年结转的国有资本经营预算拨款支出。</w:t>
      </w:r>
    </w:p>
    <w:p>
      <w:pPr>
        <w:spacing w:line="360" w:lineRule="auto"/>
        <w:ind w:firstLine="0" w:firstLineChars="0"/>
        <w:rPr>
          <w:rFonts w:ascii="仿宋" w:hAnsi="仿宋" w:eastAsia="仿宋" w:cs="仿宋"/>
          <w:b/>
          <w:bCs/>
          <w:sz w:val="32"/>
          <w:szCs w:val="32"/>
        </w:rPr>
      </w:pPr>
    </w:p>
    <w:p>
      <w:pPr>
        <w:spacing w:line="360" w:lineRule="auto"/>
        <w:ind w:firstLine="1928" w:firstLineChars="600"/>
        <w:rPr>
          <w:rFonts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五、单位预算“三公”经费等预算情况说明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（1）本单位2023年一般公共预算未安排“三公”经费、会议费、培训费支出预算，并已公开空表。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（2）本单位无2022年结转的财政拨款‘三公’经费和会议费、培训费支出。</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六、单位国有资产占有使用及资产购置情况说明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截止2022年底，本单位所属预算单位共有车辆1辆，单价20万元以上的设备2台。2023年当年单位预算安排购置车辆0辆；安排购置单价20万元以上的设备0台。</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本单位无2022年结转的财政拨款支出资产购置。</w:t>
      </w:r>
    </w:p>
    <w:p>
      <w:pPr>
        <w:pStyle w:val="7"/>
        <w:numPr>
          <w:numId w:val="0"/>
        </w:numPr>
        <w:spacing w:line="360" w:lineRule="auto"/>
        <w:ind w:left="321" w:leftChars="0"/>
        <w:rPr>
          <w:rFonts w:ascii="仿宋" w:hAnsi="仿宋" w:eastAsia="仿宋" w:cs="仿宋"/>
          <w:b/>
          <w:bCs/>
          <w:sz w:val="32"/>
          <w:szCs w:val="32"/>
        </w:rPr>
      </w:pPr>
      <w:r>
        <w:rPr>
          <w:rFonts w:hint="eastAsia" w:ascii="仿宋" w:hAnsi="仿宋" w:eastAsia="仿宋" w:cs="仿宋"/>
          <w:b/>
          <w:bCs/>
          <w:sz w:val="32"/>
          <w:szCs w:val="32"/>
          <w:lang w:val="en-US" w:eastAsia="zh-CN"/>
        </w:rPr>
        <w:t xml:space="preserve">    七、</w:t>
      </w:r>
      <w:r>
        <w:rPr>
          <w:rFonts w:hint="eastAsia" w:ascii="仿宋" w:hAnsi="仿宋" w:eastAsia="仿宋" w:cs="仿宋"/>
          <w:b/>
          <w:bCs/>
          <w:sz w:val="32"/>
          <w:szCs w:val="32"/>
        </w:rPr>
        <w:t>单位政府采购情况说明</w:t>
      </w:r>
    </w:p>
    <w:p>
      <w:pPr>
        <w:spacing w:line="360" w:lineRule="auto"/>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本单位2023年无政府采购预算，并已公开空表。</w:t>
      </w:r>
    </w:p>
    <w:p>
      <w:pPr>
        <w:spacing w:line="360" w:lineRule="auto"/>
        <w:ind w:firstLine="640"/>
        <w:rPr>
          <w:rFonts w:ascii="仿宋" w:hAnsi="仿宋" w:eastAsia="仿宋" w:cs="仿宋"/>
          <w:color w:val="FFFFFF" w:themeColor="background1"/>
          <w:sz w:val="32"/>
          <w:szCs w:val="32"/>
          <w14:textFill>
            <w14:solidFill>
              <w14:schemeClr w14:val="bg1"/>
            </w14:solidFill>
          </w14:textFill>
        </w:rPr>
      </w:pPr>
      <w:r>
        <w:rPr>
          <w:rFonts w:hint="eastAsia" w:ascii="仿宋" w:hAnsi="仿宋" w:eastAsia="仿宋" w:cs="仿宋"/>
          <w:color w:val="000000" w:themeColor="text1"/>
          <w:sz w:val="32"/>
          <w:szCs w:val="32"/>
          <w14:textFill>
            <w14:solidFill>
              <w14:schemeClr w14:val="tx1"/>
            </w14:solidFill>
          </w14:textFill>
        </w:rPr>
        <w:t>本单位无2022年结转的政府采购资金支出。</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八、单位预算绩效目标说明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2023年本单位绩效目标管理全覆盖，涉及当年一般公共预算拨款44.28万元</w:t>
      </w:r>
      <w:r>
        <w:rPr>
          <w:rFonts w:hint="eastAsia" w:ascii="仿宋" w:hAnsi="仿宋" w:eastAsia="仿宋" w:cs="仿宋"/>
          <w:sz w:val="32"/>
          <w:szCs w:val="32"/>
          <w:lang w:eastAsia="zh-CN"/>
        </w:rPr>
        <w:t>，</w:t>
      </w:r>
      <w:r>
        <w:rPr>
          <w:rFonts w:hint="eastAsia" w:ascii="仿宋" w:hAnsi="仿宋" w:eastAsia="仿宋" w:cs="仿宋"/>
          <w:sz w:val="32"/>
          <w:szCs w:val="32"/>
        </w:rPr>
        <w:t>当年政府性基金预算拨款0.00万元，当年国有资本经营预算拨款0.00万元（详见公开报表中的绩效目标表）。</w:t>
      </w:r>
    </w:p>
    <w:p>
      <w:pPr>
        <w:spacing w:line="360" w:lineRule="auto"/>
        <w:ind w:firstLine="640"/>
        <w:rPr>
          <w:rFonts w:ascii="仿宋" w:hAnsi="仿宋" w:eastAsia="仿宋" w:cs="仿宋"/>
          <w:b/>
          <w:bCs/>
          <w:sz w:val="32"/>
          <w:szCs w:val="32"/>
        </w:rPr>
      </w:pPr>
      <w:r>
        <w:rPr>
          <w:rFonts w:hint="eastAsia" w:ascii="仿宋" w:hAnsi="仿宋" w:eastAsia="仿宋" w:cs="仿宋"/>
          <w:sz w:val="32"/>
          <w:szCs w:val="32"/>
        </w:rPr>
        <w:t>本单位无2022年结转的财政拨款支出涉及的绩效目标管理。</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九、机关运行经费安排说明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本单位当年未预算一般公共预算机关运行经费。</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本单位无2022年结转的财政拨款机关运行经费支出。</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十、专业名词解释</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机关运行经费：指各单位的公用经费，包括办公及印刷费、邮电费、差旅费、会议费、福利费、日常维修费、专用材料及一般设备购置费、办公用房水电费、办公用房取暖费、办公用房物业管理费、公务用车运行费以及其他费用。</w:t>
      </w:r>
    </w:p>
    <w:p>
      <w:pPr>
        <w:pStyle w:val="6"/>
        <w:spacing w:line="360" w:lineRule="auto"/>
        <w:ind w:firstLine="640"/>
        <w:rPr>
          <w:rFonts w:ascii="仿宋" w:hAnsi="仿宋" w:eastAsia="仿宋" w:cs="仿宋"/>
          <w:sz w:val="32"/>
          <w:szCs w:val="32"/>
        </w:rPr>
      </w:pPr>
      <w:r>
        <w:rPr>
          <w:rFonts w:hint="eastAsia" w:ascii="仿宋" w:hAnsi="仿宋" w:eastAsia="仿宋" w:cs="仿宋"/>
          <w:sz w:val="32"/>
          <w:szCs w:val="32"/>
        </w:rPr>
        <w:t>2.“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spacing w:line="360" w:lineRule="auto"/>
        <w:ind w:firstLine="643"/>
        <w:jc w:val="center"/>
        <w:rPr>
          <w:rFonts w:ascii="仿宋" w:hAnsi="仿宋" w:eastAsia="仿宋" w:cs="仿宋"/>
          <w:b/>
          <w:bCs/>
          <w:sz w:val="32"/>
          <w:szCs w:val="32"/>
        </w:rPr>
      </w:pPr>
    </w:p>
    <w:p>
      <w:pPr>
        <w:spacing w:line="360" w:lineRule="auto"/>
        <w:ind w:firstLine="643"/>
        <w:jc w:val="center"/>
        <w:rPr>
          <w:rFonts w:ascii="仿宋" w:hAnsi="仿宋" w:eastAsia="仿宋" w:cs="仿宋"/>
          <w:b/>
          <w:bCs/>
          <w:sz w:val="32"/>
          <w:szCs w:val="32"/>
        </w:rPr>
      </w:pPr>
    </w:p>
    <w:p>
      <w:pPr>
        <w:spacing w:line="360" w:lineRule="auto"/>
        <w:ind w:firstLine="643"/>
        <w:jc w:val="center"/>
        <w:rPr>
          <w:rFonts w:ascii="仿宋" w:hAnsi="仿宋" w:eastAsia="仿宋" w:cs="仿宋"/>
          <w:b/>
          <w:bCs/>
          <w:sz w:val="32"/>
          <w:szCs w:val="32"/>
        </w:rPr>
      </w:pPr>
    </w:p>
    <w:p>
      <w:pPr>
        <w:spacing w:line="360" w:lineRule="auto"/>
        <w:ind w:firstLine="643"/>
        <w:jc w:val="center"/>
        <w:rPr>
          <w:rFonts w:ascii="仿宋" w:hAnsi="仿宋" w:eastAsia="仿宋" w:cs="仿宋"/>
          <w:b/>
          <w:bCs/>
          <w:sz w:val="32"/>
          <w:szCs w:val="32"/>
        </w:rPr>
      </w:pPr>
    </w:p>
    <w:p>
      <w:pPr>
        <w:spacing w:line="360" w:lineRule="auto"/>
        <w:ind w:firstLine="643"/>
        <w:jc w:val="center"/>
        <w:rPr>
          <w:rFonts w:ascii="仿宋" w:hAnsi="仿宋" w:eastAsia="仿宋" w:cs="仿宋"/>
          <w:b/>
          <w:bCs/>
          <w:sz w:val="32"/>
          <w:szCs w:val="32"/>
        </w:rPr>
      </w:pP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第四部分  公开报表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（详见附表）</w:t>
      </w:r>
      <w:r>
        <w:rPr>
          <w:rFonts w:hint="eastAsia" w:ascii="仿宋" w:hAnsi="仿宋" w:eastAsia="仿宋" w:cs="仿宋"/>
          <w:sz w:val="32"/>
          <w:szCs w:val="32"/>
        </w:rPr>
        <w:tab/>
      </w:r>
    </w:p>
    <w:p>
      <w:pPr>
        <w:spacing w:line="360" w:lineRule="auto"/>
        <w:ind w:firstLine="640"/>
        <w:rPr>
          <w:rFonts w:ascii="仿宋" w:hAnsi="仿宋" w:eastAsia="仿宋" w:cs="仿宋"/>
          <w:sz w:val="32"/>
          <w:szCs w:val="32"/>
        </w:rPr>
      </w:pPr>
    </w:p>
    <w:p>
      <w:pPr>
        <w:spacing w:line="360" w:lineRule="auto"/>
        <w:ind w:firstLine="640"/>
        <w:rPr>
          <w:rFonts w:ascii="仿宋" w:hAnsi="仿宋" w:eastAsia="仿宋" w:cs="仿宋"/>
          <w:sz w:val="32"/>
          <w:szCs w:val="32"/>
        </w:rPr>
      </w:pPr>
      <w:r>
        <w:rPr>
          <w:rFonts w:hint="eastAsia" w:ascii="仿宋" w:hAnsi="仿宋" w:eastAsia="仿宋" w:cs="仿宋"/>
          <w:sz w:val="32"/>
          <w:szCs w:val="32"/>
        </w:rPr>
        <w:t xml:space="preserve">                            </w:t>
      </w:r>
    </w:p>
    <w:p>
      <w:pPr>
        <w:spacing w:line="360" w:lineRule="auto"/>
        <w:ind w:firstLine="4480" w:firstLineChars="1400"/>
        <w:rPr>
          <w:rFonts w:ascii="仿宋" w:hAnsi="仿宋" w:eastAsia="仿宋" w:cs="仿宋"/>
          <w:sz w:val="32"/>
          <w:szCs w:val="32"/>
        </w:rPr>
      </w:pPr>
    </w:p>
    <w:p>
      <w:pPr>
        <w:spacing w:line="360" w:lineRule="auto"/>
        <w:ind w:firstLine="4480" w:firstLineChars="1400"/>
        <w:rPr>
          <w:rFonts w:ascii="仿宋" w:hAnsi="仿宋" w:eastAsia="仿宋" w:cs="仿宋"/>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D13ADF"/>
    <w:multiLevelType w:val="singleLevel"/>
    <w:tmpl w:val="91D13ADF"/>
    <w:lvl w:ilvl="0" w:tentative="0">
      <w:start w:val="2"/>
      <w:numFmt w:val="chineseCounting"/>
      <w:suff w:val="space"/>
      <w:lvlText w:val="第%1部分、"/>
      <w:lvlJc w:val="left"/>
      <w:rPr>
        <w:rFonts w:hint="eastAsia"/>
      </w:rPr>
    </w:lvl>
  </w:abstractNum>
  <w:abstractNum w:abstractNumId="1">
    <w:nsid w:val="9ACC8E54"/>
    <w:multiLevelType w:val="singleLevel"/>
    <w:tmpl w:val="9ACC8E54"/>
    <w:lvl w:ilvl="0" w:tentative="0">
      <w:start w:val="1"/>
      <w:numFmt w:val="decimal"/>
      <w:suff w:val="nothing"/>
      <w:lvlText w:val="%1、"/>
      <w:lvlJc w:val="left"/>
    </w:lvl>
  </w:abstractNum>
  <w:abstractNum w:abstractNumId="2">
    <w:nsid w:val="27254C28"/>
    <w:multiLevelType w:val="singleLevel"/>
    <w:tmpl w:val="27254C28"/>
    <w:lvl w:ilvl="0" w:tentative="0">
      <w:start w:val="2"/>
      <w:numFmt w:val="decimal"/>
      <w:suff w:val="nothing"/>
      <w:lvlText w:val="（%1）"/>
      <w:lvlJc w:val="left"/>
    </w:lvl>
  </w:abstractNum>
  <w:abstractNum w:abstractNumId="3">
    <w:nsid w:val="472E42EC"/>
    <w:multiLevelType w:val="singleLevel"/>
    <w:tmpl w:val="472E42EC"/>
    <w:lvl w:ilvl="0" w:tentative="0">
      <w:start w:val="3"/>
      <w:numFmt w:val="chineseCounting"/>
      <w:suff w:val="nothing"/>
      <w:lvlText w:val="（%1）"/>
      <w:lvlJc w:val="left"/>
      <w:rPr>
        <w:rFonts w:hint="eastAsia"/>
      </w:rPr>
    </w:lvl>
  </w:abstractNum>
  <w:abstractNum w:abstractNumId="4">
    <w:nsid w:val="5D0214CA"/>
    <w:multiLevelType w:val="singleLevel"/>
    <w:tmpl w:val="5D0214CA"/>
    <w:lvl w:ilvl="0" w:tentative="0">
      <w:start w:val="4"/>
      <w:numFmt w:val="chineseCounting"/>
      <w:suff w:val="nothing"/>
      <w:lvlText w:val="（%1）"/>
      <w:lvlJc w:val="left"/>
      <w:rPr>
        <w:rFonts w:hint="eastAsia"/>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ZjU1ODlkZTJkZjZjN2Y3OGYzOGQwZjIwYjkwNjQifQ=="/>
  </w:docVars>
  <w:rsids>
    <w:rsidRoot w:val="1ED0381D"/>
    <w:rsid w:val="000873C4"/>
    <w:rsid w:val="00096339"/>
    <w:rsid w:val="001D43B1"/>
    <w:rsid w:val="004E73EF"/>
    <w:rsid w:val="00B37A9D"/>
    <w:rsid w:val="00D70262"/>
    <w:rsid w:val="018F2D13"/>
    <w:rsid w:val="02190324"/>
    <w:rsid w:val="02587AC4"/>
    <w:rsid w:val="02953D9A"/>
    <w:rsid w:val="02D77D47"/>
    <w:rsid w:val="03492EBD"/>
    <w:rsid w:val="03580390"/>
    <w:rsid w:val="03791D26"/>
    <w:rsid w:val="0466605A"/>
    <w:rsid w:val="04F35073"/>
    <w:rsid w:val="05125906"/>
    <w:rsid w:val="05FE16F3"/>
    <w:rsid w:val="061D2748"/>
    <w:rsid w:val="06D7231D"/>
    <w:rsid w:val="06F6500C"/>
    <w:rsid w:val="075D6C6A"/>
    <w:rsid w:val="07652935"/>
    <w:rsid w:val="076C5B09"/>
    <w:rsid w:val="0773304F"/>
    <w:rsid w:val="089D1D43"/>
    <w:rsid w:val="08A47740"/>
    <w:rsid w:val="08C92C4C"/>
    <w:rsid w:val="08E830BD"/>
    <w:rsid w:val="0A4620B0"/>
    <w:rsid w:val="0A653AEA"/>
    <w:rsid w:val="0A8969BD"/>
    <w:rsid w:val="0AAB1747"/>
    <w:rsid w:val="0AB47688"/>
    <w:rsid w:val="0B2068A3"/>
    <w:rsid w:val="0B473936"/>
    <w:rsid w:val="0B820553"/>
    <w:rsid w:val="0B8A1B09"/>
    <w:rsid w:val="0C805687"/>
    <w:rsid w:val="0D053BAB"/>
    <w:rsid w:val="0D594F94"/>
    <w:rsid w:val="0D970270"/>
    <w:rsid w:val="0DBB6B1B"/>
    <w:rsid w:val="0E1F698E"/>
    <w:rsid w:val="0E32659B"/>
    <w:rsid w:val="0E3D726B"/>
    <w:rsid w:val="0F4B4941"/>
    <w:rsid w:val="0F4C45C8"/>
    <w:rsid w:val="0F525BA2"/>
    <w:rsid w:val="0F910C36"/>
    <w:rsid w:val="0FA9052D"/>
    <w:rsid w:val="10163FB4"/>
    <w:rsid w:val="10A536CA"/>
    <w:rsid w:val="112964C7"/>
    <w:rsid w:val="11406260"/>
    <w:rsid w:val="11DC3E24"/>
    <w:rsid w:val="12024ADF"/>
    <w:rsid w:val="12B55B02"/>
    <w:rsid w:val="130D1D17"/>
    <w:rsid w:val="13DD192D"/>
    <w:rsid w:val="144C6F1D"/>
    <w:rsid w:val="14717864"/>
    <w:rsid w:val="147F7E6C"/>
    <w:rsid w:val="14A42305"/>
    <w:rsid w:val="14C85364"/>
    <w:rsid w:val="14FA613E"/>
    <w:rsid w:val="15053ED9"/>
    <w:rsid w:val="15AB247C"/>
    <w:rsid w:val="15BA67E3"/>
    <w:rsid w:val="15D208FF"/>
    <w:rsid w:val="15EB6487"/>
    <w:rsid w:val="162F06BA"/>
    <w:rsid w:val="163A3AD8"/>
    <w:rsid w:val="166918D6"/>
    <w:rsid w:val="176724C1"/>
    <w:rsid w:val="17837D0B"/>
    <w:rsid w:val="17A03376"/>
    <w:rsid w:val="17AE472C"/>
    <w:rsid w:val="17D02776"/>
    <w:rsid w:val="18623479"/>
    <w:rsid w:val="186463E2"/>
    <w:rsid w:val="18AF7F70"/>
    <w:rsid w:val="190A41CC"/>
    <w:rsid w:val="19EF362D"/>
    <w:rsid w:val="1A431FF4"/>
    <w:rsid w:val="1B746107"/>
    <w:rsid w:val="1BD3117C"/>
    <w:rsid w:val="1BF20661"/>
    <w:rsid w:val="1C094C5F"/>
    <w:rsid w:val="1C575CF8"/>
    <w:rsid w:val="1C942E7B"/>
    <w:rsid w:val="1CD64124"/>
    <w:rsid w:val="1D6558EE"/>
    <w:rsid w:val="1DE65113"/>
    <w:rsid w:val="1E0072C5"/>
    <w:rsid w:val="1E1E7AD2"/>
    <w:rsid w:val="1ED0381D"/>
    <w:rsid w:val="1ED04F81"/>
    <w:rsid w:val="20FE50B8"/>
    <w:rsid w:val="210F400E"/>
    <w:rsid w:val="21171ED5"/>
    <w:rsid w:val="215518A8"/>
    <w:rsid w:val="22835787"/>
    <w:rsid w:val="229A281A"/>
    <w:rsid w:val="232B6534"/>
    <w:rsid w:val="2383657E"/>
    <w:rsid w:val="23F45765"/>
    <w:rsid w:val="242E73FF"/>
    <w:rsid w:val="246C5345"/>
    <w:rsid w:val="24903127"/>
    <w:rsid w:val="24AB40AF"/>
    <w:rsid w:val="24D75F34"/>
    <w:rsid w:val="24FC6952"/>
    <w:rsid w:val="2527598F"/>
    <w:rsid w:val="258B6205"/>
    <w:rsid w:val="265D7EDA"/>
    <w:rsid w:val="26CC76FD"/>
    <w:rsid w:val="272308AF"/>
    <w:rsid w:val="28064C78"/>
    <w:rsid w:val="2809325B"/>
    <w:rsid w:val="285C6047"/>
    <w:rsid w:val="2864072E"/>
    <w:rsid w:val="2A351AA3"/>
    <w:rsid w:val="2A3E38E1"/>
    <w:rsid w:val="2AE4294D"/>
    <w:rsid w:val="2AF972F5"/>
    <w:rsid w:val="2B1322DE"/>
    <w:rsid w:val="2BF2458F"/>
    <w:rsid w:val="2D4D6A11"/>
    <w:rsid w:val="2D681BEB"/>
    <w:rsid w:val="2D791307"/>
    <w:rsid w:val="2DA72220"/>
    <w:rsid w:val="2DBA0DF6"/>
    <w:rsid w:val="2E6E6D7D"/>
    <w:rsid w:val="2ED33A4C"/>
    <w:rsid w:val="2F3B562F"/>
    <w:rsid w:val="2FC8494E"/>
    <w:rsid w:val="30192183"/>
    <w:rsid w:val="303807EF"/>
    <w:rsid w:val="30617408"/>
    <w:rsid w:val="30D63FE1"/>
    <w:rsid w:val="314B37FB"/>
    <w:rsid w:val="315678B2"/>
    <w:rsid w:val="316A2A72"/>
    <w:rsid w:val="31B733F7"/>
    <w:rsid w:val="32620447"/>
    <w:rsid w:val="327C2744"/>
    <w:rsid w:val="32B14300"/>
    <w:rsid w:val="33BD551A"/>
    <w:rsid w:val="34175DF0"/>
    <w:rsid w:val="34FE47B1"/>
    <w:rsid w:val="36054540"/>
    <w:rsid w:val="385D1A98"/>
    <w:rsid w:val="38E41294"/>
    <w:rsid w:val="38F70388"/>
    <w:rsid w:val="396A0324"/>
    <w:rsid w:val="39944CC7"/>
    <w:rsid w:val="3A4434B4"/>
    <w:rsid w:val="3A607F9A"/>
    <w:rsid w:val="3AA46F43"/>
    <w:rsid w:val="3AC72B3C"/>
    <w:rsid w:val="3B055E9C"/>
    <w:rsid w:val="3B2834F0"/>
    <w:rsid w:val="3B361C35"/>
    <w:rsid w:val="3C701829"/>
    <w:rsid w:val="3CE51AC8"/>
    <w:rsid w:val="3D28036F"/>
    <w:rsid w:val="3D3559B8"/>
    <w:rsid w:val="3D7B228E"/>
    <w:rsid w:val="3D8407DF"/>
    <w:rsid w:val="3D8D1617"/>
    <w:rsid w:val="3DB8292D"/>
    <w:rsid w:val="3DDB1B88"/>
    <w:rsid w:val="3DFF32ED"/>
    <w:rsid w:val="3E803617"/>
    <w:rsid w:val="3E9F595E"/>
    <w:rsid w:val="3F503091"/>
    <w:rsid w:val="3F8E2581"/>
    <w:rsid w:val="3FA50C6A"/>
    <w:rsid w:val="3FDA6333"/>
    <w:rsid w:val="4008265B"/>
    <w:rsid w:val="41851E44"/>
    <w:rsid w:val="420B5D06"/>
    <w:rsid w:val="422E333A"/>
    <w:rsid w:val="4248700C"/>
    <w:rsid w:val="424D7EDF"/>
    <w:rsid w:val="42632F9B"/>
    <w:rsid w:val="43823145"/>
    <w:rsid w:val="43A92149"/>
    <w:rsid w:val="44086829"/>
    <w:rsid w:val="45283B14"/>
    <w:rsid w:val="45B17033"/>
    <w:rsid w:val="45C31714"/>
    <w:rsid w:val="465670F7"/>
    <w:rsid w:val="46745FFA"/>
    <w:rsid w:val="46896951"/>
    <w:rsid w:val="470C2F95"/>
    <w:rsid w:val="471D22FA"/>
    <w:rsid w:val="472B48D8"/>
    <w:rsid w:val="4741375D"/>
    <w:rsid w:val="47572F93"/>
    <w:rsid w:val="479E1DA6"/>
    <w:rsid w:val="47C702DF"/>
    <w:rsid w:val="48422B9F"/>
    <w:rsid w:val="48502B45"/>
    <w:rsid w:val="488947B6"/>
    <w:rsid w:val="48AA7123"/>
    <w:rsid w:val="495E33E4"/>
    <w:rsid w:val="49CF687B"/>
    <w:rsid w:val="4AB51AB3"/>
    <w:rsid w:val="4ABE115E"/>
    <w:rsid w:val="4B904BD3"/>
    <w:rsid w:val="4D17720D"/>
    <w:rsid w:val="4D180063"/>
    <w:rsid w:val="4DFE7FAE"/>
    <w:rsid w:val="4E7C65DD"/>
    <w:rsid w:val="4F2163A6"/>
    <w:rsid w:val="4FB64197"/>
    <w:rsid w:val="4FFB0DE7"/>
    <w:rsid w:val="50572E30"/>
    <w:rsid w:val="505C06D2"/>
    <w:rsid w:val="505D6FA3"/>
    <w:rsid w:val="50F26F09"/>
    <w:rsid w:val="51AA26CF"/>
    <w:rsid w:val="51AA5E26"/>
    <w:rsid w:val="52324C02"/>
    <w:rsid w:val="52C93A96"/>
    <w:rsid w:val="531A3416"/>
    <w:rsid w:val="538C5F53"/>
    <w:rsid w:val="54474AB6"/>
    <w:rsid w:val="55313485"/>
    <w:rsid w:val="5582405A"/>
    <w:rsid w:val="5598005B"/>
    <w:rsid w:val="55DE6132"/>
    <w:rsid w:val="56051C6B"/>
    <w:rsid w:val="563F4648"/>
    <w:rsid w:val="569C4C75"/>
    <w:rsid w:val="56E4588E"/>
    <w:rsid w:val="571A469C"/>
    <w:rsid w:val="57C07DEE"/>
    <w:rsid w:val="58FE3115"/>
    <w:rsid w:val="591B6A12"/>
    <w:rsid w:val="592D7B67"/>
    <w:rsid w:val="59A82AC0"/>
    <w:rsid w:val="59D947AF"/>
    <w:rsid w:val="59F96CB8"/>
    <w:rsid w:val="5A73118D"/>
    <w:rsid w:val="5AD2085C"/>
    <w:rsid w:val="5B956DC2"/>
    <w:rsid w:val="5BD23E00"/>
    <w:rsid w:val="5BF47018"/>
    <w:rsid w:val="5C1C40AC"/>
    <w:rsid w:val="5C653576"/>
    <w:rsid w:val="5DFE2484"/>
    <w:rsid w:val="5E5C14C1"/>
    <w:rsid w:val="5ED356D3"/>
    <w:rsid w:val="5F635E4B"/>
    <w:rsid w:val="5F755FA1"/>
    <w:rsid w:val="60404B5F"/>
    <w:rsid w:val="60A669F6"/>
    <w:rsid w:val="6134696F"/>
    <w:rsid w:val="61C050DB"/>
    <w:rsid w:val="61EE3D1B"/>
    <w:rsid w:val="62460F4D"/>
    <w:rsid w:val="627A4801"/>
    <w:rsid w:val="62941196"/>
    <w:rsid w:val="62A365B5"/>
    <w:rsid w:val="63696E69"/>
    <w:rsid w:val="646A4B7E"/>
    <w:rsid w:val="653D070B"/>
    <w:rsid w:val="65B7439B"/>
    <w:rsid w:val="65CE6939"/>
    <w:rsid w:val="66607F61"/>
    <w:rsid w:val="66B158CB"/>
    <w:rsid w:val="66C3770C"/>
    <w:rsid w:val="66DE14E9"/>
    <w:rsid w:val="67606C1C"/>
    <w:rsid w:val="676942F4"/>
    <w:rsid w:val="67B24F31"/>
    <w:rsid w:val="686F2992"/>
    <w:rsid w:val="688D08EC"/>
    <w:rsid w:val="68901FE3"/>
    <w:rsid w:val="68A81CFF"/>
    <w:rsid w:val="68AF7175"/>
    <w:rsid w:val="68EA113C"/>
    <w:rsid w:val="69063065"/>
    <w:rsid w:val="69202CBC"/>
    <w:rsid w:val="699E67D8"/>
    <w:rsid w:val="69B23FEC"/>
    <w:rsid w:val="69E141D5"/>
    <w:rsid w:val="69F87A79"/>
    <w:rsid w:val="6B0175F3"/>
    <w:rsid w:val="6B7D66F8"/>
    <w:rsid w:val="6BF136D4"/>
    <w:rsid w:val="6C540332"/>
    <w:rsid w:val="6D220F3F"/>
    <w:rsid w:val="6DBE3A60"/>
    <w:rsid w:val="6E2B46AB"/>
    <w:rsid w:val="6E8A04A9"/>
    <w:rsid w:val="6EB51324"/>
    <w:rsid w:val="6F3075D5"/>
    <w:rsid w:val="6F5403ED"/>
    <w:rsid w:val="70805B1A"/>
    <w:rsid w:val="709F3C7A"/>
    <w:rsid w:val="713A57ED"/>
    <w:rsid w:val="71A236EE"/>
    <w:rsid w:val="72C347E3"/>
    <w:rsid w:val="72DD5BE8"/>
    <w:rsid w:val="73395340"/>
    <w:rsid w:val="73843559"/>
    <w:rsid w:val="74135C95"/>
    <w:rsid w:val="74176EF7"/>
    <w:rsid w:val="742C4007"/>
    <w:rsid w:val="743F3D44"/>
    <w:rsid w:val="74AC40F0"/>
    <w:rsid w:val="7501661F"/>
    <w:rsid w:val="75AC088F"/>
    <w:rsid w:val="76590D5F"/>
    <w:rsid w:val="76F4091C"/>
    <w:rsid w:val="77A02551"/>
    <w:rsid w:val="77AD3FB4"/>
    <w:rsid w:val="781B6398"/>
    <w:rsid w:val="78294220"/>
    <w:rsid w:val="7839395D"/>
    <w:rsid w:val="787A46AA"/>
    <w:rsid w:val="787D124D"/>
    <w:rsid w:val="788B613B"/>
    <w:rsid w:val="78935A62"/>
    <w:rsid w:val="78AF2E66"/>
    <w:rsid w:val="7920167B"/>
    <w:rsid w:val="7A3E4F09"/>
    <w:rsid w:val="7ABB1146"/>
    <w:rsid w:val="7B0F1FC3"/>
    <w:rsid w:val="7B6F4467"/>
    <w:rsid w:val="7BD93B5A"/>
    <w:rsid w:val="7BF11232"/>
    <w:rsid w:val="7C13418A"/>
    <w:rsid w:val="7C1C53B3"/>
    <w:rsid w:val="7CE442E1"/>
    <w:rsid w:val="7CEE0D2E"/>
    <w:rsid w:val="7CF76871"/>
    <w:rsid w:val="7D804F3A"/>
    <w:rsid w:val="7E2B2CA4"/>
    <w:rsid w:val="7E791462"/>
    <w:rsid w:val="7EA3275F"/>
    <w:rsid w:val="7F32011C"/>
    <w:rsid w:val="7F5446E0"/>
    <w:rsid w:val="7FB27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customStyle="1" w:styleId="6">
    <w:name w:val="列表段落1"/>
    <w:basedOn w:val="1"/>
    <w:unhideWhenUsed/>
    <w:qFormat/>
    <w:uiPriority w:val="99"/>
    <w:pPr>
      <w:ind w:firstLine="420"/>
    </w:pPr>
  </w:style>
  <w:style w:type="paragraph" w:styleId="7">
    <w:name w:val="List Paragraph"/>
    <w:basedOn w:val="1"/>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4526</Words>
  <Characters>4867</Characters>
  <Lines>36</Lines>
  <Paragraphs>10</Paragraphs>
  <TotalTime>2</TotalTime>
  <ScaleCrop>false</ScaleCrop>
  <LinksUpToDate>false</LinksUpToDate>
  <CharactersWithSpaces>4949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2148540017</cp:lastModifiedBy>
  <cp:lastPrinted>2020-08-03T08:28:00Z</cp:lastPrinted>
  <dcterms:modified xsi:type="dcterms:W3CDTF">2023-04-26T06:48:35Z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CAF4C4EA64404B83B4E6BE0114410B71</vt:lpwstr>
  </property>
</Properties>
</file>