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紫阳县畜牧兽医中心</w:t>
      </w:r>
    </w:p>
    <w:bookmarkEnd w:id="0"/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after="240" w:line="24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本单位全称紫阳县畜牧兽医中心，是财政全额拨款事业单位，根据“九定”方案本单位主要职责如下：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1.贯彻执行有关畜牧兽医的方针、政策和法律法规，参与组织实施全县畜牧兽医发展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长期发展规划、年度计划，调查、调研畜牧业生产动态和畜产品经济信息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2.组织指导畜牧兽医实用新技术、畜禽新品种的引进、试验示范、总结、推广及应用工作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3.承担全县畜禽良种繁育体系建设的论证申报，负责地方品种及资源的保护、开发和利用工作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4.承担全县重大动物疫病的防控，负责动物疫病防控物资调运及储备，指导全县动物防疫工作，承担畜禽标识管理，重大动物疫病、疫情监测，突发疫情处置工作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5.承担全县突发重大动物疫情处置的技术指导工作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负责县级动物疫病防控应急物资和动物强制免疫病种疫苗的组织、调运、发放和储备工作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6.承担畜牧业生产的监测预警和生产统计工作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承担畜牧兽医特种行业职业技能培训和技能提升，组织实施技能鉴定工作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7.承担本地饲草饲料资源开发利用的技术指导和优质牧草种子的引进、示范种植和推广工作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after="240" w:line="240" w:lineRule="atLeast"/>
        <w:ind w:left="638" w:leftChars="266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8.承担执业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兽医、动物防疫人员的业务培训和技术指导工作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9.承办县农业农村局交办的其他工作.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本单位现设有综合股、畜牧股、动卫股，无下属单位。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spacing w:after="240"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1.继续抓好畜牧业生产。加大乡村产业振兴政策的宣传力度，鼓励引导更多的社会资本投入到畜牧业生产中来，实现规模养殖扩容增量，抓好生猪稳产保供工作，做好生猪产能调控，全县能繁母猪维持在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1.35万-1.5万</w:t>
      </w:r>
      <w:r>
        <w:rPr>
          <w:rFonts w:hint="eastAsia" w:ascii="仿宋_GB2312" w:hAnsi="仿宋_GB2312" w:eastAsia="仿宋_GB2312" w:cs="仿宋_GB2312"/>
          <w:sz w:val="32"/>
          <w:szCs w:val="32"/>
        </w:rPr>
        <w:t>头的合理区间。</w:t>
      </w:r>
    </w:p>
    <w:p>
      <w:pPr>
        <w:spacing w:after="240"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继续以增加养殖户经济效益为工作突破口，做好畜牧新技术的示范与推广，积极引进新技术在本地的消化利用，提高新技术应用水平。抓好一个万头生猪养殖场的改扩建，引进300头大约克祖代育种工作。新建一个存栏200头的牛场建设。</w:t>
      </w:r>
    </w:p>
    <w:p>
      <w:pPr>
        <w:spacing w:after="240"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3.持续做好品种保护工作。抓好紫阳县双安张永安白山羊保种场300只基础母羊的选配选育和军旺养殖场600羽紫阳本地鸡配套系选育技术指导。</w:t>
      </w:r>
    </w:p>
    <w:p>
      <w:pPr>
        <w:spacing w:after="240"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4.继续坚持不懈抓好以非洲猪瘟为主的重大动物疫病防控工作，全面保障畜牧产业健康发展安全，全年猪瘟免疫密度达到90%以上，强制免疫病种达到100%。</w:t>
      </w:r>
    </w:p>
    <w:p>
      <w:pPr>
        <w:spacing w:after="240" w:line="24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5.继续加大重点项目的争取和建设进度，主动对接省市主管部门，加大项目争取力度，以畜禽养殖废弃物资源化利用整县推进项目全面实施为突破，全面提升绿色种养水平，切实减少农业面源污染。</w:t>
      </w:r>
    </w:p>
    <w:p>
      <w:pPr>
        <w:widowControl/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6.强化动物卫生监督，确保肉类食品安全。</w:t>
      </w: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tabs>
          <w:tab w:val="left" w:pos="6643"/>
        </w:tabs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2022年底，本单位人员编制18人，其中行政编制0人、事业编制18人；实有人员15人，其中行政0人、事业15人。单位管理的离退休人员11人。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253365</wp:posOffset>
            </wp:positionV>
            <wp:extent cx="4572000" cy="2743200"/>
            <wp:effectExtent l="4445" t="4445" r="14605" b="14605"/>
            <wp:wrapNone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ind w:firstLine="0"/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按照综合预算的原则，本单位所有收入和支出均纳入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管理。2023年本单位预算收支共计216.04万元，均为一般公共预算拨款收入，因为人员增加且政策性普调工资，故2023年本单位预算收支较上年增加了17.58万元。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单位财政拨款收入216.04万元，其中一般公共预算拨款收入216.04万元，2023年本单位财政拨款收入较上年增加了17.58万元，主要原因是人员增加且政策性普调工资。2023年本单位财政拨款支出216.04万元，其中一般公共预算拨款支出216.04万元，2023年本单位财政拨款支出较上年增加了17.58万元，主要原因是人员增加且政策性普调工资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拨款规模变化情况。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2023年本单位当年一般公共预算拨款支出216.04万元，较上年增加17.58万元，主要原因是人员增加且政策性普调工资。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支出按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科目分类的明细情况。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本单位2023年当年一般公共预算支出216.04万元，其中：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（1）事业运行（2130104）167.94万元，较上年增加13.82万元，原因是人员增加且政策性普调工资。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（2）机关事业单位基本养老保险缴费支出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2080505) 21.47万元，较上年增加2.38万元，原因是预算人员增加且政策性普调工资。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（3）事业单位医疗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2101102) 10.54万元，较上年增加1.23万元，原因是预算人员增加且政策性普调工资。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（4）住房公积金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2210201) 16.09万元，较上年增加0.15万元，原因是预算人员增加且政策性普调工资。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highlight w:val="red"/>
        </w:rPr>
        <w:t>经济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</w:rPr>
        <w:t>单位预算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支出经济分类的类级科目说明。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2023年本单位当年一般公共预算支出216.04万元，其中：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工资福利支出（301）194.7 万元，较上年增加17.31万元，原因是预算人数增加且普调工资。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商品和服务支出（302）19.5万元，较上年无变动。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对个人和家庭的补助（303）1.84万元，较上年增加0.27万元，原因是退休人员增加。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red"/>
        </w:rPr>
        <w:t>政府预算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2023年本单位当年一般公共预算支出216.04万元，其中：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对事业单位经常性补助（505）214.2万元，较上年增加17.31万元，原因是预算人数增加且普调工资。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对个人和家庭的补助（509）1.84万元，较上年增加0.27万元，原因是退休人员增加。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2022年结转财政资金一般公共预算拨款支出情况。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本单位无2023年结转的一般公共预算拨款资金支出。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本单位无当年国有资本经营预算拨款收支。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本单位无2022年结转的国有资本经营预算拨款支出。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2023年本单位当年一般公共预算“三公”经费预算支出0.86万元，较上年相比无变动；2023年本单位无因公出国（境）经费预算也无公务用车购置费经费预算，故三公经费均为公务接待费。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2023年本单位当年一般公共预算安排会议费和培训费均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支出0.00万元，因为非洲猪瘟疫情波动，不能提前预算所需相关经费，会议费和培训费均归入专项经费中列支。</w:t>
      </w:r>
    </w:p>
    <w:p>
      <w:pPr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本单位无2022年结转的财政拨款“三公”经费支出。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本单位无2022年结转的财政拨款会议费支出，本单位无2022年结转的财政拨款培训费支出。</w:t>
      </w: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2022年底，本单位所属预算单位共有车辆1辆，单价20万元以上的设备0台（套）。2023年当年单位预算安排购置车辆0辆；安排购置单价20万元以上的设备0台（套）。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本单位无2022年结转的财政拨款支出资产购置。</w:t>
      </w:r>
    </w:p>
    <w:p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本单位2023年无政府采购预算，并已公开空表。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2023年本单位绩效目标管理全覆盖，涉及当年一般公共预算拨款216.04万元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2023年，本单位2022年结转的财政拨款支出继续实施绩效目标管理。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本单位当年机关运行经费预算安排9.5万元，较上年相比无变动。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1.机关运行经费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2880" w:firstLineChars="9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2F0E58C5"/>
    <w:multiLevelType w:val="multilevel"/>
    <w:tmpl w:val="2F0E58C5"/>
    <w:lvl w:ilvl="0" w:tentative="0">
      <w:start w:val="7"/>
      <w:numFmt w:val="japaneseCounting"/>
      <w:lvlText w:val="%1、"/>
      <w:lvlJc w:val="left"/>
      <w:pPr>
        <w:ind w:left="104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1" w:hanging="420"/>
      </w:pPr>
    </w:lvl>
    <w:lvl w:ilvl="2" w:tentative="0">
      <w:start w:val="1"/>
      <w:numFmt w:val="lowerRoman"/>
      <w:lvlText w:val="%3."/>
      <w:lvlJc w:val="right"/>
      <w:pPr>
        <w:ind w:left="1581" w:hanging="420"/>
      </w:pPr>
    </w:lvl>
    <w:lvl w:ilvl="3" w:tentative="0">
      <w:start w:val="1"/>
      <w:numFmt w:val="decimal"/>
      <w:lvlText w:val="%4."/>
      <w:lvlJc w:val="left"/>
      <w:pPr>
        <w:ind w:left="2001" w:hanging="420"/>
      </w:pPr>
    </w:lvl>
    <w:lvl w:ilvl="4" w:tentative="0">
      <w:start w:val="1"/>
      <w:numFmt w:val="lowerLetter"/>
      <w:lvlText w:val="%5)"/>
      <w:lvlJc w:val="left"/>
      <w:pPr>
        <w:ind w:left="2421" w:hanging="420"/>
      </w:pPr>
    </w:lvl>
    <w:lvl w:ilvl="5" w:tentative="0">
      <w:start w:val="1"/>
      <w:numFmt w:val="lowerRoman"/>
      <w:lvlText w:val="%6."/>
      <w:lvlJc w:val="right"/>
      <w:pPr>
        <w:ind w:left="2841" w:hanging="420"/>
      </w:pPr>
    </w:lvl>
    <w:lvl w:ilvl="6" w:tentative="0">
      <w:start w:val="1"/>
      <w:numFmt w:val="decimal"/>
      <w:lvlText w:val="%7."/>
      <w:lvlJc w:val="left"/>
      <w:pPr>
        <w:ind w:left="3261" w:hanging="420"/>
      </w:pPr>
    </w:lvl>
    <w:lvl w:ilvl="7" w:tentative="0">
      <w:start w:val="1"/>
      <w:numFmt w:val="lowerLetter"/>
      <w:lvlText w:val="%8)"/>
      <w:lvlJc w:val="left"/>
      <w:pPr>
        <w:ind w:left="3681" w:hanging="420"/>
      </w:pPr>
    </w:lvl>
    <w:lvl w:ilvl="8" w:tentative="0">
      <w:start w:val="1"/>
      <w:numFmt w:val="lowerRoman"/>
      <w:lvlText w:val="%9."/>
      <w:lvlJc w:val="right"/>
      <w:pPr>
        <w:ind w:left="4101" w:hanging="420"/>
      </w:pPr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091644"/>
    <w:rsid w:val="0047697C"/>
    <w:rsid w:val="00B34E61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7893351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124342"/>
    <w:rsid w:val="12B55B02"/>
    <w:rsid w:val="13DD192D"/>
    <w:rsid w:val="147F7E6C"/>
    <w:rsid w:val="14C85364"/>
    <w:rsid w:val="14FA613E"/>
    <w:rsid w:val="15053ED9"/>
    <w:rsid w:val="15BA67E3"/>
    <w:rsid w:val="15BC4974"/>
    <w:rsid w:val="15EB6487"/>
    <w:rsid w:val="166918D6"/>
    <w:rsid w:val="176724C1"/>
    <w:rsid w:val="17A70561"/>
    <w:rsid w:val="18AF7F70"/>
    <w:rsid w:val="1A0C7BDE"/>
    <w:rsid w:val="1A2E50E9"/>
    <w:rsid w:val="1A431FF4"/>
    <w:rsid w:val="1B5623E3"/>
    <w:rsid w:val="1B746107"/>
    <w:rsid w:val="1CD64124"/>
    <w:rsid w:val="1E0072C5"/>
    <w:rsid w:val="1E1E7AD2"/>
    <w:rsid w:val="1ED0381D"/>
    <w:rsid w:val="203701AC"/>
    <w:rsid w:val="20FE50B8"/>
    <w:rsid w:val="210F400E"/>
    <w:rsid w:val="229A281A"/>
    <w:rsid w:val="23433EEE"/>
    <w:rsid w:val="2383657E"/>
    <w:rsid w:val="23F45765"/>
    <w:rsid w:val="242E73FF"/>
    <w:rsid w:val="246C5345"/>
    <w:rsid w:val="248905A1"/>
    <w:rsid w:val="24AB40AF"/>
    <w:rsid w:val="24FC6952"/>
    <w:rsid w:val="26CC76FD"/>
    <w:rsid w:val="272308AF"/>
    <w:rsid w:val="27EE06F3"/>
    <w:rsid w:val="28064C78"/>
    <w:rsid w:val="2864072E"/>
    <w:rsid w:val="29A8766D"/>
    <w:rsid w:val="2A3E38E1"/>
    <w:rsid w:val="2BD556C4"/>
    <w:rsid w:val="2BF2458F"/>
    <w:rsid w:val="2E620C53"/>
    <w:rsid w:val="2F3B562F"/>
    <w:rsid w:val="2FC8494E"/>
    <w:rsid w:val="314B37FB"/>
    <w:rsid w:val="31B733F7"/>
    <w:rsid w:val="33503143"/>
    <w:rsid w:val="385D1A98"/>
    <w:rsid w:val="38F70388"/>
    <w:rsid w:val="3A347831"/>
    <w:rsid w:val="3A4434B4"/>
    <w:rsid w:val="3A63795C"/>
    <w:rsid w:val="3B055E9C"/>
    <w:rsid w:val="3C5F6E22"/>
    <w:rsid w:val="3D28036F"/>
    <w:rsid w:val="3D8407DF"/>
    <w:rsid w:val="3D854167"/>
    <w:rsid w:val="3DFF32ED"/>
    <w:rsid w:val="3F503091"/>
    <w:rsid w:val="4008265B"/>
    <w:rsid w:val="40834FC4"/>
    <w:rsid w:val="41851E44"/>
    <w:rsid w:val="420B5D06"/>
    <w:rsid w:val="4248700C"/>
    <w:rsid w:val="4263486E"/>
    <w:rsid w:val="45783D2A"/>
    <w:rsid w:val="465670F7"/>
    <w:rsid w:val="471D22FA"/>
    <w:rsid w:val="472B48D8"/>
    <w:rsid w:val="4741375D"/>
    <w:rsid w:val="47C702DF"/>
    <w:rsid w:val="48422B9F"/>
    <w:rsid w:val="488947B6"/>
    <w:rsid w:val="4CE572B3"/>
    <w:rsid w:val="4D250C84"/>
    <w:rsid w:val="4F03231B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4883999"/>
    <w:rsid w:val="5582405A"/>
    <w:rsid w:val="56051C6B"/>
    <w:rsid w:val="563F4648"/>
    <w:rsid w:val="57C07DEE"/>
    <w:rsid w:val="58FE3115"/>
    <w:rsid w:val="5915679E"/>
    <w:rsid w:val="592D7B67"/>
    <w:rsid w:val="59D947AF"/>
    <w:rsid w:val="59F96CB8"/>
    <w:rsid w:val="5A186EE4"/>
    <w:rsid w:val="5BD23E00"/>
    <w:rsid w:val="5BE12803"/>
    <w:rsid w:val="5BF47018"/>
    <w:rsid w:val="5C4C0143"/>
    <w:rsid w:val="5C653576"/>
    <w:rsid w:val="5E5C14C1"/>
    <w:rsid w:val="5F635E4B"/>
    <w:rsid w:val="603E1CDA"/>
    <w:rsid w:val="60404B5F"/>
    <w:rsid w:val="6134696F"/>
    <w:rsid w:val="61EE3D1B"/>
    <w:rsid w:val="62460F4D"/>
    <w:rsid w:val="62A365B5"/>
    <w:rsid w:val="65B7439B"/>
    <w:rsid w:val="66607F61"/>
    <w:rsid w:val="668A7D3C"/>
    <w:rsid w:val="67606C1C"/>
    <w:rsid w:val="676942F4"/>
    <w:rsid w:val="68EA113C"/>
    <w:rsid w:val="699E67D8"/>
    <w:rsid w:val="69B23FEC"/>
    <w:rsid w:val="69E141D5"/>
    <w:rsid w:val="69F87A79"/>
    <w:rsid w:val="6A0B4ADE"/>
    <w:rsid w:val="6A257FC6"/>
    <w:rsid w:val="6A975FD6"/>
    <w:rsid w:val="6B9C533F"/>
    <w:rsid w:val="6BB20088"/>
    <w:rsid w:val="6C540332"/>
    <w:rsid w:val="6D1122F4"/>
    <w:rsid w:val="6DBE3A60"/>
    <w:rsid w:val="6E8A04A9"/>
    <w:rsid w:val="6F3075D5"/>
    <w:rsid w:val="6F5403ED"/>
    <w:rsid w:val="71A236EE"/>
    <w:rsid w:val="7348116E"/>
    <w:rsid w:val="73843559"/>
    <w:rsid w:val="75AC088F"/>
    <w:rsid w:val="75D06361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23364D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48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黑体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left="0" w:firstLine="420" w:firstLineChars="200"/>
    </w:pPr>
  </w:style>
  <w:style w:type="character" w:customStyle="1" w:styleId="9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Documents%20and%20Settings\Administrator\&#26700;&#38754;\&#27665;&#20027;&#35780;&#35758;&#21644;&#25215;&#35834;&#200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人员分布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[民主评议和承诺书.xlsx]Sheet1!$A$5:$A$6</c:f>
              <c:strCache>
                <c:ptCount val="2"/>
                <c:pt idx="0">
                  <c:v>退休人员</c:v>
                </c:pt>
                <c:pt idx="1">
                  <c:v>在职人员</c:v>
                </c:pt>
              </c:strCache>
            </c:strRef>
          </c:cat>
          <c:val>
            <c:numRef>
              <c:f>[民主评议和承诺书.xlsx]Sheet1!$B$5:$B$6</c:f>
              <c:numCache>
                <c:formatCode>General</c:formatCode>
                <c:ptCount val="2"/>
                <c:pt idx="0">
                  <c:v>42.31</c:v>
                </c:pt>
                <c:pt idx="1">
                  <c:v>57.69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3185</Words>
  <Characters>3509</Characters>
  <Lines>26</Lines>
  <Paragraphs>7</Paragraphs>
  <TotalTime>10</TotalTime>
  <ScaleCrop>false</ScaleCrop>
  <LinksUpToDate>false</LinksUpToDate>
  <CharactersWithSpaces>3610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2023-04-26T06:33:25Z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