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highlight w:val="none"/>
        </w:rPr>
      </w:pPr>
      <w:bookmarkStart w:id="0" w:name="_GoBack"/>
      <w:r>
        <w:rPr>
          <w:rFonts w:hint="eastAsia" w:ascii="黑体" w:hAnsi="黑体" w:eastAsia="黑体" w:cs="黑体"/>
          <w:sz w:val="32"/>
          <w:szCs w:val="32"/>
          <w:highlight w:val="none"/>
        </w:rPr>
        <w:t>紫阳县茶业发展中心</w:t>
      </w:r>
    </w:p>
    <w:bookmarkEnd w:id="0"/>
    <w:p>
      <w:pPr>
        <w:spacing w:line="360" w:lineRule="auto"/>
        <w:ind w:firstLine="640"/>
        <w:jc w:val="center"/>
        <w:rPr>
          <w:rFonts w:ascii="黑体" w:hAnsi="黑体" w:eastAsia="黑体" w:cs="黑体"/>
          <w:sz w:val="32"/>
          <w:szCs w:val="32"/>
          <w:highlight w:val="none"/>
        </w:rPr>
      </w:pPr>
      <w:r>
        <w:rPr>
          <w:rFonts w:hint="eastAsia" w:ascii="黑体" w:hAnsi="黑体" w:eastAsia="黑体" w:cs="黑体"/>
          <w:sz w:val="32"/>
          <w:szCs w:val="32"/>
          <w:highlight w:val="none"/>
        </w:rPr>
        <w:t>2023年单位预算公开说明</w:t>
      </w:r>
    </w:p>
    <w:p>
      <w:pPr>
        <w:spacing w:line="360" w:lineRule="auto"/>
        <w:ind w:firstLine="643"/>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目  录</w:t>
      </w:r>
    </w:p>
    <w:p>
      <w:pPr>
        <w:spacing w:line="360" w:lineRule="auto"/>
        <w:ind w:firstLine="643"/>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第一部分   单位概况</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一、单位主要职责及机构设置</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二、2023年年度单位工作任务</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三、单位人员情况说明</w:t>
      </w:r>
    </w:p>
    <w:p>
      <w:pPr>
        <w:spacing w:line="360" w:lineRule="auto"/>
        <w:ind w:firstLine="643"/>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第二部分   收支情况</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四、2023年单位预算收支说明</w:t>
      </w:r>
    </w:p>
    <w:p>
      <w:pPr>
        <w:spacing w:line="360" w:lineRule="auto"/>
        <w:ind w:firstLine="643"/>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第三部分   其他说明情况</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五、单位预算“三公”经费等情况说明</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六、单位国有资产占有使用及资产购置情况说明</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七、单位政府采购情况说明</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八、单位预算绩效目标说明</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九、机关运行 经费安排说明</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十、专业 名词解释</w:t>
      </w:r>
    </w:p>
    <w:p>
      <w:pPr>
        <w:spacing w:line="360" w:lineRule="auto"/>
        <w:ind w:firstLine="643"/>
        <w:jc w:val="center"/>
        <w:rPr>
          <w:rFonts w:hint="eastAsia" w:ascii="仿宋" w:hAnsi="仿宋" w:eastAsia="仿宋" w:cs="仿宋"/>
          <w:sz w:val="32"/>
          <w:szCs w:val="32"/>
          <w:highlight w:val="none"/>
        </w:rPr>
      </w:pPr>
      <w:r>
        <w:rPr>
          <w:rFonts w:hint="eastAsia" w:ascii="仿宋" w:hAnsi="仿宋" w:eastAsia="仿宋" w:cs="仿宋"/>
          <w:b/>
          <w:bCs/>
          <w:sz w:val="32"/>
          <w:szCs w:val="32"/>
          <w:highlight w:val="none"/>
        </w:rPr>
        <w:t>第四部分   公开报表</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（具体单位预算公开报表）</w:t>
      </w:r>
    </w:p>
    <w:p>
      <w:pPr>
        <w:spacing w:line="360" w:lineRule="auto"/>
        <w:ind w:firstLine="643"/>
        <w:jc w:val="center"/>
        <w:rPr>
          <w:rFonts w:hint="eastAsia" w:ascii="仿宋" w:hAnsi="仿宋" w:eastAsia="仿宋" w:cs="仿宋"/>
          <w:b/>
          <w:bCs/>
          <w:sz w:val="32"/>
          <w:szCs w:val="32"/>
          <w:highlight w:val="none"/>
        </w:rPr>
      </w:pPr>
    </w:p>
    <w:p>
      <w:pPr>
        <w:spacing w:line="360" w:lineRule="auto"/>
        <w:ind w:firstLine="643"/>
        <w:jc w:val="center"/>
        <w:rPr>
          <w:rFonts w:hint="eastAsia" w:ascii="仿宋" w:hAnsi="仿宋" w:eastAsia="仿宋" w:cs="仿宋"/>
          <w:b/>
          <w:bCs/>
          <w:sz w:val="32"/>
          <w:szCs w:val="32"/>
          <w:highlight w:val="none"/>
        </w:rPr>
      </w:pPr>
    </w:p>
    <w:p>
      <w:pPr>
        <w:spacing w:line="360" w:lineRule="auto"/>
        <w:ind w:firstLine="643"/>
        <w:jc w:val="center"/>
        <w:rPr>
          <w:rFonts w:hint="eastAsia" w:ascii="仿宋" w:hAnsi="仿宋" w:eastAsia="仿宋" w:cs="仿宋"/>
          <w:b/>
          <w:bCs/>
          <w:sz w:val="32"/>
          <w:szCs w:val="32"/>
          <w:highlight w:val="none"/>
        </w:rPr>
      </w:pPr>
    </w:p>
    <w:p>
      <w:pPr>
        <w:spacing w:line="360" w:lineRule="auto"/>
        <w:ind w:firstLine="643"/>
        <w:jc w:val="center"/>
        <w:rPr>
          <w:rFonts w:hint="eastAsia" w:ascii="仿宋" w:hAnsi="仿宋" w:eastAsia="仿宋" w:cs="仿宋"/>
          <w:b/>
          <w:bCs/>
          <w:sz w:val="32"/>
          <w:szCs w:val="32"/>
          <w:highlight w:val="none"/>
        </w:rPr>
      </w:pPr>
    </w:p>
    <w:p>
      <w:pPr>
        <w:spacing w:line="360" w:lineRule="auto"/>
        <w:ind w:firstLine="643"/>
        <w:jc w:val="center"/>
        <w:rPr>
          <w:rFonts w:ascii="仿宋" w:hAnsi="仿宋" w:eastAsia="仿宋" w:cs="仿宋"/>
          <w:sz w:val="32"/>
          <w:szCs w:val="32"/>
          <w:highlight w:val="none"/>
        </w:rPr>
      </w:pPr>
      <w:r>
        <w:rPr>
          <w:rFonts w:hint="eastAsia" w:ascii="仿宋" w:hAnsi="仿宋" w:eastAsia="仿宋" w:cs="仿宋"/>
          <w:b/>
          <w:bCs/>
          <w:sz w:val="32"/>
          <w:szCs w:val="32"/>
          <w:highlight w:val="none"/>
        </w:rPr>
        <w:t>第一部分  单位概况</w:t>
      </w:r>
    </w:p>
    <w:p>
      <w:pPr>
        <w:spacing w:line="360" w:lineRule="auto"/>
        <w:ind w:firstLine="643"/>
        <w:rPr>
          <w:rFonts w:ascii="仿宋" w:hAnsi="仿宋" w:eastAsia="仿宋" w:cs="仿宋"/>
          <w:b/>
          <w:bCs/>
          <w:sz w:val="32"/>
          <w:szCs w:val="32"/>
          <w:highlight w:val="none"/>
        </w:rPr>
      </w:pPr>
      <w:r>
        <w:rPr>
          <w:rFonts w:hint="eastAsia" w:ascii="仿宋" w:hAnsi="仿宋" w:eastAsia="仿宋" w:cs="仿宋"/>
          <w:b/>
          <w:bCs/>
          <w:sz w:val="32"/>
          <w:szCs w:val="32"/>
          <w:highlight w:val="none"/>
        </w:rPr>
        <w:t>一、单位主要职责及机构设置</w:t>
      </w:r>
    </w:p>
    <w:p>
      <w:pPr>
        <w:spacing w:line="360" w:lineRule="auto"/>
        <w:ind w:firstLine="643"/>
        <w:rPr>
          <w:rFonts w:ascii="仿宋" w:hAnsi="仿宋" w:eastAsia="仿宋" w:cs="仿宋"/>
          <w:b/>
          <w:bCs/>
          <w:sz w:val="32"/>
          <w:szCs w:val="32"/>
          <w:highlight w:val="none"/>
        </w:rPr>
      </w:pPr>
      <w:r>
        <w:rPr>
          <w:rFonts w:hint="eastAsia" w:ascii="仿宋" w:hAnsi="仿宋" w:eastAsia="仿宋" w:cs="仿宋"/>
          <w:b/>
          <w:bCs/>
          <w:sz w:val="32"/>
          <w:szCs w:val="32"/>
          <w:highlight w:val="none"/>
        </w:rPr>
        <w:t>（一）单位主要职责</w:t>
      </w:r>
    </w:p>
    <w:p>
      <w:pPr>
        <w:spacing w:line="360" w:lineRule="auto"/>
        <w:ind w:firstLine="643"/>
        <w:rPr>
          <w:rFonts w:ascii="仿宋" w:hAnsi="仿宋" w:eastAsia="仿宋" w:cs="仿宋"/>
          <w:sz w:val="32"/>
          <w:szCs w:val="32"/>
          <w:highlight w:val="none"/>
        </w:rPr>
      </w:pPr>
      <w:r>
        <w:rPr>
          <w:rFonts w:hint="eastAsia" w:ascii="仿宋" w:hAnsi="仿宋" w:eastAsia="仿宋" w:cs="仿宋"/>
          <w:sz w:val="32"/>
          <w:szCs w:val="32"/>
          <w:highlight w:val="none"/>
        </w:rPr>
        <w:t>1.贯彻执行茶叶产业发展方面的法规和政策</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参与拟订全县茶产业发展规划、年度工作计划并组织实施；</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2.围绕茶叶产业化建设进行协调、管理、指导服务和技术培训，建立茶叶技术推广网络和经营社会化服务组织；</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3.承担全县茶叶病虫绿色防控和统防统治技术宣传、推广工作</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开展茶叶病虫害防控</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参与茶叶植保新技术、新产品、新农药的试验、示范、培训、推广工作；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4.负责茶叶基地、加工体系、市场销售网络建设及参与市场管理；</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5.组织开展茶叶生产科研开发、经济技术协作，组织筛选包装、储备、申报茶叶项目，负责全县茶政管理和参与茶叶产业发展对外宣传推介工作；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6.承担茶叶品牌建设、茶叶标准拟订、修订、宣贯和参与茶叶产品质量安全管理工作</w:t>
      </w:r>
      <w:r>
        <w:rPr>
          <w:rFonts w:hint="eastAsia" w:ascii="仿宋" w:hAnsi="仿宋" w:eastAsia="仿宋" w:cs="仿宋"/>
          <w:sz w:val="32"/>
          <w:szCs w:val="32"/>
          <w:highlight w:val="none"/>
          <w:lang w:eastAsia="zh-CN"/>
        </w:rPr>
        <w:t>；</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7.负责茶饮产品市场调研、开发，指导茶饮产品品牌建设、规范使用公用品牌；</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8.承担紫阳富硒茶的市场营销，会同有关单位健全市场营销体系、制定产品质量标准，为全县茶饮产品经营提供服务。</w:t>
      </w:r>
    </w:p>
    <w:p>
      <w:pPr>
        <w:spacing w:line="360" w:lineRule="auto"/>
        <w:ind w:firstLine="643"/>
        <w:rPr>
          <w:rFonts w:ascii="仿宋" w:hAnsi="仿宋" w:eastAsia="仿宋" w:cs="仿宋"/>
          <w:b/>
          <w:bCs/>
          <w:sz w:val="32"/>
          <w:szCs w:val="32"/>
          <w:highlight w:val="none"/>
        </w:rPr>
      </w:pPr>
      <w:r>
        <w:rPr>
          <w:rFonts w:hint="eastAsia" w:ascii="仿宋" w:hAnsi="仿宋" w:eastAsia="仿宋" w:cs="仿宋"/>
          <w:b/>
          <w:bCs/>
          <w:sz w:val="32"/>
          <w:szCs w:val="32"/>
          <w:highlight w:val="none"/>
        </w:rPr>
        <w:t>（二）机构设置</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本单位现设有综合股、技术服务股、综合管理股三个股室。</w:t>
      </w:r>
    </w:p>
    <w:p>
      <w:pPr>
        <w:spacing w:line="360" w:lineRule="auto"/>
        <w:ind w:firstLine="643"/>
        <w:rPr>
          <w:rFonts w:ascii="仿宋" w:hAnsi="仿宋" w:eastAsia="仿宋" w:cs="仿宋"/>
          <w:b/>
          <w:bCs/>
          <w:sz w:val="32"/>
          <w:szCs w:val="32"/>
          <w:highlight w:val="none"/>
        </w:rPr>
      </w:pPr>
      <w:r>
        <w:rPr>
          <w:rFonts w:hint="eastAsia" w:ascii="仿宋" w:hAnsi="仿宋" w:eastAsia="仿宋" w:cs="仿宋"/>
          <w:b/>
          <w:bCs/>
          <w:sz w:val="32"/>
          <w:szCs w:val="32"/>
          <w:highlight w:val="none"/>
        </w:rPr>
        <w:t>二、2023年度单位工作任务</w:t>
      </w:r>
    </w:p>
    <w:p>
      <w:pPr>
        <w:numPr>
          <w:ilvl w:val="0"/>
          <w:numId w:val="1"/>
        </w:num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突出茶叶生产。力争2023年继续实现扩量增效，预计茶叶年产量增长6%以上，效益增长10%以上。</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 xml:space="preserve">2、强化基地建管。协助做好紫阳群体种茶树优良株系品种选育基地及茶树种质资源圃建设。指导实施低产茶园改造、茶园标准化管理。继续推广应用茶园单轨运输系统设施，降低劳动强度和生产成本；继续推进智慧茶园建设，推动全县核心茶区茶叶园区转型升级。加大土壤不含硒或含硒水平较低的茶园有机硒肥推广应用，稳控产品含硒水平。 </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3、加大“链主”培育。按照“政府引导、市场运作、企业自愿”，“扶优、扶强、扶大”，“梯次培育、提等升级”的原则，实施“链主”企业培育工程。重点扶持培育现有SC茶企进一步做大做强，积极创建国家级、省级农业产业化龙头企业；扶持茶叶加工小作坊、无证小厂规范有序发展，向SC茶企升级。依托“链主”茶企，拓展市场，加快新产品研发上市，实现紫阳白茶生产扩量，红茶品质提升，新式茶饮多文化发展。</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4、品牌建设与保护。继续做好茶叶品牌建设，申请注册“紫阳茶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紫阳叶子”商标，打造中茶紫阳、和平、闽秦、焕古庄园、紫阳春等国内知名茶叶企业品牌；做好紫阳富硒茶品牌管理、宣传、推广，同步推进紫阳毛尖、紫阳红品牌推广、应用。强化茶园投入品管控，推广有机肥替代化肥、绿色防控等农艺措施；加强以春茶季为重点的茶叶市场监管整治，通过联合组建专班，打击境外鲜叶、毛茶的不法流通，产品及品牌假冒侵权、包装乱象等，规范茶叶市场交易行为。</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5、积极拓展市场。加强市场宣传推广，举办好“春之茶”开园季节庆活动，积极参加（杭州）国际茶博会等重要茶事宣传推介活动，围绕陕西西安、关中、陕北及西北市场，加大广告宣传，举办紫阳富硒茶品鉴会，支持中茶紫阳公司等链主企业开展紫阳茶核心品牌、产品策划营销，聚焦陕西、主推西北、辐射北上广深，布局实体店、形象店建设，扩影响、促销售。</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6、重视茶文化。持续深入开展茶文化培训、宣传、普及，挖掘弘扬茶文化知识，出版茶文化书籍，推进紫阳县茶博馆建设等。</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7、完善规划标准。推动完成《紫阳茶产业高质量发展五年规划》编制，陕南（紫阳）山地茶园、台地茶园优质高效栽培技术规范和紫阳茶叶主导产品标准化生产工艺技术规程、中茶紫阳白茶标准制定。</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8、开展重点业务。加强全县茶园春、夏、秋、冬四季管护及病虫害防治技术指导，全县新建茶厂、茶叶加工小作坊茶叶加工技术指导150家，茶叶生产加工技术、茶园机械管护采摘技术、茶园绿色防控技术、茶叶审评技能等专题培训15场（次）。</w:t>
      </w:r>
    </w:p>
    <w:p>
      <w:pPr>
        <w:spacing w:line="360" w:lineRule="auto"/>
        <w:ind w:firstLine="964"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三、单位人员情况说明</w:t>
      </w:r>
    </w:p>
    <w:p>
      <w:pPr>
        <w:spacing w:line="360" w:lineRule="auto"/>
        <w:ind w:firstLine="480"/>
        <w:rPr>
          <w:rFonts w:ascii="仿宋" w:hAnsi="仿宋" w:eastAsia="仿宋" w:cs="仿宋"/>
          <w:sz w:val="32"/>
          <w:szCs w:val="32"/>
          <w:highlight w:val="none"/>
        </w:rPr>
      </w:pPr>
      <w:r>
        <w:rPr>
          <w:highlight w:val="none"/>
        </w:rPr>
        <w:drawing>
          <wp:inline distT="0" distB="0" distL="114300" distR="114300">
            <wp:extent cx="4505960" cy="4219575"/>
            <wp:effectExtent l="4445" t="4445" r="23495" b="508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截止2022年底，本单位人员编制11人，其中行政编制0人、事业编制11人；实有人员10人，其中行政6人、事业2人。单位管理的离退休人员7人。98年离岗一人。</w:t>
      </w:r>
    </w:p>
    <w:p>
      <w:pPr>
        <w:spacing w:line="360" w:lineRule="auto"/>
        <w:ind w:firstLine="480"/>
        <w:jc w:val="center"/>
        <w:rPr>
          <w:rFonts w:ascii="仿宋" w:hAnsi="仿宋" w:eastAsia="仿宋" w:cs="仿宋"/>
          <w:b/>
          <w:bCs/>
          <w:sz w:val="32"/>
          <w:szCs w:val="32"/>
          <w:highlight w:val="none"/>
        </w:rPr>
      </w:pPr>
      <w:r>
        <w:rPr>
          <w:rFonts w:hint="eastAsia"/>
          <w:highlight w:val="none"/>
        </w:rPr>
        <w:t xml:space="preserve"> </w:t>
      </w:r>
      <w:r>
        <w:rPr>
          <w:rFonts w:hint="eastAsia" w:ascii="仿宋" w:hAnsi="仿宋" w:eastAsia="仿宋" w:cs="仿宋"/>
          <w:b/>
          <w:bCs/>
          <w:sz w:val="32"/>
          <w:szCs w:val="32"/>
          <w:highlight w:val="none"/>
        </w:rPr>
        <w:t>第二部分  收支情况</w:t>
      </w:r>
    </w:p>
    <w:p>
      <w:pPr>
        <w:spacing w:line="360" w:lineRule="auto"/>
        <w:ind w:firstLine="964"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四、2023年单位预算收支说明</w:t>
      </w:r>
    </w:p>
    <w:p>
      <w:pPr>
        <w:spacing w:line="360" w:lineRule="auto"/>
        <w:ind w:firstLine="643"/>
        <w:rPr>
          <w:rFonts w:ascii="仿宋" w:hAnsi="仿宋" w:eastAsia="仿宋" w:cs="仿宋"/>
          <w:b/>
          <w:bCs/>
          <w:sz w:val="32"/>
          <w:szCs w:val="32"/>
          <w:highlight w:val="none"/>
        </w:rPr>
      </w:pPr>
      <w:r>
        <w:rPr>
          <w:rFonts w:hint="eastAsia" w:ascii="仿宋" w:hAnsi="仿宋" w:eastAsia="仿宋" w:cs="仿宋"/>
          <w:b/>
          <w:bCs/>
          <w:sz w:val="32"/>
          <w:szCs w:val="32"/>
          <w:highlight w:val="none"/>
        </w:rPr>
        <w:t>（一）收支预算总体情况。</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按照综合预算的原则，本单位所有收入和支出均纳入</w:t>
      </w:r>
      <w:r>
        <w:rPr>
          <w:rFonts w:hint="eastAsia" w:ascii="仿宋" w:hAnsi="仿宋" w:eastAsia="仿宋" w:cs="仿宋"/>
          <w:sz w:val="32"/>
          <w:szCs w:val="32"/>
          <w:highlight w:val="none"/>
          <w:lang w:eastAsia="zh-CN"/>
        </w:rPr>
        <w:t>部门预算</w:t>
      </w:r>
      <w:r>
        <w:rPr>
          <w:rFonts w:hint="eastAsia" w:ascii="仿宋" w:hAnsi="仿宋" w:eastAsia="仿宋" w:cs="仿宋"/>
          <w:sz w:val="32"/>
          <w:szCs w:val="32"/>
          <w:highlight w:val="none"/>
        </w:rPr>
        <w:t>管理。2023年本单位预算收入145.29万元，其中一般公共预算拨款收入145.29万元、政府性基金拨款收入0万元，2023年本单位预算收入较上年增加减少9.16万元，主要原因是2022年退休一人调出一人；2023年本单位预算支出145.29万元，其中一般公共预算拨款支出145.29万元、政府性基金拨款支出0万元，2023年本单位预算支出较上年减少9.16万元，主要原因是2022年退休一人调出一人。</w:t>
      </w:r>
    </w:p>
    <w:p>
      <w:pPr>
        <w:spacing w:line="360" w:lineRule="auto"/>
        <w:ind w:firstLine="643"/>
        <w:rPr>
          <w:rFonts w:ascii="仿宋" w:hAnsi="仿宋" w:eastAsia="仿宋" w:cs="仿宋"/>
          <w:b/>
          <w:bCs/>
          <w:sz w:val="32"/>
          <w:szCs w:val="32"/>
          <w:highlight w:val="none"/>
        </w:rPr>
      </w:pPr>
      <w:r>
        <w:rPr>
          <w:rFonts w:hint="eastAsia" w:ascii="仿宋" w:hAnsi="仿宋" w:eastAsia="仿宋" w:cs="仿宋"/>
          <w:b/>
          <w:bCs/>
          <w:sz w:val="32"/>
          <w:szCs w:val="32"/>
          <w:highlight w:val="none"/>
        </w:rPr>
        <w:t>（二）财政拨款收支情况。</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2023年本单位财政拨款收入145.29万元，其中一般公共预算拨款收入145.29万元、政府性基金拨款收入0万元，2023年本单位财政拨款收入较上年减少9.16万元，主要原因是2022年退休一人调出一人；2023年本单位财政拨款支出145.29万元，其中一般公共预算拨款支出145.29万元、政府性基金拨款支0万元，2023年本单位财政拨款支出较上年减少9.16万元，主要原因是2022年退休一人调出一人。</w:t>
      </w:r>
    </w:p>
    <w:p>
      <w:pPr>
        <w:spacing w:line="360" w:lineRule="auto"/>
        <w:ind w:firstLine="643"/>
        <w:rPr>
          <w:rFonts w:ascii="仿宋" w:hAnsi="仿宋" w:eastAsia="仿宋" w:cs="仿宋"/>
          <w:b/>
          <w:bCs/>
          <w:sz w:val="32"/>
          <w:szCs w:val="32"/>
          <w:highlight w:val="none"/>
        </w:rPr>
      </w:pPr>
      <w:r>
        <w:rPr>
          <w:rFonts w:hint="eastAsia" w:ascii="仿宋" w:hAnsi="仿宋" w:eastAsia="仿宋" w:cs="仿宋"/>
          <w:b/>
          <w:bCs/>
          <w:sz w:val="32"/>
          <w:szCs w:val="32"/>
          <w:highlight w:val="none"/>
        </w:rPr>
        <w:t>（三）一般公共预算拨款支出明细情况。</w:t>
      </w:r>
    </w:p>
    <w:p>
      <w:pPr>
        <w:spacing w:line="360" w:lineRule="auto"/>
        <w:ind w:firstLine="643"/>
        <w:rPr>
          <w:rFonts w:ascii="仿宋" w:hAnsi="仿宋" w:eastAsia="仿宋" w:cs="仿宋"/>
          <w:sz w:val="32"/>
          <w:szCs w:val="32"/>
          <w:highlight w:val="none"/>
        </w:rPr>
      </w:pPr>
      <w:r>
        <w:rPr>
          <w:rFonts w:hint="eastAsia" w:ascii="仿宋" w:hAnsi="仿宋" w:eastAsia="仿宋" w:cs="仿宋"/>
          <w:b/>
          <w:bCs/>
          <w:sz w:val="32"/>
          <w:szCs w:val="32"/>
          <w:highlight w:val="none"/>
        </w:rPr>
        <w:t>1、</w:t>
      </w:r>
      <w:r>
        <w:rPr>
          <w:rFonts w:hint="eastAsia" w:ascii="仿宋" w:hAnsi="仿宋" w:eastAsia="仿宋" w:cs="仿宋"/>
          <w:sz w:val="32"/>
          <w:szCs w:val="32"/>
          <w:highlight w:val="none"/>
        </w:rPr>
        <w:t>一般公共预算</w:t>
      </w:r>
      <w:r>
        <w:rPr>
          <w:rFonts w:hint="eastAsia" w:ascii="仿宋" w:hAnsi="仿宋" w:eastAsia="仿宋" w:cs="仿宋"/>
          <w:sz w:val="32"/>
          <w:szCs w:val="32"/>
          <w:highlight w:val="none"/>
        </w:rPr>
        <w:t>当年</w:t>
      </w:r>
      <w:r>
        <w:rPr>
          <w:rFonts w:hint="eastAsia" w:ascii="仿宋" w:hAnsi="仿宋" w:eastAsia="仿宋" w:cs="仿宋"/>
          <w:sz w:val="32"/>
          <w:szCs w:val="32"/>
          <w:highlight w:val="none"/>
        </w:rPr>
        <w:t>拨款规模变化情况。</w:t>
      </w:r>
    </w:p>
    <w:p>
      <w:pPr>
        <w:spacing w:line="360" w:lineRule="auto"/>
        <w:ind w:firstLine="480"/>
        <w:rPr>
          <w:highlight w:val="none"/>
        </w:rPr>
      </w:pPr>
      <w:r>
        <w:rPr>
          <w:highlight w:val="none"/>
        </w:rPr>
        <w:drawing>
          <wp:inline distT="0" distB="0" distL="114300" distR="114300">
            <wp:extent cx="4620260" cy="3486785"/>
            <wp:effectExtent l="4445" t="4445" r="23495" b="13970"/>
            <wp:docPr id="125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2023年本单位当年一般公共预算拨款支出145.29万元，较上年增加减少9.16万元，主要原因是2022年退休一人调出一人。</w:t>
      </w:r>
    </w:p>
    <w:p>
      <w:pPr>
        <w:numPr>
          <w:ilvl w:val="0"/>
          <w:numId w:val="2"/>
        </w:num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支出按</w:t>
      </w:r>
      <w:r>
        <w:rPr>
          <w:rFonts w:hint="eastAsia" w:ascii="仿宋" w:hAnsi="仿宋" w:eastAsia="仿宋" w:cs="仿宋"/>
          <w:sz w:val="32"/>
          <w:szCs w:val="32"/>
          <w:highlight w:val="none"/>
        </w:rPr>
        <w:t>功能</w:t>
      </w:r>
      <w:r>
        <w:rPr>
          <w:rFonts w:hint="eastAsia" w:ascii="仿宋" w:hAnsi="仿宋" w:eastAsia="仿宋" w:cs="仿宋"/>
          <w:sz w:val="32"/>
          <w:szCs w:val="32"/>
          <w:highlight w:val="none"/>
        </w:rPr>
        <w:t>科目分类的明细情况。</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本单位2023年当年一般公共预算支出145.29万元，其中：</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行政运行（2130101）102.44万元，较上年增加7.08万元，原因是2022年单位单位预算专项资金10万元预算到2130399其他农业农村支出，2023年预算到2130101行政运行会计科目，显示行政运行增加10万元，2022年参管人员退休一人，人员经费减少一人；</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（2）事业运行（2130104）15.78万元，较上年减少3.3万元，原因是2022年事业岗调出一人；</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（3）机关事业单位基本养老保险缴费支出（2080505）12.11万元，较上年减少0.77万元，原因是2022年退休一人调出一人；</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（4）行政单位医疗（2101101）5.94万元，较上年减少0.37万元，原因是2022年退休一人调出一人；</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（5）住房公积金（2210201）9.02万元，较上年减少1.8万元，原因是2022年退休一人调出一人。</w:t>
      </w:r>
    </w:p>
    <w:p>
      <w:pPr>
        <w:spacing w:line="360" w:lineRule="auto"/>
        <w:ind w:firstLine="643"/>
        <w:rPr>
          <w:rFonts w:ascii="仿宋" w:hAnsi="仿宋" w:eastAsia="仿宋" w:cs="仿宋"/>
          <w:sz w:val="32"/>
          <w:szCs w:val="32"/>
          <w:highlight w:val="none"/>
        </w:rPr>
      </w:pPr>
      <w:r>
        <w:rPr>
          <w:rFonts w:hint="eastAsia" w:ascii="仿宋" w:hAnsi="仿宋" w:eastAsia="仿宋" w:cs="仿宋"/>
          <w:b/>
          <w:bCs/>
          <w:sz w:val="32"/>
          <w:szCs w:val="32"/>
          <w:highlight w:val="none"/>
        </w:rPr>
        <w:t>3、</w:t>
      </w:r>
      <w:r>
        <w:rPr>
          <w:rFonts w:hint="eastAsia" w:ascii="仿宋" w:hAnsi="仿宋" w:eastAsia="仿宋" w:cs="仿宋"/>
          <w:sz w:val="32"/>
          <w:szCs w:val="32"/>
          <w:highlight w:val="none"/>
        </w:rPr>
        <w:t>支出按</w:t>
      </w:r>
      <w:r>
        <w:rPr>
          <w:rFonts w:hint="eastAsia" w:ascii="仿宋" w:hAnsi="仿宋" w:eastAsia="仿宋" w:cs="仿宋"/>
          <w:sz w:val="32"/>
          <w:szCs w:val="32"/>
          <w:highlight w:val="none"/>
        </w:rPr>
        <w:t>经济</w:t>
      </w:r>
      <w:r>
        <w:rPr>
          <w:rFonts w:hint="eastAsia" w:ascii="仿宋" w:hAnsi="仿宋" w:eastAsia="仿宋" w:cs="仿宋"/>
          <w:sz w:val="32"/>
          <w:szCs w:val="32"/>
          <w:highlight w:val="none"/>
        </w:rPr>
        <w:t>科目分类的明细情况。</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（1）按照</w:t>
      </w:r>
      <w:r>
        <w:rPr>
          <w:rFonts w:hint="eastAsia" w:ascii="仿宋" w:hAnsi="仿宋" w:eastAsia="仿宋" w:cs="仿宋"/>
          <w:sz w:val="32"/>
          <w:szCs w:val="32"/>
          <w:highlight w:val="none"/>
        </w:rPr>
        <w:t>单位预算</w:t>
      </w:r>
      <w:r>
        <w:rPr>
          <w:rFonts w:hint="eastAsia" w:ascii="仿宋" w:hAnsi="仿宋" w:eastAsia="仿宋" w:cs="仿宋"/>
          <w:sz w:val="32"/>
          <w:szCs w:val="32"/>
          <w:highlight w:val="none"/>
        </w:rPr>
        <w:t>支出经济分类的类级科目说明。</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2023年本单位当年一般公共预算支出145.29万元，其中：</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工资福利支出（301）108.38万元，较上年减少5.83万元，原因是2022年退休一人调出一人；</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商品和服务支出（302）20.57万元，较上年减少3.52万元，原因是2022年退休一人调出一人；</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对个人和家庭的补助支出（303）16.33万元，较上年增加0.18万元，原因是退休一人的降温费和取暖费补差需要在本单位发放；</w:t>
      </w:r>
    </w:p>
    <w:p>
      <w:pPr>
        <w:numPr>
          <w:ilvl w:val="0"/>
          <w:numId w:val="3"/>
        </w:num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按照</w:t>
      </w:r>
      <w:r>
        <w:rPr>
          <w:rFonts w:hint="eastAsia" w:ascii="仿宋" w:hAnsi="仿宋" w:eastAsia="仿宋" w:cs="仿宋"/>
          <w:sz w:val="32"/>
          <w:szCs w:val="32"/>
          <w:highlight w:val="none"/>
        </w:rPr>
        <w:t>政府预算</w:t>
      </w:r>
      <w:r>
        <w:rPr>
          <w:rFonts w:hint="eastAsia" w:ascii="仿宋" w:hAnsi="仿宋" w:eastAsia="仿宋" w:cs="仿宋"/>
          <w:sz w:val="32"/>
          <w:szCs w:val="32"/>
          <w:highlight w:val="none"/>
        </w:rPr>
        <w:t>支出经济分类的类级科目说明。</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2023年本单位当年一般公共预算支出145.29万元，其中：</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机关工资福利支出（501）108.38万元，较上年增加108.38万元，原因是人员2023年编制口径变化，2022年按照事业单位进行编制，2023年按照参管事业单位编制，单位预算把机关工资福利支出列入事业单位经常性补助（505）中；</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机关商品和服务支出（502）20.57万元，较上年增加20.57万元，</w:t>
      </w:r>
      <w:r>
        <w:rPr>
          <w:rFonts w:hint="eastAsia" w:ascii="仿宋" w:hAnsi="仿宋" w:eastAsia="仿宋" w:cs="仿宋"/>
          <w:sz w:val="32"/>
          <w:szCs w:val="32"/>
          <w:highlight w:val="none"/>
          <w:lang w:eastAsia="zh-CN"/>
        </w:rPr>
        <w:t>原因是</w:t>
      </w:r>
      <w:r>
        <w:rPr>
          <w:rFonts w:hint="eastAsia" w:ascii="仿宋" w:hAnsi="仿宋" w:eastAsia="仿宋" w:cs="仿宋"/>
          <w:sz w:val="32"/>
          <w:szCs w:val="32"/>
          <w:highlight w:val="none"/>
        </w:rPr>
        <w:t>人员2023年编制口径变化，2022年按照事业单位进行编制，2023年按照参管事业单位编制，单位预算把机关商品和服务支出列入事业单位经常性补助（505）中；</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对个人和家庭的补助（509）16.33万元，较上年增加0.18万元，原因是增加一名退休人员的降温费和退休人员取暖费补差在原单位发放；</w:t>
      </w:r>
    </w:p>
    <w:p>
      <w:pPr>
        <w:spacing w:line="360" w:lineRule="auto"/>
        <w:ind w:firstLine="643"/>
        <w:rPr>
          <w:rFonts w:ascii="仿宋" w:hAnsi="仿宋" w:eastAsia="仿宋" w:cs="仿宋"/>
          <w:sz w:val="32"/>
          <w:szCs w:val="32"/>
          <w:highlight w:val="none"/>
        </w:rPr>
      </w:pPr>
      <w:r>
        <w:rPr>
          <w:rFonts w:hint="eastAsia" w:ascii="仿宋" w:hAnsi="仿宋" w:eastAsia="仿宋" w:cs="仿宋"/>
          <w:b/>
          <w:bCs/>
          <w:sz w:val="32"/>
          <w:szCs w:val="32"/>
          <w:highlight w:val="none"/>
        </w:rPr>
        <w:t>4、</w:t>
      </w:r>
      <w:r>
        <w:rPr>
          <w:rFonts w:hint="eastAsia" w:ascii="仿宋" w:hAnsi="仿宋" w:eastAsia="仿宋" w:cs="仿宋"/>
          <w:sz w:val="32"/>
          <w:szCs w:val="32"/>
          <w:highlight w:val="none"/>
        </w:rPr>
        <w:t>2022年结转财政资金一般公共预算拨款支出情况。</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本单位无2022年结转的一般公共预算拨款资金支出。</w:t>
      </w:r>
    </w:p>
    <w:p>
      <w:pPr>
        <w:numPr>
          <w:ilvl w:val="0"/>
          <w:numId w:val="4"/>
        </w:numPr>
        <w:spacing w:line="360" w:lineRule="auto"/>
        <w:ind w:firstLine="643"/>
        <w:rPr>
          <w:rFonts w:ascii="仿宋" w:hAnsi="仿宋" w:eastAsia="仿宋" w:cs="仿宋"/>
          <w:b/>
          <w:bCs/>
          <w:sz w:val="32"/>
          <w:szCs w:val="32"/>
          <w:highlight w:val="none"/>
        </w:rPr>
      </w:pPr>
      <w:r>
        <w:rPr>
          <w:rFonts w:hint="eastAsia" w:ascii="仿宋" w:hAnsi="仿宋" w:eastAsia="仿宋" w:cs="仿宋"/>
          <w:b/>
          <w:bCs/>
          <w:sz w:val="32"/>
          <w:szCs w:val="32"/>
          <w:highlight w:val="none"/>
        </w:rPr>
        <w:t>政府性基金预算支出情况。</w:t>
      </w:r>
    </w:p>
    <w:p>
      <w:pPr>
        <w:numPr>
          <w:ilvl w:val="0"/>
          <w:numId w:val="5"/>
        </w:numPr>
        <w:spacing w:line="360" w:lineRule="auto"/>
        <w:ind w:firstLine="643"/>
        <w:rPr>
          <w:rFonts w:ascii="仿宋" w:hAnsi="仿宋" w:eastAsia="仿宋" w:cs="仿宋"/>
          <w:b/>
          <w:bCs/>
          <w:sz w:val="32"/>
          <w:szCs w:val="32"/>
          <w:highlight w:val="none"/>
        </w:rPr>
      </w:pPr>
      <w:r>
        <w:rPr>
          <w:rFonts w:hint="eastAsia" w:ascii="仿宋" w:hAnsi="仿宋" w:eastAsia="仿宋" w:cs="仿宋"/>
          <w:b/>
          <w:bCs/>
          <w:sz w:val="32"/>
          <w:szCs w:val="32"/>
          <w:highlight w:val="none"/>
        </w:rPr>
        <w:t>当年政府性基金预算支出情况。</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本单位无当年政府性基金预算收支，并已公开空表。</w:t>
      </w:r>
    </w:p>
    <w:p>
      <w:pPr>
        <w:numPr>
          <w:ilvl w:val="0"/>
          <w:numId w:val="5"/>
        </w:numPr>
        <w:spacing w:line="360" w:lineRule="auto"/>
        <w:ind w:firstLine="643"/>
        <w:rPr>
          <w:rFonts w:ascii="仿宋" w:hAnsi="仿宋" w:eastAsia="仿宋" w:cs="仿宋"/>
          <w:b/>
          <w:bCs/>
          <w:sz w:val="32"/>
          <w:szCs w:val="32"/>
          <w:highlight w:val="none"/>
        </w:rPr>
      </w:pPr>
      <w:r>
        <w:rPr>
          <w:rFonts w:hint="eastAsia" w:ascii="仿宋" w:hAnsi="仿宋" w:eastAsia="仿宋" w:cs="仿宋"/>
          <w:b/>
          <w:bCs/>
          <w:sz w:val="32"/>
          <w:szCs w:val="32"/>
          <w:highlight w:val="none"/>
        </w:rPr>
        <w:t>上年结转政府性基金预算支出情况。</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本单位无2022年结转的政府性基金预算拨款支出。</w:t>
      </w:r>
    </w:p>
    <w:p>
      <w:pPr>
        <w:numPr>
          <w:ilvl w:val="0"/>
          <w:numId w:val="4"/>
        </w:numPr>
        <w:spacing w:line="360" w:lineRule="auto"/>
        <w:ind w:firstLine="643"/>
        <w:rPr>
          <w:rFonts w:ascii="仿宋" w:hAnsi="仿宋" w:eastAsia="仿宋" w:cs="仿宋"/>
          <w:b/>
          <w:bCs/>
          <w:sz w:val="32"/>
          <w:szCs w:val="32"/>
          <w:highlight w:val="none"/>
        </w:rPr>
      </w:pPr>
      <w:r>
        <w:rPr>
          <w:rFonts w:hint="eastAsia" w:ascii="仿宋" w:hAnsi="仿宋" w:eastAsia="仿宋" w:cs="仿宋"/>
          <w:b/>
          <w:bCs/>
          <w:sz w:val="32"/>
          <w:szCs w:val="32"/>
          <w:highlight w:val="none"/>
        </w:rPr>
        <w:t>国有资本经营预算拨款收支情况。</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本单位无当年国有资本经营预算拨款收支，并在财政拨款收支总体情况表中列示。</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本单位无2022年结转的国有资本经营预算拨款支出。</w:t>
      </w:r>
    </w:p>
    <w:p>
      <w:pPr>
        <w:spacing w:line="360" w:lineRule="auto"/>
        <w:ind w:firstLine="643"/>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第三部分  其他说明情况</w:t>
      </w:r>
    </w:p>
    <w:p>
      <w:pPr>
        <w:spacing w:line="360" w:lineRule="auto"/>
        <w:ind w:firstLine="964" w:firstLineChars="300"/>
        <w:rPr>
          <w:rFonts w:ascii="仿宋" w:hAnsi="仿宋" w:eastAsia="仿宋" w:cs="仿宋"/>
          <w:sz w:val="32"/>
          <w:szCs w:val="32"/>
          <w:highlight w:val="none"/>
        </w:rPr>
      </w:pPr>
      <w:r>
        <w:rPr>
          <w:rFonts w:hint="eastAsia" w:ascii="仿宋" w:hAnsi="仿宋" w:eastAsia="仿宋" w:cs="仿宋"/>
          <w:b/>
          <w:bCs/>
          <w:sz w:val="32"/>
          <w:szCs w:val="32"/>
          <w:highlight w:val="none"/>
        </w:rPr>
        <w:t>五、单位预算“三公”经费等预算情况说明</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2023年本单位当年一般公共预算“三公”经费预算支出0.43万元，较上年减0.16万元（27%），减少的主要原因是2023年的商品和服务支出中的日常公用经费比2022年减少两人，按照日常公用经费的10%提取的公务接待费。其中：</w:t>
      </w:r>
      <w:r>
        <w:rPr>
          <w:rFonts w:hint="eastAsia" w:ascii="仿宋" w:hAnsi="仿宋" w:eastAsia="仿宋" w:cs="仿宋"/>
          <w:sz w:val="32"/>
          <w:szCs w:val="32"/>
          <w:highlight w:val="none"/>
        </w:rPr>
        <w:t>因公出国（境）经费</w:t>
      </w:r>
      <w:r>
        <w:rPr>
          <w:rFonts w:hint="eastAsia" w:ascii="仿宋" w:hAnsi="仿宋" w:eastAsia="仿宋" w:cs="仿宋"/>
          <w:sz w:val="32"/>
          <w:szCs w:val="32"/>
          <w:highlight w:val="none"/>
        </w:rPr>
        <w:t>0万元，较上年增加（减少）0万元（0%），增加（减少）的主要原因没有预算；</w:t>
      </w: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rPr>
        <w:t>0.43万元，较上年减少0.16万元（27%），减少的主要原因是2023年的商品和服务支出中的日常公用经费比2022年减少两人，按照日常公用经费的10%提取的公务接待费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公务用车运行费</w:t>
      </w:r>
      <w:r>
        <w:rPr>
          <w:rFonts w:hint="eastAsia" w:ascii="仿宋" w:hAnsi="仿宋" w:eastAsia="仿宋" w:cs="仿宋"/>
          <w:sz w:val="32"/>
          <w:szCs w:val="32"/>
          <w:highlight w:val="none"/>
        </w:rPr>
        <w:t>0万元，较上年增加（减少）0万元（0%），增加（减少）的主要原因没有公务车辆；</w:t>
      </w:r>
      <w:r>
        <w:rPr>
          <w:rFonts w:hint="eastAsia" w:ascii="仿宋" w:hAnsi="仿宋" w:eastAsia="仿宋" w:cs="仿宋"/>
          <w:sz w:val="32"/>
          <w:szCs w:val="32"/>
          <w:highlight w:val="none"/>
        </w:rPr>
        <w:t>公务用车购置费</w:t>
      </w:r>
      <w:r>
        <w:rPr>
          <w:rFonts w:hint="eastAsia" w:ascii="仿宋" w:hAnsi="仿宋" w:eastAsia="仿宋" w:cs="仿宋"/>
          <w:sz w:val="32"/>
          <w:szCs w:val="32"/>
          <w:highlight w:val="none"/>
        </w:rPr>
        <w:t>0万元，较上年增加（减少）0万元（0%），增加（减少）的主要原因是没有购置公务用车。</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（2）2023年本单位当年</w:t>
      </w:r>
      <w:r>
        <w:rPr>
          <w:rFonts w:hint="eastAsia" w:ascii="仿宋" w:hAnsi="仿宋" w:eastAsia="仿宋" w:cs="仿宋"/>
          <w:sz w:val="32"/>
          <w:szCs w:val="32"/>
          <w:highlight w:val="none"/>
        </w:rPr>
        <w:t>会议费</w:t>
      </w:r>
      <w:r>
        <w:rPr>
          <w:rFonts w:hint="eastAsia" w:ascii="仿宋" w:hAnsi="仿宋" w:eastAsia="仿宋" w:cs="仿宋"/>
          <w:sz w:val="32"/>
          <w:szCs w:val="32"/>
          <w:highlight w:val="none"/>
        </w:rPr>
        <w:t>预算支出0万元，较上年增加（减少）0万元（0%），增加（减少）的主要原因是没有预算会议费。</w:t>
      </w:r>
      <w:r>
        <w:rPr>
          <w:rFonts w:hint="eastAsia" w:ascii="仿宋" w:hAnsi="仿宋" w:eastAsia="仿宋" w:cs="仿宋"/>
          <w:sz w:val="32"/>
          <w:szCs w:val="32"/>
          <w:highlight w:val="none"/>
        </w:rPr>
        <w:t>培训费</w:t>
      </w:r>
      <w:r>
        <w:rPr>
          <w:rFonts w:hint="eastAsia" w:ascii="仿宋" w:hAnsi="仿宋" w:eastAsia="仿宋" w:cs="仿宋"/>
          <w:sz w:val="32"/>
          <w:szCs w:val="32"/>
          <w:highlight w:val="none"/>
        </w:rPr>
        <w:t>0万元，较上年增加（减少）0万元（0%），增加（减少）的主要原因是没有预算培训费。</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本单位无2022年结转的财政拨款‘三公’经费和会议费、培训费支出。</w:t>
      </w:r>
    </w:p>
    <w:p>
      <w:pPr>
        <w:spacing w:line="360" w:lineRule="auto"/>
        <w:ind w:firstLine="964"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六、单位国有资产占有使用及资产购置情况说明</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截止2022年底，本单位所属预算单位共有</w:t>
      </w:r>
      <w:r>
        <w:rPr>
          <w:rFonts w:hint="eastAsia" w:ascii="仿宋" w:hAnsi="仿宋" w:eastAsia="仿宋" w:cs="仿宋"/>
          <w:sz w:val="32"/>
          <w:szCs w:val="32"/>
          <w:highlight w:val="none"/>
        </w:rPr>
        <w:t>车辆</w:t>
      </w:r>
      <w:r>
        <w:rPr>
          <w:rFonts w:hint="eastAsia" w:ascii="仿宋" w:hAnsi="仿宋" w:eastAsia="仿宋" w:cs="仿宋"/>
          <w:sz w:val="32"/>
          <w:szCs w:val="32"/>
          <w:highlight w:val="none"/>
        </w:rPr>
        <w:t>0辆，单价</w:t>
      </w:r>
      <w:r>
        <w:rPr>
          <w:rFonts w:hint="eastAsia" w:ascii="仿宋" w:hAnsi="仿宋" w:eastAsia="仿宋" w:cs="仿宋"/>
          <w:sz w:val="32"/>
          <w:szCs w:val="32"/>
          <w:highlight w:val="none"/>
        </w:rPr>
        <w:t>20万元以上的设备</w:t>
      </w:r>
      <w:r>
        <w:rPr>
          <w:rFonts w:hint="eastAsia" w:ascii="仿宋" w:hAnsi="仿宋" w:eastAsia="仿宋" w:cs="仿宋"/>
          <w:sz w:val="32"/>
          <w:szCs w:val="32"/>
          <w:highlight w:val="none"/>
        </w:rPr>
        <w:t>0台（套）。2023年当年单位预算安排购置车辆0辆；安排购置单价20万元以上的设备0台（套）。</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本单位无2022年结转的财政拨款支出资产购置。</w:t>
      </w:r>
    </w:p>
    <w:p>
      <w:pPr>
        <w:pStyle w:val="11"/>
        <w:numPr>
          <w:ilvl w:val="0"/>
          <w:numId w:val="6"/>
        </w:numPr>
        <w:spacing w:line="360" w:lineRule="auto"/>
        <w:ind w:firstLineChars="0"/>
        <w:rPr>
          <w:rFonts w:ascii="仿宋" w:hAnsi="仿宋" w:eastAsia="仿宋" w:cs="仿宋"/>
          <w:b/>
          <w:bCs/>
          <w:sz w:val="32"/>
          <w:szCs w:val="32"/>
          <w:highlight w:val="none"/>
        </w:rPr>
      </w:pPr>
      <w:r>
        <w:rPr>
          <w:rFonts w:hint="eastAsia" w:ascii="仿宋" w:hAnsi="仿宋" w:eastAsia="仿宋" w:cs="仿宋"/>
          <w:b/>
          <w:bCs/>
          <w:sz w:val="32"/>
          <w:szCs w:val="32"/>
          <w:highlight w:val="none"/>
        </w:rPr>
        <w:t>单位政府采购情况说明</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 xml:space="preserve"> 2023年当年本单位政府采购预算共0万元，其中政府采购</w:t>
      </w:r>
      <w:r>
        <w:rPr>
          <w:rFonts w:hint="eastAsia" w:ascii="仿宋" w:hAnsi="仿宋" w:eastAsia="仿宋" w:cs="仿宋"/>
          <w:sz w:val="32"/>
          <w:szCs w:val="32"/>
          <w:highlight w:val="none"/>
        </w:rPr>
        <w:t>货物类</w:t>
      </w:r>
      <w:r>
        <w:rPr>
          <w:rFonts w:hint="eastAsia" w:ascii="仿宋" w:hAnsi="仿宋" w:eastAsia="仿宋" w:cs="仿宋"/>
          <w:sz w:val="32"/>
          <w:szCs w:val="32"/>
          <w:highlight w:val="none"/>
        </w:rPr>
        <w:t>预算0万元、政府采购</w:t>
      </w:r>
      <w:r>
        <w:rPr>
          <w:rFonts w:hint="eastAsia" w:ascii="仿宋" w:hAnsi="仿宋" w:eastAsia="仿宋" w:cs="仿宋"/>
          <w:sz w:val="32"/>
          <w:szCs w:val="32"/>
          <w:highlight w:val="none"/>
        </w:rPr>
        <w:t>服务类</w:t>
      </w:r>
      <w:r>
        <w:rPr>
          <w:rFonts w:hint="eastAsia" w:ascii="仿宋" w:hAnsi="仿宋" w:eastAsia="仿宋" w:cs="仿宋"/>
          <w:sz w:val="32"/>
          <w:szCs w:val="32"/>
          <w:highlight w:val="none"/>
        </w:rPr>
        <w:t>预算0万元、政府采购</w:t>
      </w:r>
      <w:r>
        <w:rPr>
          <w:rFonts w:hint="eastAsia" w:ascii="仿宋" w:hAnsi="仿宋" w:eastAsia="仿宋" w:cs="仿宋"/>
          <w:sz w:val="32"/>
          <w:szCs w:val="32"/>
          <w:highlight w:val="none"/>
        </w:rPr>
        <w:t>工程类</w:t>
      </w:r>
      <w:r>
        <w:rPr>
          <w:rFonts w:hint="eastAsia" w:ascii="仿宋" w:hAnsi="仿宋" w:eastAsia="仿宋" w:cs="仿宋"/>
          <w:sz w:val="32"/>
          <w:szCs w:val="32"/>
          <w:highlight w:val="none"/>
        </w:rPr>
        <w:t>预算0万元（详见公开报表中的政府采购表）。</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本单位2023年无政府采购预算，并已公开空表。</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本单位无2022年结转的政府采购资金支出。</w:t>
      </w:r>
    </w:p>
    <w:p>
      <w:pPr>
        <w:spacing w:line="360" w:lineRule="auto"/>
        <w:ind w:firstLine="964" w:firstLineChars="300"/>
        <w:rPr>
          <w:highlight w:val="none"/>
        </w:rPr>
      </w:pPr>
      <w:r>
        <w:rPr>
          <w:rFonts w:hint="eastAsia" w:ascii="仿宋" w:hAnsi="仿宋" w:eastAsia="仿宋" w:cs="仿宋"/>
          <w:b/>
          <w:bCs/>
          <w:sz w:val="32"/>
          <w:szCs w:val="32"/>
          <w:highlight w:val="none"/>
        </w:rPr>
        <w:t>八、单位预算绩效目标说明</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2023年本单位绩效目标管理全覆盖，涉及当年一般公共预算拨款145.29万元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本单位无2022年结转的财政拨款支出涉及的绩效目标管理。</w:t>
      </w:r>
    </w:p>
    <w:p>
      <w:pPr>
        <w:spacing w:line="360" w:lineRule="auto"/>
        <w:ind w:firstLine="964"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九、机关运行经费安排说明</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本单位当年机关运行经费预算安排4.75万元，较上年减少1.19万元，主要原因是2022年退休一人调出一人。</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本单位无2022年结转的财政拨款机关运行经费支出。</w:t>
      </w:r>
    </w:p>
    <w:p>
      <w:pPr>
        <w:spacing w:line="360" w:lineRule="auto"/>
        <w:ind w:left="960" w:firstLine="321" w:firstLineChars="100"/>
        <w:rPr>
          <w:rFonts w:ascii="仿宋" w:hAnsi="仿宋" w:eastAsia="仿宋" w:cs="仿宋"/>
          <w:b/>
          <w:bCs/>
          <w:sz w:val="32"/>
          <w:szCs w:val="32"/>
          <w:highlight w:val="none"/>
        </w:rPr>
      </w:pPr>
      <w:r>
        <w:rPr>
          <w:rFonts w:hint="eastAsia" w:ascii="仿宋" w:hAnsi="仿宋" w:eastAsia="仿宋" w:cs="仿宋"/>
          <w:b/>
          <w:bCs/>
          <w:sz w:val="32"/>
          <w:szCs w:val="32"/>
          <w:highlight w:val="none"/>
        </w:rPr>
        <w:t>十、专业名词解释</w:t>
      </w:r>
    </w:p>
    <w:p>
      <w:pPr>
        <w:spacing w:line="360" w:lineRule="auto"/>
        <w:ind w:firstLine="0" w:firstLineChars="0"/>
        <w:rPr>
          <w:rFonts w:ascii="仿宋" w:hAnsi="仿宋" w:eastAsia="仿宋" w:cs="仿宋"/>
          <w:sz w:val="32"/>
          <w:szCs w:val="32"/>
          <w:highlight w:val="none"/>
        </w:rPr>
      </w:pPr>
    </w:p>
    <w:p>
      <w:pPr>
        <w:numPr>
          <w:ilvl w:val="0"/>
          <w:numId w:val="7"/>
        </w:num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pStyle w:val="12"/>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3"/>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第四部分  公开报表</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（详见附表）</w:t>
      </w:r>
      <w:r>
        <w:rPr>
          <w:rFonts w:hint="eastAsia" w:ascii="仿宋" w:hAnsi="仿宋" w:eastAsia="仿宋" w:cs="仿宋"/>
          <w:sz w:val="32"/>
          <w:szCs w:val="32"/>
          <w:highlight w:val="none"/>
        </w:rPr>
        <w:tab/>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E72D508A"/>
    <w:multiLevelType w:val="singleLevel"/>
    <w:tmpl w:val="E72D508A"/>
    <w:lvl w:ilvl="0" w:tentative="0">
      <w:start w:val="1"/>
      <w:numFmt w:val="decimal"/>
      <w:lvlText w:val="%1."/>
      <w:lvlJc w:val="left"/>
      <w:pPr>
        <w:tabs>
          <w:tab w:val="left" w:pos="312"/>
        </w:tabs>
      </w:pPr>
    </w:lvl>
  </w:abstractNum>
  <w:abstractNum w:abstractNumId="2">
    <w:nsid w:val="FF921BAA"/>
    <w:multiLevelType w:val="singleLevel"/>
    <w:tmpl w:val="FF921BAA"/>
    <w:lvl w:ilvl="0" w:tentative="0">
      <w:start w:val="1"/>
      <w:numFmt w:val="decimal"/>
      <w:suff w:val="nothing"/>
      <w:lvlText w:val="%1、"/>
      <w:lvlJc w:val="left"/>
    </w:lvl>
  </w:abstractNum>
  <w:abstractNum w:abstractNumId="3">
    <w:nsid w:val="02686215"/>
    <w:multiLevelType w:val="singleLevel"/>
    <w:tmpl w:val="02686215"/>
    <w:lvl w:ilvl="0" w:tentative="0">
      <w:start w:val="2"/>
      <w:numFmt w:val="decimal"/>
      <w:suff w:val="nothing"/>
      <w:lvlText w:val="%1、"/>
      <w:lvlJc w:val="left"/>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abstractNum w:abstractNumId="6">
    <w:nsid w:val="62442497"/>
    <w:multiLevelType w:val="multilevel"/>
    <w:tmpl w:val="62442497"/>
    <w:lvl w:ilvl="0" w:tentative="0">
      <w:start w:val="7"/>
      <w:numFmt w:val="japaneseCounting"/>
      <w:lvlText w:val="%1、"/>
      <w:lvlJc w:val="left"/>
      <w:pPr>
        <w:ind w:left="1041" w:hanging="720"/>
      </w:pPr>
      <w:rPr>
        <w:rFonts w:hint="default"/>
      </w:r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216FAB"/>
    <w:rsid w:val="00B6063A"/>
    <w:rsid w:val="00D70262"/>
    <w:rsid w:val="018F2D13"/>
    <w:rsid w:val="01D85164"/>
    <w:rsid w:val="022D0345"/>
    <w:rsid w:val="02953D9A"/>
    <w:rsid w:val="033504B3"/>
    <w:rsid w:val="03791D26"/>
    <w:rsid w:val="0466605A"/>
    <w:rsid w:val="04F35073"/>
    <w:rsid w:val="061D2748"/>
    <w:rsid w:val="06B33CEB"/>
    <w:rsid w:val="06D7231D"/>
    <w:rsid w:val="075D6C6A"/>
    <w:rsid w:val="0773304F"/>
    <w:rsid w:val="089D1D43"/>
    <w:rsid w:val="093C1D49"/>
    <w:rsid w:val="0A653AEA"/>
    <w:rsid w:val="0AAB1747"/>
    <w:rsid w:val="0B473936"/>
    <w:rsid w:val="0B820553"/>
    <w:rsid w:val="0B8A1B09"/>
    <w:rsid w:val="0C805687"/>
    <w:rsid w:val="0D053BAB"/>
    <w:rsid w:val="0D594F94"/>
    <w:rsid w:val="0D6945E7"/>
    <w:rsid w:val="0E1F698E"/>
    <w:rsid w:val="0EC94F18"/>
    <w:rsid w:val="0FA9052D"/>
    <w:rsid w:val="10163FB4"/>
    <w:rsid w:val="10A536CA"/>
    <w:rsid w:val="118C11EC"/>
    <w:rsid w:val="12B55B02"/>
    <w:rsid w:val="13DD192D"/>
    <w:rsid w:val="13E82FB1"/>
    <w:rsid w:val="147F7E6C"/>
    <w:rsid w:val="14C85364"/>
    <w:rsid w:val="14FA613E"/>
    <w:rsid w:val="15053ED9"/>
    <w:rsid w:val="15BA67E3"/>
    <w:rsid w:val="15EB6487"/>
    <w:rsid w:val="164922D2"/>
    <w:rsid w:val="166918D6"/>
    <w:rsid w:val="174B7E24"/>
    <w:rsid w:val="176724C1"/>
    <w:rsid w:val="17711FBE"/>
    <w:rsid w:val="18AF7F70"/>
    <w:rsid w:val="1A431FF4"/>
    <w:rsid w:val="1B3A30AF"/>
    <w:rsid w:val="1B746107"/>
    <w:rsid w:val="1CCB2422"/>
    <w:rsid w:val="1CD64124"/>
    <w:rsid w:val="1E0072C5"/>
    <w:rsid w:val="1E1E7AD2"/>
    <w:rsid w:val="1ED0381D"/>
    <w:rsid w:val="1F813A12"/>
    <w:rsid w:val="20FE50B8"/>
    <w:rsid w:val="210125EB"/>
    <w:rsid w:val="210F400E"/>
    <w:rsid w:val="229A281A"/>
    <w:rsid w:val="2383657E"/>
    <w:rsid w:val="23F45765"/>
    <w:rsid w:val="242E73FF"/>
    <w:rsid w:val="246C5345"/>
    <w:rsid w:val="24AB40AF"/>
    <w:rsid w:val="24FC6952"/>
    <w:rsid w:val="26121868"/>
    <w:rsid w:val="26CC76FD"/>
    <w:rsid w:val="272308AF"/>
    <w:rsid w:val="28064C78"/>
    <w:rsid w:val="2864072E"/>
    <w:rsid w:val="2876318E"/>
    <w:rsid w:val="2A3E38E1"/>
    <w:rsid w:val="2BF2458F"/>
    <w:rsid w:val="2D947006"/>
    <w:rsid w:val="2DAB596F"/>
    <w:rsid w:val="2F3B562F"/>
    <w:rsid w:val="2FC8494E"/>
    <w:rsid w:val="302E07DC"/>
    <w:rsid w:val="314B37FB"/>
    <w:rsid w:val="31B733F7"/>
    <w:rsid w:val="33C1667B"/>
    <w:rsid w:val="381657C7"/>
    <w:rsid w:val="385D1A98"/>
    <w:rsid w:val="38F70388"/>
    <w:rsid w:val="3A4434B4"/>
    <w:rsid w:val="3B055E9C"/>
    <w:rsid w:val="3B283F69"/>
    <w:rsid w:val="3C1930DF"/>
    <w:rsid w:val="3C6847BC"/>
    <w:rsid w:val="3C8C0F36"/>
    <w:rsid w:val="3D28036F"/>
    <w:rsid w:val="3D8407DF"/>
    <w:rsid w:val="3DFF32ED"/>
    <w:rsid w:val="3EDC3EBF"/>
    <w:rsid w:val="3F503091"/>
    <w:rsid w:val="4008265B"/>
    <w:rsid w:val="408A428C"/>
    <w:rsid w:val="41851E44"/>
    <w:rsid w:val="41A87722"/>
    <w:rsid w:val="420B5D06"/>
    <w:rsid w:val="4248700C"/>
    <w:rsid w:val="43A463F7"/>
    <w:rsid w:val="444B55FD"/>
    <w:rsid w:val="44895D38"/>
    <w:rsid w:val="44A21368"/>
    <w:rsid w:val="458D2861"/>
    <w:rsid w:val="465670F7"/>
    <w:rsid w:val="46A43C61"/>
    <w:rsid w:val="471D22FA"/>
    <w:rsid w:val="472B48D8"/>
    <w:rsid w:val="4741375D"/>
    <w:rsid w:val="47C702DF"/>
    <w:rsid w:val="48422B9F"/>
    <w:rsid w:val="488947B6"/>
    <w:rsid w:val="49D7054F"/>
    <w:rsid w:val="4AFF34BC"/>
    <w:rsid w:val="4C196BFC"/>
    <w:rsid w:val="4D624AED"/>
    <w:rsid w:val="4E1842B0"/>
    <w:rsid w:val="4FB64197"/>
    <w:rsid w:val="50572E30"/>
    <w:rsid w:val="51AA26CF"/>
    <w:rsid w:val="51AA5E26"/>
    <w:rsid w:val="52324C02"/>
    <w:rsid w:val="52C93A96"/>
    <w:rsid w:val="531A3416"/>
    <w:rsid w:val="538C5F53"/>
    <w:rsid w:val="540C1ED1"/>
    <w:rsid w:val="54474AB6"/>
    <w:rsid w:val="55356810"/>
    <w:rsid w:val="55592760"/>
    <w:rsid w:val="5582405A"/>
    <w:rsid w:val="56051C6B"/>
    <w:rsid w:val="563F4648"/>
    <w:rsid w:val="57C07DEE"/>
    <w:rsid w:val="58FE3115"/>
    <w:rsid w:val="592D7B67"/>
    <w:rsid w:val="59D947AF"/>
    <w:rsid w:val="59F96CB8"/>
    <w:rsid w:val="5AA4178E"/>
    <w:rsid w:val="5AD12776"/>
    <w:rsid w:val="5BD23E00"/>
    <w:rsid w:val="5BF47018"/>
    <w:rsid w:val="5C653576"/>
    <w:rsid w:val="5CDD1FF5"/>
    <w:rsid w:val="5DE80B25"/>
    <w:rsid w:val="5E5C14C1"/>
    <w:rsid w:val="5F635E4B"/>
    <w:rsid w:val="5F680A7E"/>
    <w:rsid w:val="5FD44EBD"/>
    <w:rsid w:val="60404B5F"/>
    <w:rsid w:val="6134696F"/>
    <w:rsid w:val="619E735E"/>
    <w:rsid w:val="61EE3D1B"/>
    <w:rsid w:val="62460F4D"/>
    <w:rsid w:val="62A365B5"/>
    <w:rsid w:val="6536434F"/>
    <w:rsid w:val="65B7439B"/>
    <w:rsid w:val="66607F61"/>
    <w:rsid w:val="671150D4"/>
    <w:rsid w:val="67606C1C"/>
    <w:rsid w:val="676942F4"/>
    <w:rsid w:val="68EA113C"/>
    <w:rsid w:val="699E67D8"/>
    <w:rsid w:val="69B23FEC"/>
    <w:rsid w:val="69E141D5"/>
    <w:rsid w:val="69F87A79"/>
    <w:rsid w:val="6B040F5B"/>
    <w:rsid w:val="6C540332"/>
    <w:rsid w:val="6CA0611D"/>
    <w:rsid w:val="6D6121A5"/>
    <w:rsid w:val="6DBE3A60"/>
    <w:rsid w:val="6E2E0274"/>
    <w:rsid w:val="6E8A04A9"/>
    <w:rsid w:val="6F3075D5"/>
    <w:rsid w:val="6F5403ED"/>
    <w:rsid w:val="6FD84832"/>
    <w:rsid w:val="6FFF782D"/>
    <w:rsid w:val="71A236EE"/>
    <w:rsid w:val="72EF6A40"/>
    <w:rsid w:val="734C2E95"/>
    <w:rsid w:val="73843559"/>
    <w:rsid w:val="74F00593"/>
    <w:rsid w:val="75AC088F"/>
    <w:rsid w:val="75E1293A"/>
    <w:rsid w:val="76590D5F"/>
    <w:rsid w:val="77AD3FB4"/>
    <w:rsid w:val="781B6398"/>
    <w:rsid w:val="7839395D"/>
    <w:rsid w:val="788B613B"/>
    <w:rsid w:val="78935A62"/>
    <w:rsid w:val="7920167B"/>
    <w:rsid w:val="7A3E4F09"/>
    <w:rsid w:val="7BF11232"/>
    <w:rsid w:val="7CE442E1"/>
    <w:rsid w:val="7CEE0D2E"/>
    <w:rsid w:val="7CF76871"/>
    <w:rsid w:val="7D804F3A"/>
    <w:rsid w:val="7E2B2CA4"/>
    <w:rsid w:val="7E547736"/>
    <w:rsid w:val="7E791462"/>
    <w:rsid w:val="7E7E6C0F"/>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2"/>
    <w:basedOn w:val="1"/>
    <w:next w:val="1"/>
    <w:qFormat/>
    <w:uiPriority w:val="99"/>
    <w:pPr>
      <w:keepNext/>
      <w:keepLines/>
      <w:spacing w:before="260" w:after="260" w:line="415" w:lineRule="auto"/>
      <w:outlineLvl w:val="1"/>
    </w:pPr>
    <w:rPr>
      <w:rFonts w:ascii="Arial" w:hAnsi="Arial" w:eastAsia="黑体" w:cs="Arial"/>
      <w:b/>
      <w:bCs/>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itle"/>
    <w:basedOn w:val="1"/>
    <w:next w:val="3"/>
    <w:qFormat/>
    <w:uiPriority w:val="99"/>
    <w:pPr>
      <w:spacing w:line="240" w:lineRule="atLeast"/>
      <w:jc w:val="center"/>
    </w:pPr>
    <w:rPr>
      <w:rFonts w:ascii="Arial" w:hAnsi="Arial" w:eastAsia="黑体"/>
      <w:sz w:val="52"/>
      <w:szCs w:val="22"/>
    </w:rPr>
  </w:style>
  <w:style w:type="paragraph" w:customStyle="1" w:styleId="3">
    <w:name w:val="UserStyle_11"/>
    <w:basedOn w:val="1"/>
    <w:next w:val="1"/>
    <w:qFormat/>
    <w:uiPriority w:val="99"/>
    <w:pPr>
      <w:spacing w:after="120"/>
      <w:ind w:left="420" w:leftChars="200"/>
    </w:pPr>
    <w:rPr>
      <w:szCs w:val="2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Char"/>
    <w:basedOn w:val="1"/>
    <w:qFormat/>
    <w:uiPriority w:val="0"/>
  </w:style>
  <w:style w:type="paragraph" w:styleId="11">
    <w:name w:val="List Paragraph"/>
    <w:basedOn w:val="1"/>
    <w:uiPriority w:val="99"/>
    <w:pPr>
      <w:ind w:firstLine="420"/>
    </w:pPr>
  </w:style>
  <w:style w:type="paragraph" w:customStyle="1" w:styleId="12">
    <w:name w:val="列表段落1"/>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20915;&#31639;&#20844;&#24320;&#25554;&#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023&#24180;&#39044;&#31639;&#20915;&#31639;&#20844;&#24320;&#25554;&#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人员结构图</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dPt>
          <c:dLbls>
            <c:dLbl>
              <c:idx val="0"/>
              <c:layout>
                <c:manualLayout>
                  <c:x val="-0.054974044789737"/>
                  <c:y val="0.089209784704928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0.10379158825434"/>
                  <c:y val="-0.0022623601007253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[决算公开插图.xls]Sheet1!$A$1:$A$4</c:f>
              <c:strCache>
                <c:ptCount val="4"/>
                <c:pt idx="0">
                  <c:v>事业人员2人</c:v>
                </c:pt>
                <c:pt idx="1">
                  <c:v>参管人员6人</c:v>
                </c:pt>
                <c:pt idx="2">
                  <c:v>离退休人员8人</c:v>
                </c:pt>
                <c:pt idx="3">
                  <c:v>98年离岗人员</c:v>
                </c:pt>
              </c:strCache>
            </c:strRef>
          </c:cat>
          <c:val>
            <c:numRef>
              <c:f>[决算公开插图.xls]Sheet1!$B$1:$B$4</c:f>
              <c:numCache>
                <c:formatCode>General</c:formatCode>
                <c:ptCount val="4"/>
                <c:pt idx="0">
                  <c:v>3</c:v>
                </c:pt>
                <c:pt idx="1">
                  <c:v>7</c:v>
                </c:pt>
                <c:pt idx="2">
                  <c:v>7</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268055555555556"/>
          <c:y val="0.887731481481482"/>
          <c:w val="0.445416666666667"/>
          <c:h val="0.08449074074074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2022</a:t>
            </a:r>
            <a:r>
              <a:rPr lang="zh-CN"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年和</a:t>
            </a:r>
            <a:r>
              <a:rPr lang="en-US" altLang="zh-CN" sz="1400" b="0" i="0" u="none" strike="noStrike" baseline="0">
                <a:solidFill>
                  <a:srgbClr val="333333"/>
                </a:solidFill>
                <a:latin typeface="宋体" panose="02010600030101010101" charset="-122"/>
                <a:ea typeface="宋体" panose="02010600030101010101" charset="-122"/>
                <a:cs typeface="宋体" panose="02010600030101010101" charset="-122"/>
              </a:rPr>
              <a:t>2023</a:t>
            </a:r>
            <a:r>
              <a:rPr lang="zh-CN"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年预算支出情况表</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[2023年预算决算公开插图.xls]Sheet1!$A$36</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[2023年预算决算公开插图.xls]Sheet1!$B$35:$C$35</c:f>
              <c:strCache>
                <c:ptCount val="1"/>
                <c:pt idx="0">
                  <c:v>支出</c:v>
                </c:pt>
              </c:strCache>
            </c:strRef>
          </c:cat>
          <c:val>
            <c:numRef>
              <c:f>[2023年预算决算公开插图.xls]Sheet1!$B$36:$C$36</c:f>
              <c:numCache>
                <c:formatCode>General</c:formatCode>
                <c:ptCount val="1"/>
                <c:pt idx="0">
                  <c:v>154.45</c:v>
                </c:pt>
              </c:numCache>
            </c:numRef>
          </c:val>
        </c:ser>
        <c:ser>
          <c:idx val="1"/>
          <c:order val="1"/>
          <c:tx>
            <c:strRef>
              <c:f>[2023年预算决算公开插图.xls]Sheet1!$A$37</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[2023年预算决算公开插图.xls]Sheet1!$B$35:$C$35</c:f>
              <c:strCache>
                <c:ptCount val="1"/>
                <c:pt idx="0">
                  <c:v>支出</c:v>
                </c:pt>
              </c:strCache>
            </c:strRef>
          </c:cat>
          <c:val>
            <c:numRef>
              <c:f>[2023年预算决算公开插图.xls]Sheet1!$B$37:$C$37</c:f>
              <c:numCache>
                <c:formatCode>General</c:formatCode>
                <c:ptCount val="1"/>
                <c:pt idx="0">
                  <c:v>145.29</c:v>
                </c:pt>
              </c:numCache>
            </c:numRef>
          </c:val>
        </c:ser>
        <c:dLbls>
          <c:showLegendKey val="0"/>
          <c:showVal val="0"/>
          <c:showCatName val="0"/>
          <c:showSerName val="0"/>
          <c:showPercent val="0"/>
          <c:showBubbleSize val="0"/>
        </c:dLbls>
        <c:gapWidth val="219"/>
        <c:overlap val="-27"/>
        <c:axId val="941739914"/>
        <c:axId val="473322888"/>
      </c:barChart>
      <c:catAx>
        <c:axId val="94173991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3322888"/>
        <c:crosses val="autoZero"/>
        <c:auto val="1"/>
        <c:lblAlgn val="ctr"/>
        <c:lblOffset val="100"/>
        <c:noMultiLvlLbl val="0"/>
      </c:catAx>
      <c:valAx>
        <c:axId val="4733228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73991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4391</Words>
  <Characters>4862</Characters>
  <Lines>36</Lines>
  <Paragraphs>10</Paragraphs>
  <TotalTime>1</TotalTime>
  <ScaleCrop>false</ScaleCrop>
  <LinksUpToDate>false</LinksUpToDate>
  <CharactersWithSpaces>4930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2023-03-23T00:50:00Z</cp:lastPrinted>
  <dcterms:modified xsi:type="dcterms:W3CDTF">2023-04-26T06:10:30Z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