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紫阳中学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1.宣传贯彻执行党和国家的教育方针、教育法律和法规，贯彻执行上级的各项规章制度。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2.实施高中学历教育，坚持正确的办学方向，依法治校，创造有利于学生全面发展的育人环境。高水平、高质量普及高中阶段教育。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3.规范办学行为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认真实施普通高中课程改革，严格执行国家课程标准，开齐课程，开足课时。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4.组织实施学生德育工作，保障高中学生健康成长；实施学校体育教育、健康教育、国防教育、科技教育、艺术教育等工作。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5.加强师资队伍建设和管理，为各类培训进修提供必要的条件，保证教育教学质量稳步提高。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6.积极创造条件，推动学校办学条件标准化、科学化 、规范化建设，搞好校舍、教学设施、校园环境等建设。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 xml:space="preserve">    7.强化法制安全教育，落实防范措施，防止发生重大安全事故。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green"/>
        </w:rPr>
      </w:pPr>
      <w:r>
        <w:rPr>
          <w:rFonts w:hint="eastAsia" w:ascii="仿宋" w:hAnsi="仿宋" w:eastAsia="仿宋" w:cs="仿宋"/>
          <w:sz w:val="32"/>
          <w:szCs w:val="32"/>
        </w:rPr>
        <w:t>本单位现设有行政办公室、教务处、政教处、总务处、教科室、健康教育办公室、团委等七个管理职能单位。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党建工作；突出党建核心引领作用，完善党员学习制度，加强党员教育培训。</w:t>
      </w:r>
      <w:r>
        <w:rPr>
          <w:rFonts w:ascii="仿宋_GB2312" w:hAnsi="仿宋_GB2312" w:eastAsia="仿宋_GB2312" w:cs="仿宋_GB2312"/>
          <w:sz w:val="32"/>
          <w:szCs w:val="32"/>
        </w:rPr>
        <w:t>严格规范组织生活，加强党员管理。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队伍建设；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把师德建设放在教师培养的首要位置，巩固师德建设和教育行风专项治理成果。坚持师德典型树立和师德失范处理并重、师德承诺与师德考核并行、严格要求和人文关怀结合，建设一支班子成员做表率、党员教师为榜样、全体教师守底线的守正创新、爱岗敬业的队伍。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常规管理；教职工、学生的日常管理。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德育工作；德育处组建工作专班，制定既符合上级文件要求又切合学校实际、可操作性强的学生综合素质评价方案。切实加强德育常规管理。从日常行为规范入手，着重对学生进行文明礼仪为重点的基础文明教育，力求通过教育、管理，使学生文明规范外化为行为，内化为素质，形成良好的行为习惯、学习习惯和文明礼仪习惯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教学工作；本学期，是承上启下的关键时期，我们要正视优质生源流失的不利局面，紧盯目标，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以干克难，夯实教学常规，扎实开展工作，确保2023年高考再创辉煌。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教研工作</w:t>
      </w:r>
      <w:r>
        <w:rPr>
          <w:rFonts w:hint="eastAsia" w:ascii="仿宋" w:hAnsi="仿宋" w:eastAsia="仿宋" w:cs="仿宋"/>
          <w:sz w:val="32"/>
          <w:szCs w:val="32"/>
        </w:rPr>
        <w:t>；围绕学校发展规划，增强全体教师的科研意识，完善教师校本研训的机制和平台，优化各层次各类别教师队伍建设。紧抓课题研究，突出科研实效。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安全工作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认真落实安全第一，预防为主，防治结合的方针，牢固树立安全重于泰山的思想。以高度的社会责任感，坚持做到预防为主，教育为先；警钟长鸣，居安思危，共同做好学校安全工作。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其他工作</w:t>
      </w:r>
      <w:r>
        <w:rPr>
          <w:rFonts w:hint="eastAsia" w:ascii="仿宋" w:hAnsi="仿宋" w:eastAsia="仿宋" w:cs="仿宋"/>
          <w:sz w:val="32"/>
          <w:szCs w:val="32"/>
        </w:rPr>
        <w:t>；丰富校园活动，实现活动育人。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优化服务管理，做好后勤保障。加强沟通汇报，积极争取上级支持，力争学生公寓楼建设尽早开工。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截止2022年底，本单位人员编制310人，其中行政编制0人、事业编制310人；实有人员283人，其中行政0人、事业283人。单位管理的离退休人员53人。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270500" cy="3181350"/>
            <wp:effectExtent l="0" t="0" r="6350" b="0"/>
            <wp:docPr id="1" name="图片 1" descr="柱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柱形图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48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3606.04万元，其中一般公共预算拨款收入3606.04万元、政府性基金拨款收入0万元，2023年本单位预算收入较上年增加486.54万元，主要原因是本年度人员经费项目增加；2023年本单位预算支出3606.04万元，其中一般公共预算拨款支出3606.04万元、政府性基金拨款支出0万元，2023年本单位预算支出较上年增加486.540万元，主要原因是本年度人员经费项目增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3606.04万元，其中一般公共预算拨款收入3606.04万元、政府性基金拨款收入0万元，2023年本单位财政拨款收入较上年增加486.54万元，主要原因是本年度人员经费项目增加；2023年本单位财政拨款支出3606.04万元，其中一般公共预算拨款支出3606.04万元、政府性基金拨款支出0万元，2023年本单位财政拨款支出较上年增加486.54万元，主要原因是本年度人员经费项目增加。</w:t>
      </w:r>
    </w:p>
    <w:p>
      <w:pPr>
        <w:spacing w:line="360" w:lineRule="auto"/>
        <w:ind w:firstLine="64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2023年本单位当年一般公共预算拨款支出3606.04万元，较上年增加486.54万元，主要原因是本年度人员经费项目增加。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本单位2023年当年一般公共预算支出3606.04万元，其中：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（1）高中教育（2050204）2689.86万元，较上年增加380.3万元，原因是本年度人员经费增加；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（2）机关事业单位基本养老保险缴费支出（2080505）409.77万元，较上年增加60.57万元，原因是本年度人员经费项目增加；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（3）事业单位医疗（2101102）200.74万元，较上年增加30.49万元，原因是本年度人员经费项目增加；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（4）住房公积金（2210201）305.67万元，较上年增加15.19万元，原因是本年度人员经费项目增加；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2023年本单位当年一般公共预算支出3606.04万元，其中：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工资福利支出（301）3598.41万元，较上年增加485.4万元，原因是本年度人员经费项目增加；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对个人和家庭的补助支出（303）7.63万元，较上年增加1.14万元，原因是本年度退休人员增加；</w:t>
      </w:r>
    </w:p>
    <w:p>
      <w:pPr>
        <w:numPr>
          <w:ilvl w:val="0"/>
          <w:numId w:val="3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2023年本单位当年一般公共预算支出3606.04万元，其中：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工资福利支出（301）3598.41万元，较上年增加485.4万元，原因是本年度人员经费项目增加；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对个人和家庭的补助支出（303）7.63万元，较上年增加1.14万元，原因是本年度退休人员增加；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5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（1）2023年本单位当年一般公共预算“三公”经费预算支出0万元，较上年增加（减少）0万元（0%）。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（2）2023年本单位当年会议费预算支出0万元，较上年增加（减少）0万元（0%）。培训费0万元，较上年增加（减少）0万元（0%）。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截止2022年底，本单位所属预算单位共有车辆0辆，单价20万元以上的设备0台（套）。2023年当年单位预算安排购置车辆0辆；安排购置单价20万元以上的设备0台（套）。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8"/>
        <w:numPr>
          <w:ilvl w:val="0"/>
          <w:numId w:val="6"/>
        </w:numPr>
        <w:spacing w:line="360" w:lineRule="auto"/>
        <w:ind w:left="1680" w:leftChars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2023年本单位绩效目标管理全覆盖，涉及当年一般公共预算拨款3606.04万元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  <w:highlight w:val="red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本单位当年机关运行经费预算安排0万元，较上年增加（减少）0万元，主要原因是……。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ascii="仿宋" w:hAnsi="仿宋" w:eastAsia="仿宋" w:cs="仿宋"/>
          <w:sz w:val="32"/>
          <w:szCs w:val="32"/>
        </w:rPr>
      </w:pPr>
    </w:p>
    <w:p>
      <w:pPr>
        <w:spacing w:line="360" w:lineRule="auto"/>
        <w:ind w:firstLine="6400" w:firstLineChars="200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61CBF2F"/>
    <w:multiLevelType w:val="singleLevel"/>
    <w:tmpl w:val="A61CBF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0D5A732B"/>
    <w:multiLevelType w:val="multilevel"/>
    <w:tmpl w:val="0D5A732B"/>
    <w:lvl w:ilvl="0" w:tentative="0">
      <w:start w:val="7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4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5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135602"/>
    <w:rsid w:val="00D70262"/>
    <w:rsid w:val="00EF3E2C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3F75BF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B92628B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C8494E"/>
    <w:rsid w:val="314B37FB"/>
    <w:rsid w:val="31B733F7"/>
    <w:rsid w:val="36B93F76"/>
    <w:rsid w:val="385D1A98"/>
    <w:rsid w:val="38F70388"/>
    <w:rsid w:val="3A4434B4"/>
    <w:rsid w:val="3B055E9C"/>
    <w:rsid w:val="3C9C5D34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A9969B6"/>
    <w:rsid w:val="6C540332"/>
    <w:rsid w:val="6D803EB3"/>
    <w:rsid w:val="6DBE3A60"/>
    <w:rsid w:val="6E754E41"/>
    <w:rsid w:val="6E8A04A9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95931BC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  <w:style w:type="paragraph" w:styleId="8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3560</Words>
  <Characters>3912</Characters>
  <Lines>29</Lines>
  <Paragraphs>8</Paragraphs>
  <TotalTime>2</TotalTime>
  <ScaleCrop>false</ScaleCrop>
  <LinksUpToDate>false</LinksUpToDate>
  <CharactersWithSpaces>3977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2023-04-26T09:19:49Z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