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紫阳县职业教育中心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pStyle w:val="2"/>
        <w:spacing w:before="76" w:line="328" w:lineRule="auto"/>
        <w:ind w:left="141" w:right="253" w:firstLine="640" w:firstLineChars="200"/>
        <w:rPr>
          <w:rFonts w:ascii="仿宋" w:hAnsi="仿宋" w:eastAsia="仿宋" w:cs="仿宋"/>
          <w:kern w:val="2"/>
          <w:lang w:val="en-US" w:bidi="ar-SA"/>
        </w:rPr>
      </w:pPr>
      <w:r>
        <w:rPr>
          <w:rFonts w:hint="eastAsia" w:ascii="仿宋" w:hAnsi="仿宋" w:eastAsia="仿宋" w:cs="仿宋"/>
          <w:kern w:val="2"/>
          <w:lang w:val="en-US" w:bidi="ar-SA"/>
        </w:rPr>
        <w:t>1.</w:t>
      </w:r>
      <w:r>
        <w:rPr>
          <w:rFonts w:ascii="仿宋" w:hAnsi="仿宋" w:eastAsia="仿宋" w:cs="仿宋"/>
          <w:kern w:val="2"/>
          <w:lang w:val="en-US" w:bidi="ar-SA"/>
        </w:rPr>
        <w:t>贯彻落实国家有关职业教育和成人教育的方针、政 策，拟定全县职业教育和成人教育发展规划并组织实施</w:t>
      </w:r>
      <w:r>
        <w:rPr>
          <w:rFonts w:hint="eastAsia" w:ascii="仿宋" w:hAnsi="仿宋" w:eastAsia="仿宋" w:cs="仿宋"/>
          <w:kern w:val="2"/>
          <w:lang w:val="en-US" w:bidi="ar-SA"/>
        </w:rPr>
        <w:t>。</w:t>
      </w:r>
    </w:p>
    <w:p>
      <w:pPr>
        <w:pStyle w:val="2"/>
        <w:spacing w:line="326" w:lineRule="auto"/>
        <w:ind w:left="141" w:right="253" w:firstLine="640" w:firstLineChars="200"/>
        <w:rPr>
          <w:rFonts w:ascii="仿宋" w:hAnsi="仿宋" w:eastAsia="仿宋" w:cs="仿宋"/>
          <w:kern w:val="2"/>
          <w:lang w:val="en-US" w:bidi="ar-SA"/>
        </w:rPr>
      </w:pPr>
      <w:r>
        <w:rPr>
          <w:rFonts w:ascii="仿宋" w:hAnsi="仿宋" w:eastAsia="仿宋" w:cs="仿宋"/>
          <w:kern w:val="2"/>
          <w:lang w:val="en-US" w:bidi="ar-SA"/>
        </w:rPr>
        <w:t>2</w:t>
      </w:r>
      <w:r>
        <w:rPr>
          <w:rFonts w:hint="eastAsia" w:ascii="仿宋" w:hAnsi="仿宋" w:eastAsia="仿宋" w:cs="仿宋"/>
          <w:kern w:val="2"/>
          <w:lang w:val="en-US" w:bidi="ar-SA"/>
        </w:rPr>
        <w:t>.</w:t>
      </w:r>
      <w:r>
        <w:rPr>
          <w:rFonts w:ascii="仿宋" w:hAnsi="仿宋" w:eastAsia="仿宋" w:cs="仿宋"/>
          <w:kern w:val="2"/>
          <w:lang w:val="en-US" w:bidi="ar-SA"/>
        </w:rPr>
        <w:t>承担职业高中学历教育，培养高中学历技术应用人 才，提高社会职业素质</w:t>
      </w:r>
      <w:r>
        <w:rPr>
          <w:rFonts w:hint="eastAsia" w:ascii="仿宋" w:hAnsi="仿宋" w:eastAsia="仿宋" w:cs="仿宋"/>
          <w:kern w:val="2"/>
          <w:lang w:val="en-US" w:bidi="ar-SA"/>
        </w:rPr>
        <w:t>。</w:t>
      </w:r>
    </w:p>
    <w:p>
      <w:pPr>
        <w:pStyle w:val="2"/>
        <w:spacing w:before="3"/>
        <w:ind w:left="142" w:firstLine="640" w:firstLineChars="200"/>
        <w:rPr>
          <w:rFonts w:ascii="仿宋" w:hAnsi="仿宋" w:eastAsia="仿宋" w:cs="仿宋"/>
          <w:kern w:val="2"/>
          <w:lang w:val="en-US" w:bidi="ar-SA"/>
        </w:rPr>
      </w:pPr>
      <w:r>
        <w:rPr>
          <w:rFonts w:ascii="仿宋" w:hAnsi="仿宋" w:eastAsia="仿宋" w:cs="仿宋"/>
          <w:kern w:val="2"/>
          <w:lang w:val="en-US" w:bidi="ar-SA"/>
        </w:rPr>
        <w:t>3</w:t>
      </w:r>
      <w:r>
        <w:rPr>
          <w:rFonts w:hint="eastAsia" w:ascii="仿宋" w:hAnsi="仿宋" w:eastAsia="仿宋" w:cs="仿宋"/>
          <w:kern w:val="2"/>
          <w:lang w:val="en-US" w:bidi="ar-SA"/>
        </w:rPr>
        <w:t>.</w:t>
      </w:r>
      <w:r>
        <w:rPr>
          <w:rFonts w:ascii="仿宋" w:hAnsi="仿宋" w:eastAsia="仿宋" w:cs="仿宋"/>
          <w:kern w:val="2"/>
          <w:lang w:val="en-US" w:bidi="ar-SA"/>
        </w:rPr>
        <w:t>承担全县职业教育的专业设置和日常教学工作</w:t>
      </w:r>
      <w:r>
        <w:rPr>
          <w:rFonts w:hint="eastAsia" w:ascii="仿宋" w:hAnsi="仿宋" w:eastAsia="仿宋" w:cs="仿宋"/>
          <w:kern w:val="2"/>
          <w:lang w:val="en-US" w:bidi="ar-SA"/>
        </w:rPr>
        <w:t>。</w:t>
      </w:r>
    </w:p>
    <w:p>
      <w:pPr>
        <w:pStyle w:val="2"/>
        <w:spacing w:before="149" w:line="326" w:lineRule="auto"/>
        <w:ind w:left="141" w:right="253" w:firstLine="640" w:firstLineChars="200"/>
        <w:rPr>
          <w:rFonts w:ascii="仿宋" w:hAnsi="仿宋" w:eastAsia="仿宋" w:cs="仿宋"/>
          <w:kern w:val="2"/>
          <w:lang w:val="en-US" w:bidi="ar-SA"/>
        </w:rPr>
      </w:pPr>
      <w:r>
        <w:rPr>
          <w:rFonts w:ascii="仿宋" w:hAnsi="仿宋" w:eastAsia="仿宋" w:cs="仿宋"/>
          <w:kern w:val="2"/>
          <w:lang w:val="en-US" w:bidi="ar-SA"/>
        </w:rPr>
        <w:t>4</w:t>
      </w:r>
      <w:r>
        <w:rPr>
          <w:rFonts w:hint="eastAsia" w:ascii="仿宋" w:hAnsi="仿宋" w:eastAsia="仿宋" w:cs="仿宋"/>
          <w:kern w:val="2"/>
          <w:lang w:val="en-US" w:bidi="ar-SA"/>
        </w:rPr>
        <w:t>.</w:t>
      </w:r>
      <w:r>
        <w:rPr>
          <w:rFonts w:ascii="仿宋" w:hAnsi="仿宋" w:eastAsia="仿宋" w:cs="仿宋"/>
          <w:kern w:val="2"/>
          <w:lang w:val="en-US" w:bidi="ar-SA"/>
        </w:rPr>
        <w:t>承担全县职业教育的招生协调和中职毕业生的就业 指导工作</w:t>
      </w:r>
      <w:r>
        <w:rPr>
          <w:rFonts w:hint="eastAsia" w:ascii="仿宋" w:hAnsi="仿宋" w:eastAsia="仿宋" w:cs="仿宋"/>
          <w:kern w:val="2"/>
          <w:lang w:val="en-US" w:bidi="ar-SA"/>
        </w:rPr>
        <w:t>。</w:t>
      </w:r>
    </w:p>
    <w:p>
      <w:pPr>
        <w:pStyle w:val="2"/>
        <w:spacing w:before="6" w:line="326" w:lineRule="auto"/>
        <w:ind w:left="141" w:right="253" w:firstLine="640" w:firstLineChars="200"/>
        <w:rPr>
          <w:rFonts w:ascii="仿宋" w:hAnsi="仿宋" w:eastAsia="仿宋" w:cs="仿宋"/>
          <w:kern w:val="2"/>
          <w:lang w:val="en-US" w:bidi="ar-SA"/>
        </w:rPr>
      </w:pPr>
      <w:r>
        <w:rPr>
          <w:rFonts w:ascii="仿宋" w:hAnsi="仿宋" w:eastAsia="仿宋" w:cs="仿宋"/>
          <w:kern w:val="2"/>
          <w:lang w:val="en-US" w:bidi="ar-SA"/>
        </w:rPr>
        <w:t>5</w:t>
      </w:r>
      <w:r>
        <w:rPr>
          <w:rFonts w:hint="eastAsia" w:ascii="仿宋" w:hAnsi="仿宋" w:eastAsia="仿宋" w:cs="仿宋"/>
          <w:kern w:val="2"/>
          <w:lang w:val="en-US" w:bidi="ar-SA"/>
        </w:rPr>
        <w:t>.</w:t>
      </w:r>
      <w:r>
        <w:rPr>
          <w:rFonts w:ascii="仿宋" w:hAnsi="仿宋" w:eastAsia="仿宋" w:cs="仿宋"/>
          <w:kern w:val="2"/>
          <w:lang w:val="en-US" w:bidi="ar-SA"/>
        </w:rPr>
        <w:t>承担全县的社会技能培训项目管理和实施，开展各 类技能培训工作</w:t>
      </w:r>
      <w:r>
        <w:rPr>
          <w:rFonts w:hint="eastAsia" w:ascii="仿宋" w:hAnsi="仿宋" w:eastAsia="仿宋" w:cs="仿宋"/>
          <w:kern w:val="2"/>
          <w:lang w:val="en-US" w:bidi="ar-SA"/>
        </w:rPr>
        <w:t>。</w:t>
      </w:r>
    </w:p>
    <w:p>
      <w:pPr>
        <w:pStyle w:val="2"/>
        <w:spacing w:before="6" w:line="326" w:lineRule="auto"/>
        <w:ind w:left="141" w:right="253" w:firstLine="640" w:firstLineChars="200"/>
        <w:rPr>
          <w:rFonts w:ascii="仿宋" w:hAnsi="仿宋" w:eastAsia="仿宋" w:cs="仿宋"/>
          <w:kern w:val="2"/>
          <w:lang w:val="en-US" w:bidi="ar-SA"/>
        </w:rPr>
      </w:pPr>
      <w:r>
        <w:rPr>
          <w:rFonts w:ascii="仿宋" w:hAnsi="仿宋" w:eastAsia="仿宋" w:cs="仿宋"/>
          <w:kern w:val="2"/>
          <w:lang w:val="en-US" w:bidi="ar-SA"/>
        </w:rPr>
        <w:t>6</w:t>
      </w:r>
      <w:r>
        <w:rPr>
          <w:rFonts w:hint="eastAsia" w:ascii="仿宋" w:hAnsi="仿宋" w:eastAsia="仿宋" w:cs="仿宋"/>
          <w:kern w:val="2"/>
          <w:lang w:val="en-US" w:bidi="ar-SA"/>
        </w:rPr>
        <w:t>.</w:t>
      </w:r>
      <w:r>
        <w:rPr>
          <w:rFonts w:ascii="仿宋" w:hAnsi="仿宋" w:eastAsia="仿宋" w:cs="仿宋"/>
          <w:kern w:val="2"/>
          <w:lang w:val="en-US" w:bidi="ar-SA"/>
        </w:rPr>
        <w:t>承担全县中职生的实习和实训工作</w:t>
      </w:r>
      <w:r>
        <w:rPr>
          <w:rFonts w:hint="eastAsia" w:ascii="仿宋" w:hAnsi="仿宋" w:eastAsia="仿宋" w:cs="仿宋"/>
          <w:kern w:val="2"/>
          <w:lang w:val="en-US" w:bidi="ar-SA"/>
        </w:rPr>
        <w:t>。</w:t>
      </w:r>
    </w:p>
    <w:p>
      <w:pPr>
        <w:pStyle w:val="2"/>
        <w:spacing w:before="152" w:line="326" w:lineRule="auto"/>
        <w:ind w:left="141" w:right="250" w:firstLine="640" w:firstLineChars="200"/>
        <w:jc w:val="both"/>
        <w:rPr>
          <w:rFonts w:ascii="仿宋" w:hAnsi="仿宋" w:eastAsia="仿宋" w:cs="仿宋"/>
          <w:kern w:val="2"/>
          <w:lang w:val="en-US" w:bidi="ar-SA"/>
        </w:rPr>
      </w:pPr>
      <w:r>
        <w:rPr>
          <w:rFonts w:ascii="仿宋" w:hAnsi="仿宋" w:eastAsia="仿宋" w:cs="仿宋"/>
          <w:kern w:val="2"/>
          <w:lang w:val="en-US" w:bidi="ar-SA"/>
        </w:rPr>
        <w:t>7</w:t>
      </w:r>
      <w:r>
        <w:rPr>
          <w:rFonts w:hint="eastAsia" w:ascii="仿宋" w:hAnsi="仿宋" w:eastAsia="仿宋" w:cs="仿宋"/>
          <w:kern w:val="2"/>
          <w:lang w:val="en-US" w:bidi="ar-SA"/>
        </w:rPr>
        <w:t>.</w:t>
      </w:r>
      <w:r>
        <w:rPr>
          <w:rFonts w:ascii="仿宋" w:hAnsi="仿宋" w:eastAsia="仿宋" w:cs="仿宋"/>
          <w:kern w:val="2"/>
          <w:lang w:val="en-US" w:bidi="ar-SA"/>
        </w:rPr>
        <w:t>承担指导镇村成人文化技术学校等培训机构开展新 型农民、进城务工人员、农村劳动力转移培训、新增劳动力培训工作</w:t>
      </w:r>
      <w:r>
        <w:rPr>
          <w:rFonts w:hint="eastAsia" w:ascii="仿宋" w:hAnsi="仿宋" w:eastAsia="仿宋" w:cs="仿宋"/>
          <w:kern w:val="2"/>
          <w:lang w:val="en-US" w:bidi="ar-SA"/>
        </w:rPr>
        <w:t>。</w:t>
      </w:r>
    </w:p>
    <w:p>
      <w:pPr>
        <w:pStyle w:val="2"/>
        <w:spacing w:before="7"/>
        <w:ind w:firstLine="800" w:firstLineChars="250"/>
        <w:jc w:val="both"/>
        <w:rPr>
          <w:rFonts w:ascii="仿宋" w:hAnsi="仿宋" w:eastAsia="仿宋" w:cs="仿宋"/>
          <w:kern w:val="2"/>
          <w:lang w:val="en-US" w:bidi="ar-SA"/>
        </w:rPr>
      </w:pPr>
      <w:r>
        <w:rPr>
          <w:rFonts w:ascii="仿宋" w:hAnsi="仿宋" w:eastAsia="仿宋" w:cs="仿宋"/>
          <w:kern w:val="2"/>
          <w:lang w:val="en-US" w:bidi="ar-SA"/>
        </w:rPr>
        <w:t>8</w:t>
      </w:r>
      <w:r>
        <w:rPr>
          <w:rFonts w:hint="eastAsia" w:ascii="仿宋" w:hAnsi="仿宋" w:eastAsia="仿宋" w:cs="仿宋"/>
          <w:kern w:val="2"/>
          <w:lang w:val="en-US" w:bidi="ar-SA"/>
        </w:rPr>
        <w:t>.</w:t>
      </w:r>
      <w:r>
        <w:rPr>
          <w:rFonts w:ascii="仿宋" w:hAnsi="仿宋" w:eastAsia="仿宋" w:cs="仿宋"/>
          <w:kern w:val="2"/>
          <w:lang w:val="en-US" w:bidi="ar-SA"/>
        </w:rPr>
        <w:t>承担全县职业教育教师的培养和培训工作</w:t>
      </w:r>
      <w:r>
        <w:rPr>
          <w:rFonts w:hint="eastAsia" w:ascii="仿宋" w:hAnsi="仿宋" w:eastAsia="仿宋" w:cs="仿宋"/>
          <w:kern w:val="2"/>
          <w:lang w:val="en-US" w:bidi="ar-SA"/>
        </w:rPr>
        <w:t>。</w:t>
      </w:r>
    </w:p>
    <w:p>
      <w:pPr>
        <w:spacing w:line="360" w:lineRule="auto"/>
        <w:ind w:firstLine="838" w:firstLineChars="2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</w:rPr>
        <w:t>.</w:t>
      </w:r>
      <w:r>
        <w:rPr>
          <w:rFonts w:ascii="仿宋" w:hAnsi="仿宋" w:eastAsia="仿宋" w:cs="仿宋"/>
          <w:sz w:val="32"/>
          <w:szCs w:val="32"/>
        </w:rPr>
        <w:t>完成县教育体育局交办的其他工作。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本单位现设有校务办公室、总务办公室、招生安置办、教务办、政教办、工会办、德育办公室。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产教融合助力产业振兴</w:t>
      </w:r>
    </w:p>
    <w:p>
      <w:pPr>
        <w:pStyle w:val="9"/>
        <w:spacing w:line="56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围绕县域经济，按照本县域产业体系的总体规划和基本要求。大力发展符合本地产业结构的专业，带动农村生产力，努力实现“六个一”目标：形成一个与产业发展相吻合的市级以上品牌专业，改革一批理论实践相结合的课程，培育一支专兼职融合的师资队伍，建设一个面向教学和培训的实训基地，稳定一项长期社会培训或科技服务的项目，组建或加入一个专业协会。通过这些具体措施明显提升教育教学质量。结合紫阳当地茶叶产业，大力发展学校茶叶生产与加工专业，争取设立茶艺与茶营销专业，使专业成群，服务于茶产业链。根据当地经济发展急需康养专业人才，引导和发展中医养生和保健专业，扩展该专业的招生，提升专业发展内涵。根据学校现有师资水平，在专业调整的同时，优化学校师资结构，从内培和外引两个方面提升专业师资数量与质量。针对当前师资结构不合理的现状，鼓励文化课教师向双师型发展，借助国培和省培项目，从本校培养专业师资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立德树人助力人才振兴</w:t>
      </w:r>
    </w:p>
    <w:p>
      <w:pPr>
        <w:pStyle w:val="9"/>
        <w:spacing w:line="560" w:lineRule="exact"/>
        <w:ind w:firstLine="572" w:firstLineChars="17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立足“立德树人”根本，围绕高素质技术技能型人才培养目标，培养地方需求、人民期待的“三质”人才。以社团等德育活动为载体，坚持五育并举，开展针对乡村学生特点的心理健康教育，培养学生自信阳光的气质；围绕社会主义核心价值观的培育，结合中华民族优秀传统文化，开展既受学生欢迎，又具有思想道德引领的各项活动，培养学生文明有礼的品质；以技能培养为核心，创新创业教育为内涵，着力打造职校生“工匠精神”的培育，多形式开展“工匠进校园”活动，培养学生创新创业的特质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校园文化助力文化振兴</w:t>
      </w:r>
    </w:p>
    <w:p>
      <w:pPr>
        <w:pStyle w:val="9"/>
        <w:spacing w:line="56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提升校园精神文化建设，围绕弘扬和践行社会主义核心价值观，充分利用本单位政策理论优势，帮助村开展理论教育、政治教育、革命传统教育和形势政策教育，深入开展“四史”教育，号召广大群众听党话、感党恩、跟党走。围绕学校“三风一训”、师德师风建设、教育教学制度建设等，完善学校各项管理制度，修改和完善学校章程、教代会制度、绩效分配制度、党政工团联席会议制度、各条线例会制度、学生常规管理制度、校园德育管理制度等。使学校制度文化建设水平明显提升。通过制度规范学校教育教学行为，通过活动提升教育教学内涵建设，逐步形成学校行为文化。以学校扩建项目为契机，优化和调整学校的内部环境文化，改善学校各功能室布局，根据学校地形布置学校的文化育人的小景，使校园环境文化彰显职教特色、专业特点、地方特征。 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达标验收助力管理振兴</w:t>
      </w:r>
    </w:p>
    <w:p>
      <w:pPr>
        <w:pStyle w:val="9"/>
        <w:widowControl/>
        <w:spacing w:line="560" w:lineRule="exact"/>
        <w:ind w:firstLine="566" w:firstLineChars="177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一是以国家帮扶政策和地方政府项目建设为契机，以项目化建设引领学校信息化建设，积极争取主管部门的资金支持，逐步实现校园信息化。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二是对照标准，在现有条件下进一步规范各项软件资料，加强校园文化建设和环境建设，完成校园“绿化、美化、亮化、净化”工作，顺利通过“双达标”验收。三是加快推进职教中心扩建工作。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学校治理助力组织振兴</w:t>
      </w:r>
    </w:p>
    <w:p>
      <w:pPr>
        <w:pStyle w:val="9"/>
        <w:spacing w:line="56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围绕完善新机制，强化基层组织建设。落实党组织领导的校长负责制，落实“三重一大”政策，党政工团联席制度。通过学校制度建设，创建新型和谐的学校管理体系。紧紧抓住班子建设这个关键，着力夯实队伍建设这个基础，全面落实党员承诺制、无职党员设岗定责。通过激励政策的调整、专业设置的优化、师资队伍的优化、德育管理的提升，各项保障措施的到位，全面加强规范管理、全面提升教学质量、全面强化内涵建设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left="360" w:leftChars="15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678680" cy="28194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533" cy="281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截止2022年底，本单位人员编制55人，其中行政编制0人、事业编制55人；实有人员51人，其中行政0人、事业51人。单位管理的离退休人员14人。</w:t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610.4032万元，其中一般公共预算拨款收入610.4032万元、政府性基金拨款收入0万元，2023年本单位预算收入较上年增加8.917万元，主要原因是人员工资调整；2023年本单位预算支出610.4032万元，其中一般公共预算拨款支出610.4032万元、政府性基金拨款支出0万元，2023年本单位预算支出较上年增加8.917万元，主要原因是人员工资调整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文字说明，单位财政拨款收支与上年对比的增减变化情况及变化原因，收入和支出应分别进行说明。单位财政拨款收支涉及财政拨款结转资金的，收支总额中应包括财政拨款结转资金金额。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610.4032万元，其中一般公共预算拨款收入610.4032万元、政府性基金拨款收入0万元，2023年本单位财政拨款收入较上年增加8.917万元，主要原因是人员工资调整；2023年本单位财政拨款支出610.4032万元，其中一般公共预算拨款支出610.4032万元、政府性基金拨款支出0万元，2023年本单位财政拨款支出较上年增加8.917万元，主要原因是人员工资调整。</w:t>
      </w:r>
    </w:p>
    <w:p>
      <w:pPr>
        <w:spacing w:line="36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2023年本单位当年一般公共预算拨款支出610.4032万元，较上年增加8.917万元，主要原因是人员工资调整。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本单位2023年当年一般公共预算支出610.4032万元，其中：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（1）职业高中教育（2050302）455.58万元，较上年减少1.34万元，原因是人员退休；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（2）机关事业单位基本养老保险缴费（2080505）支出69.1896万元，较上年增加6.9176万元，人员工资调整；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（3）事业单位医疗（2101102）33.894万元，较上年增加3.5643万元，原因是人员工资调整；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（4）住房公积金支出（2210201）51.7356万元，较上年减少0.28万元，原因是人员退休。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</w:t>
      </w:r>
      <w:r>
        <w:rPr>
          <w:rFonts w:ascii="仿宋" w:hAnsi="仿宋" w:eastAsia="仿宋" w:cs="仿宋"/>
          <w:sz w:val="32"/>
          <w:szCs w:val="32"/>
        </w:rPr>
        <w:t>610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4032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ascii="仿宋" w:hAnsi="仿宋" w:eastAsia="仿宋" w:cs="仿宋"/>
          <w:sz w:val="32"/>
          <w:szCs w:val="32"/>
        </w:rPr>
        <w:t>608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3702</w:t>
      </w:r>
      <w:r>
        <w:rPr>
          <w:rFonts w:hint="eastAsia" w:ascii="仿宋" w:hAnsi="仿宋" w:eastAsia="仿宋" w:cs="仿宋"/>
          <w:sz w:val="32"/>
          <w:szCs w:val="32"/>
        </w:rPr>
        <w:t>万元，较上年增加8.824万元，原因是当年工资调整。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0330</w:t>
      </w:r>
      <w:r>
        <w:rPr>
          <w:rFonts w:hint="eastAsia" w:ascii="仿宋" w:hAnsi="仿宋" w:eastAsia="仿宋" w:cs="仿宋"/>
          <w:sz w:val="32"/>
          <w:szCs w:val="32"/>
        </w:rPr>
        <w:t>万元，较上年增加0.093万元，原因是人员退休。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2023年本单位当年一般公共预算支出610.4032万元，其中：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</w:t>
      </w:r>
      <w:r>
        <w:rPr>
          <w:rFonts w:ascii="仿宋" w:hAnsi="仿宋" w:eastAsia="仿宋" w:cs="仿宋"/>
          <w:sz w:val="32"/>
          <w:szCs w:val="32"/>
        </w:rPr>
        <w:t>608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3702</w:t>
      </w:r>
      <w:r>
        <w:rPr>
          <w:rFonts w:hint="eastAsia" w:ascii="仿宋" w:hAnsi="仿宋" w:eastAsia="仿宋" w:cs="仿宋"/>
          <w:sz w:val="32"/>
          <w:szCs w:val="32"/>
        </w:rPr>
        <w:t>万元，较上年增加8.824万元，原因是当年工资调整。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对个人和家庭补助支出（509）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0330</w:t>
      </w:r>
      <w:r>
        <w:rPr>
          <w:rFonts w:hint="eastAsia" w:ascii="仿宋" w:hAnsi="仿宋" w:eastAsia="仿宋" w:cs="仿宋"/>
          <w:sz w:val="32"/>
          <w:szCs w:val="32"/>
        </w:rPr>
        <w:t>万元，较上年增加0.093万元，原因是人员退休。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万元，较上年持平；其中：因公出国（境）经费0万元，较上年持平；公务接待费0万元，较上年持平；公务用车运行费0万元，较上年持平；公务用车购置费0万元，较上年持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（2）2023年本单位当年会议费预算支出0万元，较上年持平。培训费0万元，较上年持平。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截止2022年底，本单位所属预算单位共有车辆0辆，单价20万元以上的设备1台（套）。2023年当年单位预算安排购置车辆0辆；安排购置单价20万元以上的设备0台（套）。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9"/>
        <w:numPr>
          <w:ilvl w:val="0"/>
          <w:numId w:val="6"/>
        </w:numPr>
        <w:spacing w:line="360" w:lineRule="auto"/>
        <w:ind w:left="1680" w:leftChars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pStyle w:val="9"/>
        <w:spacing w:line="360" w:lineRule="auto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pStyle w:val="9"/>
        <w:spacing w:line="360" w:lineRule="auto"/>
        <w:ind w:left="2"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2023年本单位绩效目标管理全覆盖，涉及当年一般公共预算拨款610.4032万元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2023年，本单位专项资金未纳入单位预算，并已公开空表。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本单位无机关运行经费。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</w:rPr>
        <w:t>“三公”经费</w:t>
      </w:r>
      <w:r>
        <w:rPr>
          <w:rFonts w:hint="eastAsia" w:ascii="仿宋" w:hAnsi="仿宋" w:eastAsia="仿宋"/>
          <w:sz w:val="32"/>
          <w:lang w:eastAsia="zh-CN"/>
        </w:rPr>
        <w:t>：</w:t>
      </w:r>
      <w:r>
        <w:rPr>
          <w:rFonts w:hint="eastAsia" w:ascii="仿宋" w:hAnsi="仿宋" w:eastAsia="仿宋"/>
          <w:sz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13E73B19"/>
    <w:multiLevelType w:val="multilevel"/>
    <w:tmpl w:val="13E73B19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044419"/>
    <w:rsid w:val="00094372"/>
    <w:rsid w:val="0020702E"/>
    <w:rsid w:val="004D327E"/>
    <w:rsid w:val="00533F76"/>
    <w:rsid w:val="00554B46"/>
    <w:rsid w:val="005F55EE"/>
    <w:rsid w:val="00760F24"/>
    <w:rsid w:val="00BD5028"/>
    <w:rsid w:val="00C216BF"/>
    <w:rsid w:val="00CA31EF"/>
    <w:rsid w:val="00CE6C3A"/>
    <w:rsid w:val="00D70262"/>
    <w:rsid w:val="00E51F64"/>
    <w:rsid w:val="00E65A3C"/>
    <w:rsid w:val="00E91F33"/>
    <w:rsid w:val="00ED694F"/>
    <w:rsid w:val="00EE21B9"/>
    <w:rsid w:val="00FD5CBA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C1C774F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spacing w:line="240" w:lineRule="auto"/>
      <w:ind w:firstLine="0" w:firstLineChars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0"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uiPriority w:val="1"/>
    <w:rPr>
      <w:rFonts w:ascii="宋体" w:hAnsi="宋体" w:cs="宋体"/>
      <w:sz w:val="32"/>
      <w:szCs w:val="32"/>
      <w:lang w:val="zh-CN" w:bidi="zh-CN"/>
    </w:rPr>
  </w:style>
  <w:style w:type="paragraph" w:styleId="9">
    <w:name w:val="List Paragraph"/>
    <w:basedOn w:val="1"/>
    <w:unhideWhenUsed/>
    <w:uiPriority w:val="99"/>
    <w:pPr>
      <w:ind w:firstLine="420"/>
    </w:pPr>
  </w:style>
  <w:style w:type="character" w:customStyle="1" w:styleId="10">
    <w:name w:val="批注框文本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3991</Words>
  <Characters>4332</Characters>
  <Lines>31</Lines>
  <Paragraphs>8</Paragraphs>
  <TotalTime>1520</TotalTime>
  <ScaleCrop>false</ScaleCrop>
  <LinksUpToDate>false</LinksUpToDate>
  <CharactersWithSpaces>4372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2023-04-26T09:14:38Z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