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紫阳县麻柳镇中心学校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1.贯彻执行党和国家有关教育体育和科技工作的方针、政策、法律和法规；负责全镇教育体育管理工作。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2.负责全镇教育系统党的建设，负责和指导全镇教体系统的思想政治、宣传教育、精神文明建设和行风建设工作。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3.指导和管理全镇义务教育、学前教育工作，制定基础教育发展规划、管理办法及教育教学基本要求和基本文件，规范办学行为。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4.组织实施学生德育工作，保障中小学生健康成长；实施学校体育教育、健康教育、国防教育、科技教育、艺术教育、安全法制教育、语言文字等工作。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全镇的教育科研工作、教育教学改革和质量监测评估工作，发展素质教育；负责全镇的教育信息化工作，指导全镇实验教学、教学仪器装备及图书配备工作；管理和指导全镇教育事业的镇内外交流与合作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6.负责全镇师资队伍建设工作；负责全镇教师调动交流；负责全镇教育人才队伍建设和人事管理工作。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7.编制教育体育经费的年度预算方案，监督管理学校及培正幼儿园经费，负责学校校舍建设及教育体育设施的装备管理； 负责全镇教育体育经费的落实、支付工作；负责规划并管理教体科技系统统计信息的分析、发布工作。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8.负责全镇各类学校的考试和招生工作；负责指导全镇各级各类学校学籍管理和毕业证发放工作。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9.负责和指导全镇教育结构的布局调整，研究提出全镇中小学校、幼儿园的设置，统一管理全镇社会力量办学工作。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10.负责学校校园安全稳定工作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协调相关单位做好学校突发事件的应急处置工作；组织实施全镇义务教育阶段学生营养改善计划工作。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11.负责全镇中小学、幼儿园学生资助和大学生生源地信用助学贷款的管理和回收工作。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12.指导体育训练、体育竞赛工作。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13.负责全镇教育督导、基础教育质量监测与评估工作。负责对镇域内各级各类学校、幼儿园贯彻教育方针、依法办学、规范办学情况进行督导检查。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15.完成教育体育和科技局、镇党委、镇政府交办的其他任务。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校办室、教务处、总务处、德育处、团委、少队部、工会、贫困学生资助中心。另有紫阳县麻柳镇九年制学校、紫阳县麻柳镇中心学校赵溪教学点、紫阳麻柳镇中心学校紫黄教学点、紫阳县麻柳镇中心幼儿园、紫阳县麻柳镇书院小学、紫阳县麻柳镇中心学校青岩教学点、紫阳县麻柳镇培正幼儿园，共 7 个镇属教育单位。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（一）抓党建建设，促进学校工作全面发展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认真贯彻落实新时代党的教育方针，坚决执行上级党组织的各项指示和决议，加强党支部建设和党员教育，更加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紧密地把党</w:t>
      </w:r>
      <w:r>
        <w:rPr>
          <w:rFonts w:hint="eastAsia" w:ascii="仿宋" w:hAnsi="仿宋" w:eastAsia="仿宋" w:cs="仿宋"/>
          <w:sz w:val="32"/>
          <w:szCs w:val="32"/>
        </w:rPr>
        <w:t>建工作和学校工作结合起来，为麻柳教育的健康发展提供坚强的政治保障，促进学校工作的全面发展。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（二）抓教学管理，促进教育质量稳步提升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认真落实“双减”和“五项管理”，力争做到：提高作业质量水平、提高课堂教学水平、提高课后服务水平。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扎实抓好教学常规，修订备、讲、批、辅、考研评等常规管理制度，学校按月开展常规工作检查，将检查结果进行通报并和考核挂钩，确保常规工作落到实处。中心学校每学期组织一次常规督导检查，实地查看学校常规工作情况，就教学常规管理给予综合评价，促进学校规范进行常规管理。要求每名教师每学期至少在校内讲 2 节公开课，并开展观课议课活动，在议课过程中，必须突出课改评价重点：学生全员 参与，以活动贯穿整个课堂，运用技术得当，目标达成效果良好。持续开展校际交流学习，每学期至少组织一次校际交流学习，通过向毛坝、蒿坪、高滩等兄弟学校学习交流，开阔教师的视野，促进教学水平的提升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扎实抓好教师队伍的思想政治教育，让广大教师牢记教育使命，坚守教育初心，坚定理想信念，在麻柳安心教书、潜心育人。认真抓好教师培训，始终把教师培训工作当作一件大事来抓，在抓教师业务学习，校本培训，继续教育上投入更大的精力和财力，充分利用信息技术提升 2.0 工程，提升教师的专业素养。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（三）抓安全管理，促进校园大局平安稳定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坚持校园安全稳定为中心，始终坚持把安全工作放在学校工作的首位，扎实抓好校园常规安全、疫情防控、心理健康教育、校园周边环境治理，确保麻柳教育的安全稳定。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（四）抓创建工作，促进学校规范健康发展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做好义务教育优质均衡发展和学前教育普及普惠创建工作，规范办学行为，对标对表，补齐短板，促进学校规范有序办学。积极做好文明校园、平安校园、园林学校的创建工作，扎实做好乡村学校少年宫的建设工作，不断促进学校办学水平的提高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（五）抓作风建设，促进干事创业好氛围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要求校长、园长以身作则，干好本职工作，要能稳得住大局、把得住方向，时刻关注和督查指导学校工作，重点工作要亲自把关、亲自过问、亲自参与。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要求学校班子成员要加强团结协作，以学校发展为大局， 善于学习，提高干事创业的本领，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既</w:t>
      </w:r>
      <w:r>
        <w:rPr>
          <w:rFonts w:hint="eastAsia" w:ascii="仿宋" w:hAnsi="仿宋" w:eastAsia="仿宋" w:cs="仿宋"/>
          <w:sz w:val="32"/>
          <w:szCs w:val="32"/>
        </w:rPr>
        <w:t>当教育管理的行家，又当教育教学的能手。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要求全体教师加强自身建设，热心负责为学生做好服务工作，做到勤学、勤动、勤看、勤记、勤思，坚决不越违法犯罪红线，牢牢守住师德师风底线，争做新时代的四有好老师。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（六）抓后勤保障，促进学校持续有序运行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加强学校财务管理，厉行勤俭节约，管好用好学校每一笔公用经费，保障学校正常有序运转。持续做好营养餐的保障工作。积极争取资金，更换已经淘汰的电子白板和信息化设备， 力保教学正常运行。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截止2022年底，本单位人员编制95人，其中事业编制95人；实有人员102人（含特岗教师18人），事业84人。单位管理的离退休人员28人。</w:t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</w:t>
      </w:r>
      <w:r>
        <w:drawing>
          <wp:inline distT="0" distB="0" distL="114300" distR="114300">
            <wp:extent cx="5210175" cy="2466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管理。2023年本单位预算收入1254.73万元，其中一般公共预算拨款收入1254.73万元、政府性基金拨款收入0万元，2023年本单位预算收入较上年减少22.88万元，主要原因是财政供养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减少；2023年本单位预算支出1254.73万元，其中一般公共预算拨款支出1254.73万元、政府性基金拨款支出0万元，2023年本单位预算支出较上年减少22.88万元，主要原因是财政供养人员减少。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2023年本单位财政拨款收入1254.73万元，其中一般公共预算拨款收入1254.73万元、政府性基金拨款收入0万元，2023年本单位财政拨款收入较上年减少22.88万元，主要原因是财政供养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减少；2023年本单位预算支出1254.73万元，其中一般公共预算拨款支出1254.73万元、政府性基金拨款支出0万元，2023年本单位预算支出较上年减少22.88万元，主要原因是财政供养人员减少。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当年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2023年本单位当年一般公共预算拨款支出1254.73万元，较上年减少22.88万元，主要原因是财政供养人员人员减少。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本单位2023年当年一般公共预算支出1254.73万元，其中：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（1）小学教育（2050502）951.26万元，较上年减少40.47万元，原因是人员变动；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（2））机关事业单位基本养老保险缴费支出（2080505）135.39，较上年增加13.16万元，原因是缴费基数增加；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（3））行政单位医疗（2101101）66.44万元，较上年增加6.67万元，原因是缴费基数增加；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（4）住房公积金（2080505）101.64万元，较上年减少2.24万元，原因是财政供养人员减少；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2023年本单位当年一般公共预算支出1254.73万元，其中：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工资福利支出（301）1246.65万元，较上年增减少20.96万元，原因是财政供养人员减少；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对个人和家庭的补助支出（303）8.08万元，较上年减少1.92万元，原因是财政供养人员减少；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2023年本单位当年一般公共预算支出1254.73万元，其中：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对事业单位经常性补助（505）1246.65万元，较上年减少20.96万元，原因是财政供养人员减少；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对个人和家庭的补助支出（509）8.08万元，较上年减少1.92万元，原因是财政供养人员减少；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1.2022 年本单位当年一般公共预算“三公”经费预算支出 0万元，较上年减少 0 万元（0%），较上年持平。其中：因公出国（境）经费 0 万元，较上年持平；公务接待费 0 万元，较上年减少 0 万元（0%），较上年持平；公务用车运行费 0 万元，较上年持平；公务用车购置费 0 万元，较上年持平。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2.2022 年本单位当年会议费预算支出 0 万元，较上年减少 0万元（0%），较上年持平。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本单位无 2021 年结转的财政拨款‘三公’经费和会议费、培训费支出。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 2021 年底，本单位所属预算单位共有车辆 0 辆，单价20 万元以上的设备 0 台（套）。2022 年当年单位预算安排购置车辆 0 辆；安排购置单价 20 万元以上的设备 0 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 2021 年结转的财政拨款支出资产购置</w:t>
      </w:r>
    </w:p>
    <w:p>
      <w:pPr>
        <w:pStyle w:val="8"/>
        <w:numPr>
          <w:ilvl w:val="0"/>
          <w:numId w:val="5"/>
        </w:numPr>
        <w:spacing w:line="360" w:lineRule="auto"/>
        <w:ind w:left="1440" w:leftChars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 2022 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 2021 年结转的政府采购资金支出。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2023年本单位绩效目标管理全覆盖，涉及当年一般公共预算拨款1254.73万元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 0 万元，较上年增加（减少）0 万元，主要原因是本单位无机关运行经费预算。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2“三公”经费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指用财政拨款安排的因公出国（境）费、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紫阳县麻柳镇中心学校</w:t>
      </w:r>
    </w:p>
    <w:p>
      <w:pPr>
        <w:spacing w:line="360" w:lineRule="auto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2023年3月21日</w:t>
      </w:r>
    </w:p>
    <w:p>
      <w:pPr>
        <w:spacing w:line="360" w:lineRule="auto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3F990252"/>
    <w:multiLevelType w:val="multilevel"/>
    <w:tmpl w:val="3F990252"/>
    <w:lvl w:ilvl="0" w:tentative="0">
      <w:start w:val="7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5405EB"/>
    <w:rsid w:val="005551FF"/>
    <w:rsid w:val="00C50C2D"/>
    <w:rsid w:val="00D70262"/>
    <w:rsid w:val="015E0EAB"/>
    <w:rsid w:val="018F2D13"/>
    <w:rsid w:val="0235060A"/>
    <w:rsid w:val="02953D9A"/>
    <w:rsid w:val="02DC28CB"/>
    <w:rsid w:val="03791D26"/>
    <w:rsid w:val="04456DF0"/>
    <w:rsid w:val="0466605A"/>
    <w:rsid w:val="04C84AF8"/>
    <w:rsid w:val="04F35073"/>
    <w:rsid w:val="061D2748"/>
    <w:rsid w:val="06D7231D"/>
    <w:rsid w:val="075D6C6A"/>
    <w:rsid w:val="0773304F"/>
    <w:rsid w:val="07C20F21"/>
    <w:rsid w:val="089D1D43"/>
    <w:rsid w:val="0A3720CB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3F35552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AF37BE5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E80503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8E750E7"/>
    <w:rsid w:val="2A3E38E1"/>
    <w:rsid w:val="2BF2458F"/>
    <w:rsid w:val="2F3B562F"/>
    <w:rsid w:val="2FC8494E"/>
    <w:rsid w:val="314B37FB"/>
    <w:rsid w:val="31B733F7"/>
    <w:rsid w:val="375E0DAB"/>
    <w:rsid w:val="385D1A98"/>
    <w:rsid w:val="38F70388"/>
    <w:rsid w:val="3A4434B4"/>
    <w:rsid w:val="3B055E9C"/>
    <w:rsid w:val="3D28036F"/>
    <w:rsid w:val="3D8407DF"/>
    <w:rsid w:val="3DFF32ED"/>
    <w:rsid w:val="3F503091"/>
    <w:rsid w:val="3F661F46"/>
    <w:rsid w:val="4002698C"/>
    <w:rsid w:val="4008265B"/>
    <w:rsid w:val="41851E44"/>
    <w:rsid w:val="420B5D06"/>
    <w:rsid w:val="4248700C"/>
    <w:rsid w:val="437D62C0"/>
    <w:rsid w:val="44110F59"/>
    <w:rsid w:val="45BA116F"/>
    <w:rsid w:val="465670F7"/>
    <w:rsid w:val="471D22FA"/>
    <w:rsid w:val="472B48D8"/>
    <w:rsid w:val="4741375D"/>
    <w:rsid w:val="47C702DF"/>
    <w:rsid w:val="48422B9F"/>
    <w:rsid w:val="488947B6"/>
    <w:rsid w:val="4A4119C2"/>
    <w:rsid w:val="4D8E7AB1"/>
    <w:rsid w:val="4F7C4E9D"/>
    <w:rsid w:val="4FB64197"/>
    <w:rsid w:val="50572E30"/>
    <w:rsid w:val="514D1A31"/>
    <w:rsid w:val="51AA26CF"/>
    <w:rsid w:val="51AA5E26"/>
    <w:rsid w:val="52324C02"/>
    <w:rsid w:val="52C93A96"/>
    <w:rsid w:val="531A3416"/>
    <w:rsid w:val="538C5F53"/>
    <w:rsid w:val="54474AB6"/>
    <w:rsid w:val="54E20F64"/>
    <w:rsid w:val="5582405A"/>
    <w:rsid w:val="55E6205E"/>
    <w:rsid w:val="56051C6B"/>
    <w:rsid w:val="563F4648"/>
    <w:rsid w:val="57C07DEE"/>
    <w:rsid w:val="5866766D"/>
    <w:rsid w:val="58BA221B"/>
    <w:rsid w:val="58FE3115"/>
    <w:rsid w:val="592D7B67"/>
    <w:rsid w:val="59D947AF"/>
    <w:rsid w:val="59F96CB8"/>
    <w:rsid w:val="5BD23E00"/>
    <w:rsid w:val="5BF47018"/>
    <w:rsid w:val="5C653576"/>
    <w:rsid w:val="5CE67AC0"/>
    <w:rsid w:val="5E5C14C1"/>
    <w:rsid w:val="5F635E4B"/>
    <w:rsid w:val="60404B5F"/>
    <w:rsid w:val="60772627"/>
    <w:rsid w:val="61024673"/>
    <w:rsid w:val="6134696F"/>
    <w:rsid w:val="61EE3D1B"/>
    <w:rsid w:val="62460F4D"/>
    <w:rsid w:val="629E0CBC"/>
    <w:rsid w:val="62A365B5"/>
    <w:rsid w:val="64DD2A65"/>
    <w:rsid w:val="65B7439B"/>
    <w:rsid w:val="66607F61"/>
    <w:rsid w:val="67606C1C"/>
    <w:rsid w:val="676942F4"/>
    <w:rsid w:val="684658D2"/>
    <w:rsid w:val="68EA113C"/>
    <w:rsid w:val="699E67D8"/>
    <w:rsid w:val="69B23FEC"/>
    <w:rsid w:val="69E141D5"/>
    <w:rsid w:val="69F87A79"/>
    <w:rsid w:val="6C540332"/>
    <w:rsid w:val="6CE02D1E"/>
    <w:rsid w:val="6DBE3A60"/>
    <w:rsid w:val="6E8A04A9"/>
    <w:rsid w:val="6F3075D5"/>
    <w:rsid w:val="6F5403ED"/>
    <w:rsid w:val="6FC0376A"/>
    <w:rsid w:val="71A236EE"/>
    <w:rsid w:val="72435ED2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4437</Words>
  <Characters>4773</Characters>
  <Lines>35</Lines>
  <Paragraphs>9</Paragraphs>
  <TotalTime>17</TotalTime>
  <ScaleCrop>false</ScaleCrop>
  <LinksUpToDate>false</LinksUpToDate>
  <CharactersWithSpaces>4857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2023-03-21T07:01:00Z</cp:lastPrinted>
  <dcterms:modified xsi:type="dcterms:W3CDTF">2023-04-26T03:10:28Z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