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紫阳县公共资产经办中心</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1、主要职责是：</w:t>
      </w:r>
      <w:r>
        <w:rPr>
          <w:rFonts w:hint="eastAsia" w:ascii="仿宋" w:hAnsi="仿宋" w:eastAsia="仿宋" w:cs="仿宋"/>
          <w:sz w:val="32"/>
          <w:szCs w:val="32"/>
        </w:rPr>
        <w:br w:type="textWrapping"/>
      </w:r>
      <w:r>
        <w:rPr>
          <w:rFonts w:hint="eastAsia" w:ascii="仿宋" w:hAnsi="仿宋" w:eastAsia="仿宋" w:cs="仿宋"/>
          <w:sz w:val="32"/>
          <w:szCs w:val="32"/>
        </w:rPr>
        <w:t xml:space="preserve">    （一）贯彻国家有关行政事业单位公共资产管理的法规、政策</w:t>
      </w:r>
      <w:r>
        <w:rPr>
          <w:rFonts w:hint="eastAsia" w:ascii="仿宋" w:hAnsi="仿宋" w:eastAsia="仿宋" w:cs="仿宋"/>
          <w:sz w:val="32"/>
          <w:szCs w:val="32"/>
          <w:lang w:eastAsia="zh-CN"/>
        </w:rPr>
        <w:t>，</w:t>
      </w:r>
      <w:r>
        <w:rPr>
          <w:rFonts w:hint="eastAsia" w:ascii="仿宋" w:hAnsi="仿宋" w:eastAsia="仿宋" w:cs="仿宋"/>
          <w:sz w:val="32"/>
          <w:szCs w:val="32"/>
        </w:rPr>
        <w:t>承担全县行政事业单位清产核资、产权保管、资产配置、产权信息化建设等工作。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（二）负责全县行政事业单位公共资产的会计基础管理、清查统计、账务汇总、审核、上报及日常监管工作。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（三）配合做好全县行政事业单位公共资产购建预算的编制和执行。</w:t>
      </w:r>
      <w:r>
        <w:rPr>
          <w:rFonts w:hint="eastAsia" w:ascii="仿宋" w:hAnsi="仿宋" w:eastAsia="仿宋" w:cs="仿宋"/>
          <w:sz w:val="32"/>
          <w:szCs w:val="32"/>
        </w:rPr>
        <w:br w:type="textWrapping"/>
      </w:r>
      <w:r>
        <w:rPr>
          <w:rFonts w:hint="eastAsia" w:ascii="仿宋" w:hAnsi="仿宋" w:eastAsia="仿宋" w:cs="仿宋"/>
          <w:sz w:val="32"/>
          <w:szCs w:val="32"/>
        </w:rPr>
        <w:t xml:space="preserve">    （四）负责全县行政事业单位公共资产的产权界定、调处产权纠纷以及公共资产的处置报废、报损、调剂等日常审核工作。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（五）负责全县公共资产的处置、拍卖、出租、转让、开发等运营工作。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（六）负责编制全县公共资产整合利用规划、计划，承担公共资产的整合、调剂工作。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（七）配合做好资源性资产监督管理工作。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（八）承担行政事业性公共资产报告起草工作。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（九）参与制定和完善企业改革方案</w:t>
      </w:r>
      <w:r>
        <w:rPr>
          <w:rFonts w:hint="eastAsia" w:ascii="仿宋" w:hAnsi="仿宋" w:eastAsia="仿宋" w:cs="仿宋"/>
          <w:sz w:val="32"/>
          <w:szCs w:val="32"/>
          <w:lang w:eastAsia="zh-CN"/>
        </w:rPr>
        <w:t>，</w:t>
      </w:r>
      <w:r>
        <w:rPr>
          <w:rFonts w:hint="eastAsia" w:ascii="仿宋" w:hAnsi="仿宋" w:eastAsia="仿宋" w:cs="仿宋"/>
          <w:sz w:val="32"/>
          <w:szCs w:val="32"/>
        </w:rPr>
        <w:t>指导和协调国有、国有控股企业的合并、承包、分立、租赁、股份制改造中的资产监管工作。</w:t>
      </w:r>
      <w:r>
        <w:rPr>
          <w:rFonts w:hint="eastAsia" w:ascii="仿宋" w:hAnsi="仿宋" w:eastAsia="仿宋" w:cs="仿宋"/>
          <w:sz w:val="32"/>
          <w:szCs w:val="32"/>
        </w:rPr>
        <w:br w:type="textWrapping"/>
      </w:r>
      <w:r>
        <w:rPr>
          <w:rFonts w:hint="eastAsia" w:ascii="仿宋" w:hAnsi="仿宋" w:eastAsia="仿宋" w:cs="仿宋"/>
          <w:sz w:val="32"/>
          <w:szCs w:val="32"/>
        </w:rPr>
        <w:t xml:space="preserve">    （十）承办县财政局交办的其他工作。</w:t>
      </w:r>
      <w:r>
        <w:rPr>
          <w:rFonts w:hint="eastAsia" w:ascii="仿宋" w:hAnsi="仿宋" w:eastAsia="仿宋" w:cs="仿宋"/>
          <w:sz w:val="32"/>
          <w:szCs w:val="32"/>
        </w:rPr>
        <w:br w:type="textWrapping"/>
      </w:r>
      <w:r>
        <w:rPr>
          <w:rFonts w:hint="eastAsia" w:ascii="仿宋" w:hAnsi="仿宋" w:eastAsia="仿宋" w:cs="仿宋"/>
          <w:sz w:val="32"/>
          <w:szCs w:val="32"/>
        </w:rPr>
        <w:t xml:space="preserve">    2、机构设置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本单位内设综合股和资产管理股。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widowControl/>
        <w:snapToGrid w:val="0"/>
        <w:spacing w:line="600" w:lineRule="exact"/>
        <w:ind w:firstLine="643"/>
        <w:rPr>
          <w:rFonts w:ascii="仿宋_GB2312" w:hAnsi="仿宋" w:eastAsia="仿宋_GB2312" w:cs="仿宋"/>
          <w:sz w:val="32"/>
          <w:szCs w:val="32"/>
        </w:rPr>
      </w:pPr>
      <w:r>
        <w:rPr>
          <w:rFonts w:hint="eastAsia" w:ascii="仿宋_GB2312" w:hAnsi="楷体" w:eastAsia="仿宋_GB2312" w:cs="楷体"/>
          <w:b/>
          <w:bCs/>
          <w:sz w:val="32"/>
          <w:szCs w:val="32"/>
        </w:rPr>
        <w:t>1、夯实资产管理主体责任。</w:t>
      </w:r>
      <w:r>
        <w:rPr>
          <w:rFonts w:hint="eastAsia" w:ascii="仿宋_GB2312" w:hAnsi="仿宋" w:eastAsia="仿宋_GB2312" w:cs="仿宋"/>
          <w:sz w:val="32"/>
          <w:szCs w:val="32"/>
        </w:rPr>
        <w:t>进一步提高各单位（单位）切实加强国有资产管理的思想认识，</w:t>
      </w:r>
      <w:r>
        <w:rPr>
          <w:rFonts w:hint="eastAsia" w:ascii="仿宋_GB2312" w:hAnsi="仿宋_GB2312" w:eastAsia="仿宋_GB2312" w:cs="仿宋_GB2312"/>
          <w:sz w:val="32"/>
          <w:szCs w:val="32"/>
        </w:rPr>
        <w:t>深入贯彻学习《行政事业性国有资产管理条例》，确保《条例》宣传普及到位，推动行政事业性国有资产管理与监督落实有效。</w:t>
      </w:r>
      <w:r>
        <w:rPr>
          <w:rFonts w:hint="eastAsia" w:ascii="仿宋_GB2312" w:hAnsi="仿宋" w:eastAsia="仿宋_GB2312" w:cs="仿宋"/>
          <w:sz w:val="32"/>
          <w:szCs w:val="32"/>
        </w:rPr>
        <w:t>严格按照国家统一所有、县镇分级监管、单位占有使用的管理体制，全面规范和加强行政事业性国有资产管理工作。</w:t>
      </w:r>
    </w:p>
    <w:p>
      <w:pPr>
        <w:widowControl/>
        <w:snapToGrid w:val="0"/>
        <w:spacing w:line="600" w:lineRule="exact"/>
        <w:ind w:firstLine="643"/>
        <w:rPr>
          <w:rFonts w:ascii="仿宋_GB2312" w:hAnsi="仿宋" w:eastAsia="仿宋_GB2312" w:cs="仿宋"/>
          <w:bCs/>
          <w:sz w:val="32"/>
          <w:szCs w:val="32"/>
        </w:rPr>
      </w:pPr>
      <w:r>
        <w:rPr>
          <w:rFonts w:hint="eastAsia" w:ascii="仿宋_GB2312" w:hAnsi="楷体" w:eastAsia="仿宋_GB2312" w:cs="楷体"/>
          <w:b/>
          <w:sz w:val="32"/>
          <w:szCs w:val="32"/>
        </w:rPr>
        <w:t>2、</w:t>
      </w:r>
      <w:r>
        <w:rPr>
          <w:rFonts w:hint="eastAsia" w:ascii="仿宋_GB2312" w:hAnsi="楷体" w:eastAsia="仿宋_GB2312" w:cs="楷体"/>
          <w:b/>
          <w:bCs/>
          <w:sz w:val="32"/>
          <w:szCs w:val="32"/>
        </w:rPr>
        <w:t>规范土地、房屋资产登记。</w:t>
      </w:r>
      <w:r>
        <w:rPr>
          <w:rFonts w:hint="eastAsia" w:ascii="仿宋_GB2312" w:hAnsi="仿宋" w:eastAsia="仿宋_GB2312" w:cs="仿宋"/>
          <w:bCs/>
          <w:sz w:val="32"/>
          <w:szCs w:val="32"/>
        </w:rPr>
        <w:t>土地资产有购买发票的按发票原值入账，没有原始凭证的按照县政府公布的基准地价估值入账。房屋资产按照四种情况登记：一是正在建设的房屋在账务中记在建工程；二是已竣工投入使用，但未审计的固定资产，先按照已投入资金预上固定资产，待审计结果确定后再做账务调整；三是已竣工决算、完成审计的固定资产直接按照审计结果登记入账；四是无法查明原有价值的房屋资产，由使用单位或统一聘请测绘公司和评估公司，确定资产数量和价值，及时入账。</w:t>
      </w:r>
    </w:p>
    <w:p>
      <w:pPr>
        <w:spacing w:line="360" w:lineRule="auto"/>
        <w:ind w:firstLine="643"/>
        <w:rPr>
          <w:rFonts w:ascii="仿宋_GB2312" w:eastAsia="仿宋_GB2312"/>
          <w:sz w:val="32"/>
          <w:szCs w:val="32"/>
        </w:rPr>
      </w:pPr>
      <w:r>
        <w:rPr>
          <w:rFonts w:hint="eastAsia" w:ascii="仿宋_GB2312" w:hAnsi="楷体" w:eastAsia="仿宋_GB2312" w:cs="楷体"/>
          <w:b/>
          <w:bCs/>
          <w:sz w:val="32"/>
          <w:szCs w:val="32"/>
        </w:rPr>
        <w:t>3、强化基础管理。</w:t>
      </w:r>
      <w:r>
        <w:rPr>
          <w:rFonts w:hint="eastAsia" w:ascii="仿宋_GB2312" w:hAnsi="仿宋" w:eastAsia="仿宋_GB2312" w:cs="仿宋"/>
          <w:b/>
          <w:bCs/>
          <w:sz w:val="32"/>
          <w:szCs w:val="32"/>
        </w:rPr>
        <w:t>一是加强资产账务日常管理。</w:t>
      </w:r>
      <w:r>
        <w:rPr>
          <w:rFonts w:hint="eastAsia" w:ascii="仿宋_GB2312" w:hAnsi="仿宋" w:eastAsia="仿宋_GB2312" w:cs="仿宋"/>
          <w:sz w:val="32"/>
          <w:szCs w:val="32"/>
        </w:rPr>
        <w:t>督促各单位结合实际制定本单位资产管理制度，并全面依托行政事业单位国有资产信息管理系统，严格“出入口”控制，进一步规范资产购置、登记、领用、维护、报废等程序，定期进行存量资产盘点清查，按照有关规定及时进行资产增、减变动，切实做到账账相符、账实相符。</w:t>
      </w:r>
      <w:r>
        <w:rPr>
          <w:rFonts w:hint="eastAsia" w:ascii="仿宋_GB2312" w:hAnsi="仿宋" w:eastAsia="仿宋_GB2312" w:cs="仿宋"/>
          <w:b/>
          <w:bCs/>
          <w:sz w:val="32"/>
          <w:szCs w:val="32"/>
        </w:rPr>
        <w:t>二是严格人员管理，加强业务培训指导。</w:t>
      </w:r>
      <w:r>
        <w:rPr>
          <w:rFonts w:hint="eastAsia" w:ascii="仿宋_GB2312" w:hAnsi="仿宋" w:eastAsia="仿宋_GB2312" w:cs="仿宋"/>
          <w:sz w:val="32"/>
          <w:szCs w:val="32"/>
        </w:rPr>
        <w:t>各单位（单位）、各镇上报的资产专管员，严格履行资产管理职责，规范单位资产使用管理，人员一经确定，不得随意调整。同时，加强对资产转管员的业务培训和指导，不断提升其业务能力和水平。</w:t>
      </w:r>
      <w:r>
        <w:rPr>
          <w:rFonts w:hint="eastAsia" w:ascii="仿宋_GB2312" w:hAnsi="仿宋" w:eastAsia="仿宋_GB2312" w:cs="仿宋"/>
          <w:b/>
          <w:bCs/>
          <w:sz w:val="32"/>
          <w:szCs w:val="32"/>
        </w:rPr>
        <w:t>三是落实财政、主管部门定期检查制度。</w:t>
      </w:r>
      <w:r>
        <w:rPr>
          <w:rFonts w:hint="eastAsia" w:ascii="仿宋_GB2312" w:eastAsia="仿宋_GB2312"/>
          <w:sz w:val="32"/>
          <w:szCs w:val="32"/>
        </w:rPr>
        <w:t>财政单位每年不定期开展对各行政事业单位国有资产管理工作的检查。主管部门每年至少要在本单位开展一次国有资产检</w:t>
      </w:r>
      <w:r>
        <w:rPr>
          <w:rFonts w:hint="eastAsia" w:ascii="仿宋_GB2312"/>
          <w:sz w:val="32"/>
          <w:szCs w:val="32"/>
        </w:rPr>
        <w:t>查</w:t>
      </w:r>
      <w:r>
        <w:rPr>
          <w:rFonts w:hint="eastAsia" w:ascii="仿宋_GB2312" w:eastAsia="仿宋_GB2312"/>
          <w:sz w:val="32"/>
          <w:szCs w:val="32"/>
        </w:rPr>
        <w:t>工作，</w:t>
      </w:r>
      <w:r>
        <w:rPr>
          <w:rFonts w:hint="eastAsia" w:ascii="仿宋_GB2312"/>
          <w:sz w:val="32"/>
          <w:szCs w:val="32"/>
        </w:rPr>
        <w:t>检查</w:t>
      </w:r>
      <w:r>
        <w:rPr>
          <w:rFonts w:hint="eastAsia" w:ascii="仿宋_GB2312" w:eastAsia="仿宋_GB2312"/>
          <w:sz w:val="32"/>
          <w:szCs w:val="32"/>
        </w:rPr>
        <w:t>内容可根据单位实际情况自行制定，主要针对单位国有资产内部管理制度、资产配置、资产登记、使用管理、处置管理、产权登记等方面，检查工作完成后，形成工作报告，上报县公产中心。工作报告内容包含检查内容、检查方式、检查问题、整改情况等。</w:t>
      </w: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964" w:firstLineChars="300"/>
        <w:rPr>
          <w:rFonts w:ascii="仿宋" w:hAnsi="仿宋" w:eastAsia="仿宋" w:cs="仿宋"/>
          <w:color w:val="FF0000"/>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截止2022年底，本单位人员编制8人，其中行政编制0人、事业编制8人；实有人员8人，其中行政0人、事业8人。单位管理的离退休人员0人。</w:t>
      </w:r>
    </w:p>
    <w:p>
      <w:pPr>
        <w:spacing w:line="360" w:lineRule="auto"/>
        <w:ind w:firstLine="480"/>
        <w:rPr>
          <w:rFonts w:ascii="仿宋" w:hAnsi="仿宋" w:eastAsia="仿宋" w:cs="仿宋"/>
          <w:sz w:val="32"/>
          <w:szCs w:val="32"/>
        </w:rPr>
      </w:pPr>
      <w:r>
        <w:drawing>
          <wp:inline distT="0" distB="0" distL="114300" distR="114300">
            <wp:extent cx="4785995" cy="3276600"/>
            <wp:effectExtent l="0" t="0" r="146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85995" cy="3276600"/>
                    </a:xfrm>
                    <a:prstGeom prst="rect">
                      <a:avLst/>
                    </a:prstGeom>
                    <a:noFill/>
                    <a:ln>
                      <a:noFill/>
                    </a:ln>
                  </pic:spPr>
                </pic:pic>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126.54万元，其中一般公共预算拨款收入126.54万元、政府性基金拨款收入0.00万元、上级补助收入0.0000万元、事业收入0.0000万元、事业单位经营收入0.0000万元、对附属单位上缴收入0.0000万元、用事业基金弥补收支差额0.0000万元、上年结转0.0000万元、上年实户资金余额0.0000万元、其他收入0.0000万元，2023年本单位预算收入较上年减少19.72万元，主要原因是人员和专项经费减少；2023年本单位预算支出126.54万元，其中一般公共预算拨款支出126.54万元、政府性基金拨款支出0.0000万元、事业收入0.0000万元、事业单位经营收入0.0000万元、对附属单位上缴收入0.0000万元、上年实户资金余额0.0000万元、其他收入0.0000万元、上年结转0万元，2023年本单位预算支出较上年减少19.72万元，主要原因是人员和专项经费减少。</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126.54万元，其中一般公共预算拨款收入126.54万元、政府性基金拨款收入0.00万元、上级补助收入0.0000万元、事业收入0.0000万元、事业单位经营收入0.0000万元、对附属单位上缴收入0.0000万元、用事业基金弥补收支差额 0.0000万元、上年结转0.0000万元、上年实户资金余额0.0000万元、其他收入0.0000万元，2023年本单位财政拨款收入较上年减少19.72万元，主要原因是人员和专项经费减少；2023年本单位财政拨款支出126.54万元，其中一般公共预算拨款支出126.54万元、政府性基金拨款支出0.0000万元、上年结转0.0000万元，2023年本单位财政拨款支出较上年减少19.72万元，主要原因是人员和专项经费减少。</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2023年本单位当年一般公共预算拨款支出126.54万元，较上年减少19.72万元，主要原因是人员和专项经费减少。</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机关事业单位基本养老保险缴费支出（2080505）10.67万元，较上年减少2.4万元，原因是人员减少。</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事业单位医疗（2101102）5.25万元，较上年减少1.25万元，原因是人员减少。</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行政运行（2150701）94.99万元，较上年减少1.03万元，原因是人员减少。</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其他国有资产监管支出（2150799）7.62万元，较上年减少12.38万元，原因是本年度一部分列入了行政运行（2150701）。</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（5）住房公积金（2210201）8.02万元，较上年减少2.65万元，原因是人员减少。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2023年本单位当年一般公共预算支出126.54万元，其中：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工资福利支出（301）96.28万元，较上年减少18.66万元，原因是人员减少；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商品和服务支出（302）30万元，较上年减少1.04万元，原因是人员减少；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对个人和家庭的补助支出（303）0.27万元，较上年无变化；</w:t>
      </w:r>
    </w:p>
    <w:p>
      <w:pPr>
        <w:numPr>
          <w:ilvl w:val="0"/>
          <w:numId w:val="4"/>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2023年本单位当年一般公共预算支出126.54万元，其中：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机关工资福利支出（501）96.28万元，较上年减少18.66万元，原因是人员减少；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机关商品和服务支出（502）30万元，较上年减少1.04万元，原因是人员减少；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对事业单位资本性补助（506）0.27万元，较上年无变化；</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6"/>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6"/>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（1）2023年本单位当年一般公共预算“三公”经费预算支出0.43万元，较上年无增减变化。其中：因公出国（境）经费0万元，较上年无增减变化；公务接待费0.43万元，较上年无增减变化；公务用车运行费0万元</w:t>
      </w:r>
      <w:r>
        <w:rPr>
          <w:rFonts w:hint="eastAsia" w:ascii="仿宋" w:hAnsi="仿宋" w:eastAsia="仿宋" w:cs="仿宋"/>
          <w:sz w:val="32"/>
          <w:szCs w:val="32"/>
          <w:lang w:eastAsia="zh-CN"/>
        </w:rPr>
        <w:t>，</w:t>
      </w:r>
      <w:r>
        <w:rPr>
          <w:rFonts w:hint="eastAsia" w:ascii="仿宋" w:hAnsi="仿宋" w:eastAsia="仿宋" w:cs="仿宋"/>
          <w:sz w:val="32"/>
          <w:szCs w:val="32"/>
        </w:rPr>
        <w:t>较上年无增减变化；公务用车购置费0万元，较上年无增减变化。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（2）2023年本单位当年会议费预算支出0万元，较上年无增减变化。培训费0万元，较上年无增减变化。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8"/>
        <w:numPr>
          <w:ilvl w:val="0"/>
          <w:numId w:val="7"/>
        </w:numPr>
        <w:spacing w:line="360" w:lineRule="auto"/>
        <w:ind w:left="1680" w:leftChars="0"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2023年本单位绩效目标管理全覆盖，涉及当年一般公共预算拨款126.54万元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本单位当年机关运行经费预算安排4.75万元，较上年减少6.29万元，主要原因是公务交通补贴调整到人员经费支出了。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w:t>
      </w:r>
      <w:r>
        <w:rPr>
          <w:rFonts w:hint="eastAsia" w:ascii="仿宋" w:hAnsi="仿宋" w:eastAsia="仿宋" w:cs="仿宋"/>
          <w:sz w:val="32"/>
          <w:szCs w:val="32"/>
          <w:lang w:eastAsia="zh-CN"/>
        </w:rPr>
        <w:t>：</w:t>
      </w:r>
      <w:r>
        <w:rPr>
          <w:rFonts w:ascii="仿宋" w:hAnsi="仿宋" w:eastAsia="仿宋" w:cs="仿宋"/>
          <w:sz w:val="32"/>
          <w:szCs w:val="32"/>
        </w:rPr>
        <w:t>是指用财政拨款安排的因公出国（境）费、公务用车购置及运行费和公务接待费。其中，因公出国（境）费反映单位公务出国（境）的国际旅费、国外城市间交通 费、住宿费、伙食费、培训费、公杂费等支出；公务用车购置及运行费反映单位公务用车车辆 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2C9E38A"/>
    <w:multiLevelType w:val="singleLevel"/>
    <w:tmpl w:val="02C9E38A"/>
    <w:lvl w:ilvl="0" w:tentative="0">
      <w:start w:val="1"/>
      <w:numFmt w:val="decimal"/>
      <w:lvlText w:val="(%1)"/>
      <w:lvlJc w:val="left"/>
      <w:pPr>
        <w:tabs>
          <w:tab w:val="left" w:pos="312"/>
        </w:tabs>
      </w:pPr>
    </w:lvl>
  </w:abstractNum>
  <w:abstractNum w:abstractNumId="3">
    <w:nsid w:val="03C7F344"/>
    <w:multiLevelType w:val="singleLevel"/>
    <w:tmpl w:val="03C7F344"/>
    <w:lvl w:ilvl="0" w:tentative="0">
      <w:start w:val="4"/>
      <w:numFmt w:val="decimal"/>
      <w:suff w:val="nothing"/>
      <w:lvlText w:val="（%1）"/>
      <w:lvlJc w:val="left"/>
    </w:lvl>
  </w:abstractNum>
  <w:abstractNum w:abstractNumId="4">
    <w:nsid w:val="0DAC30F7"/>
    <w:multiLevelType w:val="multilevel"/>
    <w:tmpl w:val="0DAC30F7"/>
    <w:lvl w:ilvl="0" w:tentative="0">
      <w:start w:val="7"/>
      <w:numFmt w:val="japaneseCounting"/>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5">
    <w:nsid w:val="27254C28"/>
    <w:multiLevelType w:val="singleLevel"/>
    <w:tmpl w:val="27254C28"/>
    <w:lvl w:ilvl="0" w:tentative="0">
      <w:start w:val="2"/>
      <w:numFmt w:val="decimal"/>
      <w:suff w:val="nothing"/>
      <w:lvlText w:val="（%1）"/>
      <w:lvlJc w:val="left"/>
    </w:lvl>
  </w:abstractNum>
  <w:abstractNum w:abstractNumId="6">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345E86"/>
    <w:rsid w:val="003503CC"/>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067E77"/>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39073D"/>
    <w:rsid w:val="3D8407DF"/>
    <w:rsid w:val="3DFF32ED"/>
    <w:rsid w:val="3F503091"/>
    <w:rsid w:val="4008265B"/>
    <w:rsid w:val="41851E44"/>
    <w:rsid w:val="420B5D06"/>
    <w:rsid w:val="4248700C"/>
    <w:rsid w:val="45857508"/>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151906"/>
    <w:rsid w:val="563F4648"/>
    <w:rsid w:val="57C07DEE"/>
    <w:rsid w:val="58FE3115"/>
    <w:rsid w:val="592D7B67"/>
    <w:rsid w:val="59D947AF"/>
    <w:rsid w:val="59F96CB8"/>
    <w:rsid w:val="5A847BA2"/>
    <w:rsid w:val="5BD23E00"/>
    <w:rsid w:val="5BF47018"/>
    <w:rsid w:val="5C653576"/>
    <w:rsid w:val="5E5C14C1"/>
    <w:rsid w:val="5F635E4B"/>
    <w:rsid w:val="60404B5F"/>
    <w:rsid w:val="6134696F"/>
    <w:rsid w:val="61EE3D1B"/>
    <w:rsid w:val="62460F4D"/>
    <w:rsid w:val="62A365B5"/>
    <w:rsid w:val="65B7439B"/>
    <w:rsid w:val="66607F61"/>
    <w:rsid w:val="67606C1C"/>
    <w:rsid w:val="676942F4"/>
    <w:rsid w:val="689E0EE3"/>
    <w:rsid w:val="68EA113C"/>
    <w:rsid w:val="699E67D8"/>
    <w:rsid w:val="69A42A61"/>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A906E1D"/>
    <w:rsid w:val="7A907EBB"/>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styleId="8">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3815</Words>
  <Characters>4243</Characters>
  <Lines>31</Lines>
  <Paragraphs>8</Paragraphs>
  <TotalTime>7</TotalTime>
  <ScaleCrop>false</ScaleCrop>
  <LinksUpToDate>false</LinksUpToDate>
  <CharactersWithSpaces>4323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2023-04-26T08:54:17Z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