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1044"/>
        <w:jc w:val="center"/>
        <w:rPr>
          <w:rFonts w:ascii="黑体" w:hAnsi="黑体" w:eastAsia="黑体" w:cs="黑体"/>
          <w:b/>
          <w:bCs/>
          <w:sz w:val="52"/>
          <w:szCs w:val="52"/>
        </w:rPr>
      </w:pPr>
      <w:bookmarkStart w:id="0" w:name="_GoBack"/>
      <w:r>
        <w:rPr>
          <w:rFonts w:hint="eastAsia" w:ascii="黑体" w:hAnsi="黑体" w:eastAsia="黑体" w:cs="黑体"/>
          <w:b/>
          <w:bCs/>
          <w:sz w:val="52"/>
          <w:szCs w:val="52"/>
        </w:rPr>
        <w:t>紫阳县财政国库支付中心</w:t>
      </w:r>
    </w:p>
    <w:bookmarkEnd w:id="0"/>
    <w:p>
      <w:pPr>
        <w:spacing w:line="360" w:lineRule="auto"/>
        <w:ind w:firstLine="1044"/>
        <w:jc w:val="center"/>
        <w:rPr>
          <w:rFonts w:hint="eastAsia" w:ascii="黑体" w:hAnsi="黑体" w:eastAsia="黑体" w:cs="黑体"/>
          <w:b/>
          <w:bCs/>
          <w:sz w:val="52"/>
          <w:szCs w:val="52"/>
        </w:rPr>
      </w:pPr>
      <w:r>
        <w:rPr>
          <w:rFonts w:hint="eastAsia" w:ascii="黑体" w:hAnsi="黑体" w:eastAsia="黑体" w:cs="黑体"/>
          <w:b/>
          <w:bCs/>
          <w:sz w:val="52"/>
          <w:szCs w:val="5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pPr>
      <w:r>
        <w:rPr>
          <w:rFonts w:hint="eastAsia" w:ascii="仿宋" w:hAnsi="仿宋" w:eastAsia="仿宋" w:cs="仿宋"/>
          <w:b/>
          <w:bCs/>
          <w:sz w:val="32"/>
          <w:szCs w:val="32"/>
        </w:rPr>
        <w:t>（一）单位主要职责</w:t>
      </w:r>
    </w:p>
    <w:p>
      <w:pPr>
        <w:widowControl/>
        <w:spacing w:line="360" w:lineRule="auto"/>
        <w:ind w:firstLine="640"/>
        <w:jc w:val="left"/>
      </w:pPr>
      <w:r>
        <w:rPr>
          <w:rFonts w:ascii="仿宋" w:hAnsi="仿宋" w:eastAsia="仿宋" w:cs="仿宋"/>
          <w:color w:val="000000"/>
          <w:kern w:val="0"/>
          <w:sz w:val="32"/>
          <w:szCs w:val="32"/>
          <w:lang w:bidi="ar"/>
        </w:rPr>
        <w:t xml:space="preserve">1.参与推行国库集中支付制度； </w:t>
      </w:r>
    </w:p>
    <w:p>
      <w:pPr>
        <w:widowControl/>
        <w:spacing w:line="360" w:lineRule="auto"/>
        <w:ind w:firstLine="640"/>
        <w:jc w:val="left"/>
      </w:pPr>
      <w:r>
        <w:rPr>
          <w:rFonts w:hint="eastAsia" w:ascii="仿宋" w:hAnsi="仿宋" w:eastAsia="仿宋" w:cs="仿宋"/>
          <w:color w:val="000000"/>
          <w:kern w:val="0"/>
          <w:sz w:val="32"/>
          <w:szCs w:val="32"/>
          <w:lang w:bidi="ar"/>
        </w:rPr>
        <w:t xml:space="preserve">2.参与管理财政零余额账户； </w:t>
      </w:r>
    </w:p>
    <w:p>
      <w:pPr>
        <w:widowControl/>
        <w:spacing w:line="360" w:lineRule="auto"/>
        <w:ind w:firstLine="640"/>
        <w:jc w:val="left"/>
      </w:pPr>
      <w:r>
        <w:rPr>
          <w:rFonts w:hint="eastAsia" w:ascii="仿宋" w:hAnsi="仿宋" w:eastAsia="仿宋" w:cs="仿宋"/>
          <w:color w:val="000000"/>
          <w:kern w:val="0"/>
          <w:sz w:val="32"/>
          <w:szCs w:val="32"/>
          <w:lang w:bidi="ar"/>
        </w:rPr>
        <w:t xml:space="preserve">3.承担受理和审核预算单位财政直接支付申请，办理财 </w:t>
      </w:r>
    </w:p>
    <w:p>
      <w:pPr>
        <w:widowControl/>
        <w:spacing w:line="360" w:lineRule="auto"/>
        <w:ind w:firstLine="640"/>
        <w:jc w:val="left"/>
      </w:pPr>
      <w:r>
        <w:rPr>
          <w:rFonts w:hint="eastAsia" w:ascii="仿宋" w:hAnsi="仿宋" w:eastAsia="仿宋" w:cs="仿宋"/>
          <w:color w:val="000000"/>
          <w:kern w:val="0"/>
          <w:sz w:val="32"/>
          <w:szCs w:val="32"/>
          <w:lang w:bidi="ar"/>
        </w:rPr>
        <w:t xml:space="preserve">政资金直接支付业务工作； </w:t>
      </w:r>
    </w:p>
    <w:p>
      <w:pPr>
        <w:widowControl/>
        <w:spacing w:line="360" w:lineRule="auto"/>
        <w:ind w:firstLine="640"/>
        <w:jc w:val="left"/>
      </w:pPr>
      <w:r>
        <w:rPr>
          <w:rFonts w:hint="eastAsia" w:ascii="仿宋" w:hAnsi="仿宋" w:eastAsia="仿宋" w:cs="仿宋"/>
          <w:color w:val="000000"/>
          <w:kern w:val="0"/>
          <w:sz w:val="32"/>
          <w:szCs w:val="32"/>
          <w:lang w:bidi="ar"/>
        </w:rPr>
        <w:t xml:space="preserve">4.承担下达预算单位财政授权支付额度，办理授权支付 </w:t>
      </w:r>
    </w:p>
    <w:p>
      <w:pPr>
        <w:widowControl/>
        <w:spacing w:line="360" w:lineRule="auto"/>
        <w:ind w:firstLine="640"/>
        <w:jc w:val="left"/>
      </w:pPr>
      <w:r>
        <w:rPr>
          <w:rFonts w:hint="eastAsia" w:ascii="仿宋" w:hAnsi="仿宋" w:eastAsia="仿宋" w:cs="仿宋"/>
          <w:color w:val="000000"/>
          <w:kern w:val="0"/>
          <w:sz w:val="32"/>
          <w:szCs w:val="32"/>
          <w:lang w:bidi="ar"/>
        </w:rPr>
        <w:t xml:space="preserve">业务工作； </w:t>
      </w:r>
    </w:p>
    <w:p>
      <w:pPr>
        <w:widowControl/>
        <w:spacing w:line="360" w:lineRule="auto"/>
        <w:ind w:firstLine="640"/>
        <w:jc w:val="left"/>
      </w:pPr>
      <w:r>
        <w:rPr>
          <w:rFonts w:hint="eastAsia" w:ascii="仿宋" w:hAnsi="仿宋" w:eastAsia="仿宋" w:cs="仿宋"/>
          <w:color w:val="000000"/>
          <w:kern w:val="0"/>
          <w:sz w:val="32"/>
          <w:szCs w:val="32"/>
          <w:lang w:bidi="ar"/>
        </w:rPr>
        <w:t xml:space="preserve">5.配合做好与银行的清算和会计核算工作； </w:t>
      </w:r>
    </w:p>
    <w:p>
      <w:pPr>
        <w:widowControl/>
        <w:spacing w:line="360" w:lineRule="auto"/>
        <w:ind w:firstLine="640"/>
        <w:jc w:val="left"/>
      </w:pPr>
      <w:r>
        <w:rPr>
          <w:rFonts w:hint="eastAsia" w:ascii="仿宋" w:hAnsi="仿宋" w:eastAsia="仿宋" w:cs="仿宋"/>
          <w:color w:val="000000"/>
          <w:kern w:val="0"/>
          <w:sz w:val="32"/>
          <w:szCs w:val="32"/>
          <w:lang w:bidi="ar"/>
        </w:rPr>
        <w:t xml:space="preserve">6.承担与财政总预算会计、代理银行、预算单位进行对 </w:t>
      </w:r>
    </w:p>
    <w:p>
      <w:pPr>
        <w:widowControl/>
        <w:spacing w:line="360" w:lineRule="auto"/>
        <w:ind w:firstLine="640"/>
        <w:jc w:val="left"/>
      </w:pPr>
      <w:r>
        <w:rPr>
          <w:rFonts w:hint="eastAsia" w:ascii="仿宋" w:hAnsi="仿宋" w:eastAsia="仿宋" w:cs="仿宋"/>
          <w:color w:val="000000"/>
          <w:kern w:val="0"/>
          <w:sz w:val="32"/>
          <w:szCs w:val="32"/>
          <w:lang w:bidi="ar"/>
        </w:rPr>
        <w:t xml:space="preserve">账，编报支付信息等工作； </w:t>
      </w:r>
    </w:p>
    <w:p>
      <w:pPr>
        <w:widowControl/>
        <w:spacing w:line="360" w:lineRule="auto"/>
        <w:ind w:firstLine="640"/>
        <w:jc w:val="left"/>
      </w:pPr>
      <w:r>
        <w:rPr>
          <w:rFonts w:hint="eastAsia" w:ascii="仿宋" w:hAnsi="仿宋" w:eastAsia="仿宋" w:cs="仿宋"/>
          <w:color w:val="000000"/>
          <w:kern w:val="0"/>
          <w:sz w:val="32"/>
          <w:szCs w:val="32"/>
          <w:lang w:bidi="ar"/>
        </w:rPr>
        <w:t>7.承担代理全县行政事业单位工资发放工作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 </w:t>
      </w:r>
    </w:p>
    <w:p>
      <w:pPr>
        <w:widowControl/>
        <w:spacing w:line="360" w:lineRule="auto"/>
        <w:ind w:firstLine="640"/>
        <w:jc w:val="left"/>
      </w:pPr>
      <w:r>
        <w:rPr>
          <w:rFonts w:hint="eastAsia" w:ascii="仿宋" w:hAnsi="仿宋" w:eastAsia="仿宋" w:cs="仿宋"/>
          <w:color w:val="000000"/>
          <w:kern w:val="0"/>
          <w:sz w:val="32"/>
          <w:szCs w:val="32"/>
          <w:lang w:bidi="ar"/>
        </w:rPr>
        <w:t xml:space="preserve">8.承担全县财政惠民补贴资金发放工作； </w:t>
      </w:r>
    </w:p>
    <w:p>
      <w:pPr>
        <w:widowControl/>
        <w:spacing w:line="360" w:lineRule="auto"/>
        <w:ind w:firstLine="640"/>
        <w:jc w:val="left"/>
      </w:pPr>
      <w:r>
        <w:rPr>
          <w:rFonts w:hint="eastAsia" w:ascii="仿宋" w:hAnsi="仿宋" w:eastAsia="仿宋" w:cs="仿宋"/>
          <w:color w:val="000000"/>
          <w:kern w:val="0"/>
          <w:sz w:val="32"/>
          <w:szCs w:val="32"/>
          <w:lang w:bidi="ar"/>
        </w:rPr>
        <w:t>9.承办县财政局交办的其他工作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widowControl/>
        <w:spacing w:line="360" w:lineRule="auto"/>
        <w:ind w:firstLine="640"/>
        <w:jc w:val="left"/>
      </w:pPr>
      <w:r>
        <w:rPr>
          <w:rFonts w:ascii="仿宋" w:hAnsi="仿宋" w:eastAsia="仿宋" w:cs="仿宋"/>
          <w:color w:val="000000"/>
          <w:kern w:val="0"/>
          <w:sz w:val="32"/>
          <w:szCs w:val="32"/>
          <w:lang w:bidi="ar"/>
        </w:rPr>
        <w:t xml:space="preserve">本单位现设有支付股、工资中心。 核定紫阳县财政国 </w:t>
      </w:r>
    </w:p>
    <w:p>
      <w:pPr>
        <w:widowControl/>
        <w:spacing w:line="360" w:lineRule="auto"/>
        <w:ind w:firstLine="0" w:firstLineChars="0"/>
        <w:jc w:val="left"/>
      </w:pPr>
      <w:r>
        <w:rPr>
          <w:rFonts w:hint="eastAsia" w:ascii="仿宋" w:hAnsi="仿宋" w:eastAsia="仿宋" w:cs="仿宋"/>
          <w:color w:val="000000"/>
          <w:kern w:val="0"/>
          <w:sz w:val="32"/>
          <w:szCs w:val="32"/>
          <w:lang w:bidi="ar"/>
        </w:rPr>
        <w:t xml:space="preserve">库支付中心事业编制 20 名，设主任 1 名，退休人员 2 名。 </w:t>
      </w:r>
    </w:p>
    <w:p>
      <w:pPr>
        <w:widowControl/>
        <w:spacing w:line="360" w:lineRule="auto"/>
        <w:ind w:firstLine="0" w:firstLineChars="0"/>
        <w:jc w:val="left"/>
      </w:pPr>
      <w:r>
        <w:rPr>
          <w:rFonts w:hint="eastAsia" w:ascii="仿宋" w:hAnsi="仿宋" w:eastAsia="仿宋" w:cs="仿宋"/>
          <w:color w:val="000000"/>
          <w:kern w:val="0"/>
          <w:sz w:val="32"/>
          <w:szCs w:val="32"/>
          <w:lang w:bidi="ar"/>
        </w:rPr>
        <w:t>紫阳县财政国库支付中心为公益一类事业单位。应依照《事业单位登记管理暂行条例》，申办法人登记事项。</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widowControl/>
        <w:spacing w:line="360" w:lineRule="auto"/>
        <w:ind w:firstLine="640"/>
        <w:jc w:val="left"/>
      </w:pPr>
      <w:r>
        <w:rPr>
          <w:rFonts w:ascii="仿宋" w:hAnsi="仿宋" w:eastAsia="仿宋" w:cs="仿宋"/>
          <w:color w:val="000000"/>
          <w:kern w:val="0"/>
          <w:sz w:val="32"/>
          <w:szCs w:val="32"/>
          <w:lang w:bidi="ar"/>
        </w:rPr>
        <w:t xml:space="preserve">（一）协助局领导班子做好相关工作。 </w:t>
      </w:r>
    </w:p>
    <w:p>
      <w:pPr>
        <w:widowControl/>
        <w:spacing w:line="360" w:lineRule="auto"/>
        <w:ind w:firstLine="640"/>
        <w:jc w:val="left"/>
      </w:pPr>
      <w:r>
        <w:rPr>
          <w:rFonts w:hint="eastAsia" w:ascii="仿宋" w:hAnsi="仿宋" w:eastAsia="仿宋" w:cs="仿宋"/>
          <w:color w:val="000000"/>
          <w:kern w:val="0"/>
          <w:sz w:val="32"/>
          <w:szCs w:val="32"/>
          <w:lang w:bidi="ar"/>
        </w:rPr>
        <w:t xml:space="preserve">（二）贯彻执行中省市县，各项财经制度，加大资金支 </w:t>
      </w:r>
    </w:p>
    <w:p>
      <w:pPr>
        <w:widowControl/>
        <w:spacing w:line="360" w:lineRule="auto"/>
        <w:ind w:firstLine="640"/>
        <w:jc w:val="left"/>
      </w:pPr>
      <w:r>
        <w:rPr>
          <w:rFonts w:hint="eastAsia" w:ascii="仿宋" w:hAnsi="仿宋" w:eastAsia="仿宋" w:cs="仿宋"/>
          <w:color w:val="000000"/>
          <w:kern w:val="0"/>
          <w:sz w:val="32"/>
          <w:szCs w:val="32"/>
          <w:lang w:bidi="ar"/>
        </w:rPr>
        <w:t xml:space="preserve">付审核力度，规范单位财务支出行为，提高财政资金使用效益。 </w:t>
      </w:r>
    </w:p>
    <w:p>
      <w:pPr>
        <w:widowControl/>
        <w:spacing w:line="360" w:lineRule="auto"/>
        <w:ind w:firstLine="640"/>
        <w:jc w:val="left"/>
      </w:pPr>
      <w:r>
        <w:rPr>
          <w:rFonts w:hint="eastAsia" w:ascii="仿宋" w:hAnsi="仿宋" w:eastAsia="仿宋" w:cs="仿宋"/>
          <w:color w:val="000000"/>
          <w:kern w:val="0"/>
          <w:sz w:val="32"/>
          <w:szCs w:val="32"/>
          <w:lang w:bidi="ar"/>
        </w:rPr>
        <w:t xml:space="preserve">（三）高效及时完成了全县的国库集中支付，保证了全 </w:t>
      </w:r>
    </w:p>
    <w:p>
      <w:pPr>
        <w:widowControl/>
        <w:spacing w:line="360" w:lineRule="auto"/>
        <w:ind w:firstLine="640"/>
        <w:jc w:val="left"/>
      </w:pPr>
      <w:r>
        <w:rPr>
          <w:rFonts w:hint="eastAsia" w:ascii="仿宋" w:hAnsi="仿宋" w:eastAsia="仿宋" w:cs="仿宋"/>
          <w:color w:val="000000"/>
          <w:kern w:val="0"/>
          <w:sz w:val="32"/>
          <w:szCs w:val="32"/>
          <w:lang w:bidi="ar"/>
        </w:rPr>
        <w:t>县各预算单位用款的及时、准确。</w:t>
      </w:r>
    </w:p>
    <w:p>
      <w:pPr>
        <w:widowControl/>
        <w:spacing w:line="360" w:lineRule="auto"/>
        <w:ind w:firstLine="640"/>
        <w:jc w:val="left"/>
      </w:pPr>
      <w:r>
        <w:rPr>
          <w:rFonts w:hint="eastAsia" w:ascii="仿宋" w:hAnsi="仿宋" w:eastAsia="仿宋" w:cs="仿宋"/>
          <w:color w:val="000000"/>
          <w:kern w:val="0"/>
          <w:sz w:val="32"/>
          <w:szCs w:val="32"/>
          <w:lang w:bidi="ar"/>
        </w:rPr>
        <w:t>（四）积极开展乡村振兴包村入户工作。 定期下村入户，核实基本信息，配合白兔村完成国家乡村振兴工作</w:t>
      </w:r>
    </w:p>
    <w:p>
      <w:pPr>
        <w:spacing w:line="360" w:lineRule="auto"/>
        <w:ind w:firstLine="964" w:firstLineChars="300"/>
        <w:rPr>
          <w:rFonts w:ascii="仿宋" w:hAnsi="仿宋" w:eastAsia="仿宋" w:cs="仿宋"/>
          <w:color w:val="FF0000"/>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截止2022年底，本单位人员编制20人，其中行政编制0人、事业编制20人；实有人员20人，其中行政0人、事业20人。单位管理的离退休人员2人。</w:t>
      </w:r>
    </w:p>
    <w:p>
      <w:pPr>
        <w:pStyle w:val="2"/>
        <w:spacing w:line="240" w:lineRule="auto"/>
        <w:ind w:firstLine="0" w:firstLineChars="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ind w:firstLine="640"/>
        <w:rPr>
          <w:rFonts w:ascii="仿宋" w:hAnsi="仿宋" w:eastAsia="仿宋" w:cs="仿宋"/>
          <w:sz w:val="32"/>
          <w:szCs w:val="32"/>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246.23万元，其中一般公共预算拨款收入246.23万元、政府性基金拨款收入0万元，2023年本单位预算收入较上年增加66.33万元，主要原因是增加在职人员公积金配套和在职人员基础性绩效调整以及工资基数调整；2023年本单位预算支出246.23万元，其中一般公共预算拨款支出246.23万元、政府性基金拨款支出0万元，2023年本单位预算支出较上年增加66.33万元，主要原因是增加在职人员公积金配套和在职人员基础性绩效调整以及工资基数调整。</w:t>
      </w:r>
    </w:p>
    <w:p>
      <w:pPr>
        <w:spacing w:line="360" w:lineRule="auto"/>
        <w:ind w:firstLine="643"/>
        <w:rPr>
          <w:rFonts w:ascii="仿宋" w:hAnsi="仿宋" w:eastAsia="仿宋" w:cs="仿宋"/>
          <w:color w:val="FF0000"/>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246.23万元，其中一般公共预算拨款收入246.23万元、政府性基金拨款收入0万元，2023年本单位财政拨款收入较上年增加66.33万元，主要原因是增加了在职人员公积金配套和在职人员基础性绩效调整以及工资基数调整；2023年本单位财政拨款支出246.23万元，其中一般公共预算拨款支出246.23万元、政府性基金拨款支出0万元，2023年本单位财政拨款支出较上年增加66.32万元，主要原因是增加了在职人员公积金配套和在职人员基础性绩效调整以及工资基数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2023年本单位当年一般公共预算拨款支出246.23万元，较上年增加66.33万元，主要原因是增加了在职人员公积金配套和在职人员基础性绩效调整以及工资基数调整。</w:t>
      </w:r>
    </w:p>
    <w:p>
      <w:pPr>
        <w:pStyle w:val="2"/>
        <w:ind w:firstLine="640"/>
        <w:rPr>
          <w:rFonts w:ascii="仿宋" w:hAnsi="仿宋" w:eastAsia="仿宋" w:cs="仿宋"/>
          <w:sz w:val="32"/>
          <w:szCs w:val="32"/>
        </w:rPr>
      </w:pPr>
    </w:p>
    <w:p>
      <w:pPr>
        <w:pStyle w:val="2"/>
        <w:spacing w:line="240" w:lineRule="auto"/>
        <w:ind w:firstLine="0" w:firstLineChars="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ind w:firstLine="640"/>
        <w:rPr>
          <w:rFonts w:ascii="仿宋" w:hAnsi="仿宋" w:eastAsia="仿宋" w:cs="仿宋"/>
          <w:sz w:val="32"/>
          <w:szCs w:val="32"/>
        </w:rPr>
      </w:pP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本单位2023年当年一般公共预算支出246.23万元，其中：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（1）行政运行（2010650）166.85万元，较上年增加22.59万元，原因是增加了在职人员公积金配套和在职人员基础性绩效调整以及工资基数调整；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（2）机关事业单位基本养老保险缴费支出（2080505）22.38万元，较上年增加7.28万元，原因是在职人员工资基数提高，养老保险核算基数同步提高，养老保险配套缴费相应提高；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（3）行政单位医疗（2101102）11.03万元，较上年增加3.63万元，原因在职人员是工资基数提高，医疗保险核算基数相应提高，医疗保险配套缴费提高；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（4）住房公积金（2210201）16.97万元，较上年增加16.97万元，原因是上年度单位没有住房公积金配套预算；</w:t>
      </w:r>
    </w:p>
    <w:p>
      <w:pPr>
        <w:pStyle w:val="2"/>
        <w:spacing w:line="360" w:lineRule="auto"/>
        <w:ind w:firstLine="640"/>
        <w:rPr>
          <w:rFonts w:eastAsia="仿宋"/>
        </w:rPr>
      </w:pPr>
      <w:r>
        <w:rPr>
          <w:rFonts w:hint="eastAsia" w:ascii="仿宋" w:hAnsi="仿宋" w:eastAsia="仿宋" w:cs="仿宋"/>
          <w:sz w:val="32"/>
          <w:szCs w:val="32"/>
        </w:rPr>
        <w:t>（5）财政国库业务（2010605）29万元，较上年增加9万元，原因是增加金财工程10万元，专项业务经费较上年减少1万元。</w:t>
      </w:r>
    </w:p>
    <w:p>
      <w:pPr>
        <w:pStyle w:val="2"/>
        <w:ind w:firstLine="640"/>
        <w:rPr>
          <w:rFonts w:ascii="仿宋" w:hAnsi="仿宋" w:eastAsia="仿宋" w:cs="仿宋"/>
          <w:sz w:val="32"/>
          <w:szCs w:val="32"/>
        </w:rPr>
      </w:pPr>
    </w:p>
    <w:p>
      <w:pPr>
        <w:pStyle w:val="2"/>
        <w:spacing w:line="240" w:lineRule="auto"/>
        <w:ind w:firstLine="0" w:firstLineChars="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381375"/>
            <wp:effectExtent l="4445" t="4445" r="2095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2023年本单位当年一般公共预算支出246.23万元，其中：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工资福利支出（301）205.16万元，较上年增加69.21万元，原因是增加在职人员公积金配套和在职人员基础性绩效调整以及工资基数调整；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商品和服务支出（302）40.88万元，较上年增加0.76万元，原因是增加金财工程服务费10万元，减少了专项业务费1万元，减少了车补11.62万元日常公用增加3.38万元；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对个人和家庭的补助支出（303）0.19万元，较上年减少3.64万元，原因是减少了伤残金3.64万元；</w:t>
      </w:r>
    </w:p>
    <w:p>
      <w:pPr>
        <w:pStyle w:val="2"/>
        <w:spacing w:line="240" w:lineRule="auto"/>
        <w:ind w:firstLine="0" w:firstLineChars="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ind w:firstLine="640"/>
        <w:rPr>
          <w:rFonts w:ascii="仿宋" w:hAnsi="仿宋" w:eastAsia="仿宋" w:cs="仿宋"/>
          <w:sz w:val="32"/>
          <w:szCs w:val="32"/>
        </w:rPr>
      </w:pP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2023年本单位当年一般公共预算支出89.82万元，其中：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对事业单位经常性补助（505）246.04万元，较上年增加69.97万元，原因是在职人员工资基数提高，养老保险核算基数同步提高，养老保险配套缴费相应提高；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对个人和家庭的补助（509）0.19万元，较上年减少3.64万元，原因是减少了伤残金3.64万元；</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1.08万元，较上年增加0.22万元（25.58%），增加的主要原因是在职人员增加4人，公用经费相应增加，三公经费核算基数增加，三公经费增加。其中：因公出国（境）经费0万元，较上年增加（减少）0万元（0%），增加（减少）的主要原因是2023年无因公出国（境）预算；公务接待费1.08万元，较上年增加0.22万元（25.58%），增加的主要原因是在职人员增加4人，公用经费相应增加，三公经费核算基数增加，三公经费增加；公务用车运行费0万元，较上年增加（减少）0万元（0%），增加（减少）的主要原因是本单位2023年无公务用车运行费预算；公务用车购置费0万元，较上年增加（减少）0万元（0%），增加（减少）的主要原因是本单位2023年没有公务用车购置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0%），增加（减少）的主要原因是本单位2023年无会议费预算。培训费0万元，较上年增加（减少）0万元（0%），增加（减少）的主要原因是本单位2023年无培训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9"/>
        <w:numPr>
          <w:ilvl w:val="0"/>
          <w:numId w:val="5"/>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2023年本单位绩效目标管理全覆盖，涉及当年一般公共预算拨款246.23万元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本单位当年机关运行经费预算安排11.88万元，较上年减少8.24万元，原因是人员增加4人，公用经费相应增加，但交通补贴本年不再预算，因此公用经费8.24万元。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numPr>
          <w:ilvl w:val="0"/>
          <w:numId w:val="6"/>
        </w:numPr>
        <w:spacing w:line="360" w:lineRule="auto"/>
        <w:ind w:firstLine="640"/>
        <w:rPr>
          <w:rFonts w:ascii="仿宋" w:hAnsi="仿宋" w:eastAsia="仿宋" w:cs="仿宋"/>
          <w:sz w:val="32"/>
          <w:szCs w:val="32"/>
        </w:rPr>
      </w:pPr>
      <w:r>
        <w:rPr>
          <w:rFonts w:hint="eastAsia" w:ascii="仿宋" w:hAnsi="仿宋" w:eastAsia="仿宋" w:cs="仿宋"/>
          <w:sz w:val="32"/>
          <w:szCs w:val="32"/>
        </w:rPr>
        <w:t>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widowControl/>
        <w:spacing w:line="360" w:lineRule="auto"/>
        <w:ind w:firstLine="640"/>
        <w:jc w:val="left"/>
        <w:rPr>
          <w:rFonts w:eastAsia="仿宋"/>
          <w:sz w:val="32"/>
          <w:szCs w:val="32"/>
        </w:rPr>
      </w:pPr>
      <w:r>
        <w:rPr>
          <w:rFonts w:ascii="仿宋" w:hAnsi="仿宋" w:eastAsia="仿宋" w:cs="仿宋"/>
          <w:color w:val="000000"/>
          <w:kern w:val="0"/>
          <w:sz w:val="32"/>
          <w:szCs w:val="32"/>
          <w:lang w:bidi="ar"/>
        </w:rPr>
        <w:t xml:space="preserve">2.“三公经费” </w:t>
      </w:r>
      <w:r>
        <w:rPr>
          <w:rFonts w:hint="eastAsia" w:ascii="仿宋" w:hAnsi="仿宋" w:eastAsia="仿宋" w:cs="仿宋"/>
          <w:color w:val="000000"/>
          <w:kern w:val="0"/>
          <w:sz w:val="32"/>
          <w:szCs w:val="32"/>
          <w:lang w:eastAsia="zh-CN" w:bidi="ar"/>
        </w:rPr>
        <w:t>：</w:t>
      </w:r>
      <w:r>
        <w:rPr>
          <w:rFonts w:ascii="仿宋" w:hAnsi="仿宋" w:eastAsia="仿宋" w:cs="仿宋"/>
          <w:color w:val="000000"/>
          <w:kern w:val="0"/>
          <w:sz w:val="32"/>
          <w:szCs w:val="32"/>
          <w:lang w:bidi="ar"/>
        </w:rPr>
        <w:t>指用财政拨款安排的因公出国（境）费、公务用车购置及运行费和公务</w:t>
      </w:r>
      <w:r>
        <w:rPr>
          <w:rFonts w:hint="eastAsia" w:ascii="仿宋" w:hAnsi="仿宋" w:eastAsia="仿宋" w:cs="仿宋"/>
          <w:color w:val="000000"/>
          <w:kern w:val="0"/>
          <w:sz w:val="32"/>
          <w:szCs w:val="32"/>
          <w:lang w:bidi="ar"/>
        </w:rPr>
        <w:t>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 等支出；公务接待费反映单位按规定开支的各类公务接待支出。</w:t>
      </w:r>
    </w:p>
    <w:p>
      <w:pPr>
        <w:pStyle w:val="2"/>
        <w:ind w:firstLine="0" w:firstLineChars="0"/>
        <w:rPr>
          <w:sz w:val="32"/>
          <w:szCs w:val="32"/>
        </w:rPr>
      </w:pPr>
      <w:r>
        <w:rPr>
          <w:rFonts w:hint="eastAsia"/>
        </w:rPr>
        <w:t>　　　　</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C09F8025"/>
    <w:multiLevelType w:val="singleLevel"/>
    <w:tmpl w:val="C09F8025"/>
    <w:lvl w:ilvl="0" w:tentative="0">
      <w:start w:val="1"/>
      <w:numFmt w:val="decimal"/>
      <w:lvlText w:val="%1."/>
      <w:lvlJc w:val="left"/>
      <w:pPr>
        <w:tabs>
          <w:tab w:val="left" w:pos="312"/>
        </w:tabs>
      </w:p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277E4D96"/>
    <w:multiLevelType w:val="multilevel"/>
    <w:tmpl w:val="277E4D96"/>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 w:name="KSO_WPS_MARK_KEY" w:val="a37e4a6c-8ba6-450b-b8e4-326ce9e9af11"/>
  </w:docVars>
  <w:rsids>
    <w:rsidRoot w:val="1ED0381D"/>
    <w:rsid w:val="00CD216D"/>
    <w:rsid w:val="00D70262"/>
    <w:rsid w:val="00FD6317"/>
    <w:rsid w:val="018F2D13"/>
    <w:rsid w:val="02953D9A"/>
    <w:rsid w:val="03791D26"/>
    <w:rsid w:val="0466605A"/>
    <w:rsid w:val="04F35073"/>
    <w:rsid w:val="0540469B"/>
    <w:rsid w:val="061D2748"/>
    <w:rsid w:val="06D7231D"/>
    <w:rsid w:val="06DD7EC9"/>
    <w:rsid w:val="06E96BF0"/>
    <w:rsid w:val="070153BC"/>
    <w:rsid w:val="075D6C6A"/>
    <w:rsid w:val="0773304F"/>
    <w:rsid w:val="089D1D43"/>
    <w:rsid w:val="0A653AEA"/>
    <w:rsid w:val="0AAB1747"/>
    <w:rsid w:val="0B473936"/>
    <w:rsid w:val="0B820553"/>
    <w:rsid w:val="0B8A1B09"/>
    <w:rsid w:val="0BF22322"/>
    <w:rsid w:val="0C805687"/>
    <w:rsid w:val="0CB832EC"/>
    <w:rsid w:val="0D053BAB"/>
    <w:rsid w:val="0D594F94"/>
    <w:rsid w:val="0E1F698E"/>
    <w:rsid w:val="0FA9052D"/>
    <w:rsid w:val="10163FB4"/>
    <w:rsid w:val="10A536CA"/>
    <w:rsid w:val="110079DA"/>
    <w:rsid w:val="12B55B02"/>
    <w:rsid w:val="13DD192D"/>
    <w:rsid w:val="147F7E6C"/>
    <w:rsid w:val="14C3500A"/>
    <w:rsid w:val="14C85364"/>
    <w:rsid w:val="14FA613E"/>
    <w:rsid w:val="15053ED9"/>
    <w:rsid w:val="15BA67E3"/>
    <w:rsid w:val="15EB6487"/>
    <w:rsid w:val="166918D6"/>
    <w:rsid w:val="176724C1"/>
    <w:rsid w:val="18AF7F70"/>
    <w:rsid w:val="1949781E"/>
    <w:rsid w:val="1A431FF4"/>
    <w:rsid w:val="1B746107"/>
    <w:rsid w:val="1CD64124"/>
    <w:rsid w:val="1E0072C5"/>
    <w:rsid w:val="1E1E7AD2"/>
    <w:rsid w:val="1EAD077B"/>
    <w:rsid w:val="1ED0381D"/>
    <w:rsid w:val="20A00118"/>
    <w:rsid w:val="20FE50B8"/>
    <w:rsid w:val="210F400E"/>
    <w:rsid w:val="229A281A"/>
    <w:rsid w:val="2383657E"/>
    <w:rsid w:val="23F45765"/>
    <w:rsid w:val="242E73FF"/>
    <w:rsid w:val="246C5345"/>
    <w:rsid w:val="24AB40AF"/>
    <w:rsid w:val="24FC6952"/>
    <w:rsid w:val="26CC76FD"/>
    <w:rsid w:val="272308AF"/>
    <w:rsid w:val="27D16F92"/>
    <w:rsid w:val="28064C78"/>
    <w:rsid w:val="28210BF8"/>
    <w:rsid w:val="2864072E"/>
    <w:rsid w:val="29A20B75"/>
    <w:rsid w:val="2A3E38E1"/>
    <w:rsid w:val="2BF2458F"/>
    <w:rsid w:val="2CF11CCA"/>
    <w:rsid w:val="2F3B562F"/>
    <w:rsid w:val="2FC8494E"/>
    <w:rsid w:val="30123D46"/>
    <w:rsid w:val="314B37FB"/>
    <w:rsid w:val="31B733F7"/>
    <w:rsid w:val="35154B6B"/>
    <w:rsid w:val="36116BD5"/>
    <w:rsid w:val="38497295"/>
    <w:rsid w:val="384A7212"/>
    <w:rsid w:val="385D1A98"/>
    <w:rsid w:val="38F70388"/>
    <w:rsid w:val="392C0A3B"/>
    <w:rsid w:val="3A4434B4"/>
    <w:rsid w:val="3A562883"/>
    <w:rsid w:val="3B055E9C"/>
    <w:rsid w:val="3BEA14FB"/>
    <w:rsid w:val="3C321D68"/>
    <w:rsid w:val="3CCE010B"/>
    <w:rsid w:val="3D28036F"/>
    <w:rsid w:val="3D8407DF"/>
    <w:rsid w:val="3DFF32ED"/>
    <w:rsid w:val="3F503091"/>
    <w:rsid w:val="3F6E48C1"/>
    <w:rsid w:val="4008265B"/>
    <w:rsid w:val="41851E44"/>
    <w:rsid w:val="41B932E9"/>
    <w:rsid w:val="420B5D06"/>
    <w:rsid w:val="4248700C"/>
    <w:rsid w:val="45F01209"/>
    <w:rsid w:val="465670F7"/>
    <w:rsid w:val="471D22FA"/>
    <w:rsid w:val="472B48D8"/>
    <w:rsid w:val="4741375D"/>
    <w:rsid w:val="47C702DF"/>
    <w:rsid w:val="48422B9F"/>
    <w:rsid w:val="487D22D8"/>
    <w:rsid w:val="488947B6"/>
    <w:rsid w:val="49AF3F09"/>
    <w:rsid w:val="4DC41D36"/>
    <w:rsid w:val="4EFE7F61"/>
    <w:rsid w:val="4FB64197"/>
    <w:rsid w:val="50560E79"/>
    <w:rsid w:val="50572E30"/>
    <w:rsid w:val="51AA26CF"/>
    <w:rsid w:val="51AA5E26"/>
    <w:rsid w:val="52324C02"/>
    <w:rsid w:val="52C93A96"/>
    <w:rsid w:val="531A3416"/>
    <w:rsid w:val="538C5F53"/>
    <w:rsid w:val="54474AB6"/>
    <w:rsid w:val="5582405A"/>
    <w:rsid w:val="55DF0024"/>
    <w:rsid w:val="56051C6B"/>
    <w:rsid w:val="563F4648"/>
    <w:rsid w:val="57C07DEE"/>
    <w:rsid w:val="58E07126"/>
    <w:rsid w:val="58FE3115"/>
    <w:rsid w:val="592D7B67"/>
    <w:rsid w:val="598002BB"/>
    <w:rsid w:val="59D947AF"/>
    <w:rsid w:val="59F96CB8"/>
    <w:rsid w:val="5BD23E00"/>
    <w:rsid w:val="5BF47018"/>
    <w:rsid w:val="5C653576"/>
    <w:rsid w:val="5E5C14C1"/>
    <w:rsid w:val="5E6F51D8"/>
    <w:rsid w:val="5F635E4B"/>
    <w:rsid w:val="60404B5F"/>
    <w:rsid w:val="6134696F"/>
    <w:rsid w:val="616A3925"/>
    <w:rsid w:val="61EE3D1B"/>
    <w:rsid w:val="621D04B1"/>
    <w:rsid w:val="62460F4D"/>
    <w:rsid w:val="62582C3F"/>
    <w:rsid w:val="627961C0"/>
    <w:rsid w:val="62A2792B"/>
    <w:rsid w:val="62A365B5"/>
    <w:rsid w:val="62ED3A52"/>
    <w:rsid w:val="632A5318"/>
    <w:rsid w:val="65B7439B"/>
    <w:rsid w:val="66607F61"/>
    <w:rsid w:val="67606C1C"/>
    <w:rsid w:val="676942F4"/>
    <w:rsid w:val="682E1133"/>
    <w:rsid w:val="682F00C6"/>
    <w:rsid w:val="68EA113C"/>
    <w:rsid w:val="699E67D8"/>
    <w:rsid w:val="69B23FEC"/>
    <w:rsid w:val="69E141D5"/>
    <w:rsid w:val="69F87A79"/>
    <w:rsid w:val="6C540332"/>
    <w:rsid w:val="6DBE3A60"/>
    <w:rsid w:val="6E8A04A9"/>
    <w:rsid w:val="6F3075D5"/>
    <w:rsid w:val="6F5403ED"/>
    <w:rsid w:val="71A236EE"/>
    <w:rsid w:val="73843559"/>
    <w:rsid w:val="75AC088F"/>
    <w:rsid w:val="76590D5F"/>
    <w:rsid w:val="777C610E"/>
    <w:rsid w:val="77AD3FB4"/>
    <w:rsid w:val="781B6398"/>
    <w:rsid w:val="7839395D"/>
    <w:rsid w:val="783B2648"/>
    <w:rsid w:val="788B613B"/>
    <w:rsid w:val="78935A62"/>
    <w:rsid w:val="7920167B"/>
    <w:rsid w:val="7A3E4F09"/>
    <w:rsid w:val="7BA35C92"/>
    <w:rsid w:val="7BF11232"/>
    <w:rsid w:val="7CE442E1"/>
    <w:rsid w:val="7CEE0D2E"/>
    <w:rsid w:val="7CF76871"/>
    <w:rsid w:val="7D804F3A"/>
    <w:rsid w:val="7E2B2CA4"/>
    <w:rsid w:val="7E791462"/>
    <w:rsid w:val="7F5446E0"/>
    <w:rsid w:val="7F66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rPr>
      <w:rFonts w:ascii="Calibri" w:hAnsi="Calibri"/>
      <w:sz w:val="16"/>
      <w:szCs w:val="16"/>
    </w:rPr>
  </w:style>
  <w:style w:type="paragraph" w:styleId="3">
    <w:name w:val="footer"/>
    <w:basedOn w:val="1"/>
    <w:link w:val="8"/>
    <w:uiPriority w:val="0"/>
    <w:pPr>
      <w:tabs>
        <w:tab w:val="center" w:pos="4153"/>
        <w:tab w:val="right" w:pos="8306"/>
      </w:tabs>
      <w:snapToGrid w:val="0"/>
      <w:spacing w:line="240" w:lineRule="atLeast"/>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 w:type="paragraph" w:styleId="9">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人员结构</a:t>
            </a:r>
            <a:endParaRPr lang="zh-CN" altLang="en-US" b="1">
              <a:latin typeface="黑体" panose="02010609060101010101" charset="-122"/>
              <a:ea typeface="黑体" panose="02010609060101010101" charset="-122"/>
            </a:endParaRPr>
          </a:p>
        </c:rich>
      </c:tx>
      <c:layout>
        <c:manualLayout>
          <c:xMode val="edge"/>
          <c:yMode val="edge"/>
          <c:x val="0.4567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编制人数</c:v>
                </c:pt>
              </c:strCache>
            </c:strRef>
          </c:tx>
          <c:spPr>
            <a:gradFill>
              <a:gsLst>
                <a:gs pos="0">
                  <a:srgbClr val="14CD68"/>
                </a:gs>
                <a:gs pos="100000">
                  <a:srgbClr val="035C7D"/>
                </a:gs>
              </a:gsLst>
              <a:lin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在职人员</c:v>
                </c:pt>
                <c:pt idx="1">
                  <c:v>退休人员</c:v>
                </c:pt>
              </c:strCache>
            </c:strRef>
          </c:cat>
          <c:val>
            <c:numRef>
              <c:f>Sheet1!$B$2:$B$5</c:f>
              <c:numCache>
                <c:formatCode>General</c:formatCode>
                <c:ptCount val="4"/>
                <c:pt idx="0">
                  <c:v>20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在职人员</c:v>
                </c:pt>
                <c:pt idx="1">
                  <c:v>退休人员</c:v>
                </c:pt>
              </c:strCache>
            </c:strRef>
          </c:cat>
          <c:val>
            <c:numRef>
              <c:f>Sheet1!$C$2:$C$5</c:f>
              <c:numCache>
                <c:formatCode>General</c:formatCode>
                <c:ptCount val="4"/>
              </c:numCache>
            </c:numRef>
          </c:val>
        </c:ser>
        <c:ser>
          <c:idx val="2"/>
          <c:order val="2"/>
          <c:tx>
            <c:strRef>
              <c:f>Sheet1!$D$1</c:f>
              <c:strCache>
                <c:ptCount val="1"/>
                <c:pt idx="0">
                  <c:v>实有人数</c:v>
                </c:pt>
              </c:strCache>
            </c:strRef>
          </c:tx>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在职人员</c:v>
                </c:pt>
                <c:pt idx="1">
                  <c:v>退休人员</c:v>
                </c:pt>
              </c:strCache>
            </c:strRef>
          </c:cat>
          <c:val>
            <c:numRef>
              <c:f>Sheet1!$D$2:$D$5</c:f>
              <c:numCache>
                <c:formatCode>General</c:formatCode>
                <c:ptCount val="4"/>
                <c:pt idx="0">
                  <c:v>20</c:v>
                </c:pt>
                <c:pt idx="1">
                  <c:v>2</c:v>
                </c:pt>
              </c:numCache>
            </c:numRef>
          </c:val>
        </c:ser>
        <c:dLbls>
          <c:showLegendKey val="0"/>
          <c:showVal val="0"/>
          <c:showCatName val="0"/>
          <c:showSerName val="0"/>
          <c:showPercent val="0"/>
          <c:showBubbleSize val="0"/>
        </c:dLbls>
        <c:gapWidth val="219"/>
        <c:overlap val="-27"/>
        <c:axId val="208031895"/>
        <c:axId val="731413280"/>
      </c:barChart>
      <c:catAx>
        <c:axId val="20803189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413280"/>
        <c:crosses val="autoZero"/>
        <c:auto val="1"/>
        <c:lblAlgn val="ctr"/>
        <c:lblOffset val="100"/>
        <c:noMultiLvlLbl val="0"/>
      </c:catAx>
      <c:valAx>
        <c:axId val="73141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0318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一般公共预算财政拨款支出情况</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manualLayout>
          <c:layoutTarget val="inner"/>
          <c:xMode val="edge"/>
          <c:yMode val="edge"/>
          <c:x val="0.043575"/>
          <c:y val="0.152"/>
          <c:w val="0.905175"/>
          <c:h val="0.7169"/>
        </c:manualLayout>
      </c:layout>
      <c:barChart>
        <c:barDir val="col"/>
        <c:grouping val="stacked"/>
        <c:varyColors val="0"/>
        <c:ser>
          <c:idx val="0"/>
          <c:order val="0"/>
          <c:tx>
            <c:strRef>
              <c:f>Sheet1!$B$1</c:f>
              <c:strCache>
                <c:ptCount val="1"/>
                <c:pt idx="0">
                  <c:v>财政拨款支出（万元）</c:v>
                </c:pt>
              </c:strCache>
            </c:strRef>
          </c:tx>
          <c:spPr>
            <a:solidFill>
              <a:srgbClr val="FF0000"/>
            </a:solidFill>
            <a:ln>
              <a:noFill/>
            </a:ln>
            <a:effectLst/>
          </c:spPr>
          <c:invertIfNegative val="0"/>
          <c:dPt>
            <c:idx val="1"/>
            <c:invertIfNegative val="0"/>
            <c:bubble3D val="0"/>
            <c:spPr>
              <a:gradFill>
                <a:gsLst>
                  <a:gs pos="0">
                    <a:srgbClr val="14CD68"/>
                  </a:gs>
                  <a:gs pos="100000">
                    <a:srgbClr val="0B6E38"/>
                  </a:gs>
                </a:gsLst>
                <a:lin scaled="0"/>
              </a:gradFill>
              <a:ln>
                <a:noFill/>
              </a:ln>
              <a:effectLst/>
            </c:spPr>
          </c:dPt>
          <c:dLbls>
            <c:dLbl>
              <c:idx val="0"/>
              <c:layout>
                <c:manualLayout>
                  <c:x val="0.016875"/>
                  <c:y val="-0.35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75"/>
                  <c:y val="-0.36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179.9</c:v>
                </c:pt>
                <c:pt idx="1">
                  <c:v>246.23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2022年</c:v>
                </c:pt>
                <c:pt idx="1">
                  <c:v>2023年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c:v>
                </c:pt>
                <c:pt idx="1">
                  <c:v>2023年</c:v>
                </c:pt>
              </c:strCache>
            </c:strRef>
          </c:cat>
          <c:val>
            <c:numRef>
              <c:f>Sheet1!$D$3:$D$5</c:f>
              <c:numCache>
                <c:formatCode>General</c:formatCode>
                <c:ptCount val="3"/>
              </c:numCache>
            </c:numRef>
          </c:val>
        </c:ser>
        <c:dLbls>
          <c:showLegendKey val="0"/>
          <c:showVal val="0"/>
          <c:showCatName val="0"/>
          <c:showSerName val="0"/>
          <c:showPercent val="0"/>
          <c:showBubbleSize val="0"/>
        </c:dLbls>
        <c:gapWidth val="150"/>
        <c:overlap val="100"/>
        <c:axId val="790272204"/>
        <c:axId val="514017549"/>
      </c:barChart>
      <c:catAx>
        <c:axId val="7902722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4017549"/>
        <c:crosses val="autoZero"/>
        <c:auto val="1"/>
        <c:lblAlgn val="ctr"/>
        <c:lblOffset val="100"/>
        <c:noMultiLvlLbl val="0"/>
      </c:catAx>
      <c:valAx>
        <c:axId val="5140175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2722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支出功能分类明细情况</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spPr>
            <a:solidFill>
              <a:srgbClr val="00B05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事业运行（万元）</c:v>
                </c:pt>
                <c:pt idx="1">
                  <c:v>养老保险配套（万元）</c:v>
                </c:pt>
                <c:pt idx="2">
                  <c:v>事业单位医疗（万元）</c:v>
                </c:pt>
                <c:pt idx="3">
                  <c:v>住房公积金（万元）</c:v>
                </c:pt>
                <c:pt idx="4">
                  <c:v>国库支付业务(万元）</c:v>
                </c:pt>
              </c:strCache>
            </c:strRef>
          </c:cat>
          <c:val>
            <c:numRef>
              <c:f>Sheet1!$B$2:$B$6</c:f>
              <c:numCache>
                <c:formatCode>General</c:formatCode>
                <c:ptCount val="5"/>
                <c:pt idx="0">
                  <c:v>0</c:v>
                </c:pt>
                <c:pt idx="1">
                  <c:v>15.1</c:v>
                </c:pt>
                <c:pt idx="2">
                  <c:v>7.4</c:v>
                </c:pt>
                <c:pt idx="3">
                  <c:v>0</c:v>
                </c:pt>
                <c:pt idx="4">
                  <c:v>157.4</c:v>
                </c:pt>
              </c:numCache>
            </c:numRef>
          </c:val>
        </c:ser>
        <c:ser>
          <c:idx val="1"/>
          <c:order val="1"/>
          <c:spPr>
            <a:solidFill>
              <a:schemeClr val="accent2"/>
            </a:solidFill>
            <a:ln>
              <a:noFill/>
            </a:ln>
            <a:effectLst/>
          </c:spPr>
          <c:invertIfNegative val="0"/>
          <c:dLbls>
            <c:delete val="1"/>
          </c:dLbls>
          <c:cat>
            <c:strRef>
              <c:f>Sheet1!$A$2:$A$6</c:f>
              <c:strCache>
                <c:ptCount val="5"/>
                <c:pt idx="0">
                  <c:v>事业运行（万元）</c:v>
                </c:pt>
                <c:pt idx="1">
                  <c:v>养老保险配套（万元）</c:v>
                </c:pt>
                <c:pt idx="2">
                  <c:v>事业单位医疗（万元）</c:v>
                </c:pt>
                <c:pt idx="3">
                  <c:v>住房公积金（万元）</c:v>
                </c:pt>
                <c:pt idx="4">
                  <c:v>国库支付业务(万元）</c:v>
                </c:pt>
              </c:strCache>
            </c:strRef>
          </c:cat>
          <c:val>
            <c:numRef>
              <c:f>Sheet1!$C$2:$C$6</c:f>
              <c:numCache>
                <c:formatCode>General</c:formatCode>
                <c:ptCount val="5"/>
              </c:numCache>
            </c:numRef>
          </c:val>
        </c:ser>
        <c:ser>
          <c:idx val="2"/>
          <c:order val="2"/>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事业运行（万元）</c:v>
                </c:pt>
                <c:pt idx="1">
                  <c:v>养老保险配套（万元）</c:v>
                </c:pt>
                <c:pt idx="2">
                  <c:v>事业单位医疗（万元）</c:v>
                </c:pt>
                <c:pt idx="3">
                  <c:v>住房公积金（万元）</c:v>
                </c:pt>
                <c:pt idx="4">
                  <c:v>国库支付业务(万元）</c:v>
                </c:pt>
              </c:strCache>
            </c:strRef>
          </c:cat>
          <c:val>
            <c:numRef>
              <c:f>Sheet1!$D$2:$D$6</c:f>
              <c:numCache>
                <c:formatCode>General</c:formatCode>
                <c:ptCount val="5"/>
                <c:pt idx="0">
                  <c:v>166.85</c:v>
                </c:pt>
                <c:pt idx="1">
                  <c:v>22.38</c:v>
                </c:pt>
                <c:pt idx="2">
                  <c:v>11.03</c:v>
                </c:pt>
                <c:pt idx="3">
                  <c:v>16.97</c:v>
                </c:pt>
                <c:pt idx="4">
                  <c:v>29</c:v>
                </c:pt>
              </c:numCache>
            </c:numRef>
          </c:val>
        </c:ser>
        <c:dLbls>
          <c:showLegendKey val="0"/>
          <c:showVal val="0"/>
          <c:showCatName val="0"/>
          <c:showSerName val="0"/>
          <c:showPercent val="0"/>
          <c:showBubbleSize val="0"/>
        </c:dLbls>
        <c:gapWidth val="219"/>
        <c:overlap val="-27"/>
        <c:axId val="530681512"/>
        <c:axId val="585991958"/>
      </c:barChart>
      <c:catAx>
        <c:axId val="530681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991958"/>
        <c:crosses val="autoZero"/>
        <c:auto val="1"/>
        <c:lblAlgn val="ctr"/>
        <c:lblOffset val="100"/>
        <c:noMultiLvlLbl val="0"/>
      </c:catAx>
      <c:valAx>
        <c:axId val="5859919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681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经济科目分类明细情况</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manualLayout>
          <c:layoutTarget val="inner"/>
          <c:xMode val="edge"/>
          <c:yMode val="edge"/>
          <c:x val="0.06345"/>
          <c:y val="0.1245"/>
          <c:w val="0.91655"/>
          <c:h val="0.7169"/>
        </c:manualLayout>
      </c:layout>
      <c:barChart>
        <c:barDir val="col"/>
        <c:grouping val="clustered"/>
        <c:varyColors val="0"/>
        <c:ser>
          <c:idx val="0"/>
          <c:order val="0"/>
          <c:tx>
            <c:strRef>
              <c:f>Sheet1!$B$1</c:f>
              <c:strCache>
                <c:ptCount val="1"/>
                <c:pt idx="0">
                  <c:v>2022年</c:v>
                </c:pt>
              </c:strCache>
            </c:strRef>
          </c:tx>
          <c:spPr>
            <a:gradFill>
              <a:gsLst>
                <a:gs pos="0">
                  <a:srgbClr val="14CD68"/>
                </a:gs>
                <a:gs pos="100000">
                  <a:srgbClr val="035C7D"/>
                </a:gs>
              </a:gsLst>
              <a:lin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工资及福利支出</c:v>
                </c:pt>
                <c:pt idx="1">
                  <c:v>商品服务支出</c:v>
                </c:pt>
                <c:pt idx="2">
                  <c:v>对个人和家庭补助支出</c:v>
                </c:pt>
              </c:strCache>
            </c:strRef>
          </c:cat>
          <c:val>
            <c:numRef>
              <c:f>Sheet1!$B$2:$B$5</c:f>
              <c:numCache>
                <c:formatCode>General</c:formatCode>
                <c:ptCount val="4"/>
                <c:pt idx="0">
                  <c:v>135.95</c:v>
                </c:pt>
                <c:pt idx="1">
                  <c:v>40.12</c:v>
                </c:pt>
                <c:pt idx="2">
                  <c:v>3.83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工资及福利支出</c:v>
                </c:pt>
                <c:pt idx="1">
                  <c:v>商品服务支出</c:v>
                </c:pt>
                <c:pt idx="2">
                  <c:v>对个人和家庭补助支出</c:v>
                </c:pt>
              </c:strCache>
            </c:strRef>
          </c:cat>
          <c:val>
            <c:numRef>
              <c:f>Sheet1!$C$2:$C$5</c:f>
              <c:numCache>
                <c:formatCode>General</c:formatCode>
                <c:ptCount val="4"/>
              </c:numCache>
            </c:numRef>
          </c:val>
        </c:ser>
        <c:ser>
          <c:idx val="2"/>
          <c:order val="2"/>
          <c:tx>
            <c:strRef>
              <c:f>Sheet1!$D$1</c:f>
              <c:strCache>
                <c:ptCount val="1"/>
                <c:pt idx="0">
                  <c:v>2023年</c:v>
                </c:pt>
              </c:strCache>
            </c:strRef>
          </c:tx>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工资及福利支出</c:v>
                </c:pt>
                <c:pt idx="1">
                  <c:v>商品服务支出</c:v>
                </c:pt>
                <c:pt idx="2">
                  <c:v>对个人和家庭补助支出</c:v>
                </c:pt>
              </c:strCache>
            </c:strRef>
          </c:cat>
          <c:val>
            <c:numRef>
              <c:f>Sheet1!$D$2:$D$5</c:f>
              <c:numCache>
                <c:formatCode>General</c:formatCode>
                <c:ptCount val="4"/>
                <c:pt idx="0">
                  <c:v>205.16</c:v>
                </c:pt>
                <c:pt idx="1">
                  <c:v>40.88</c:v>
                </c:pt>
                <c:pt idx="2">
                  <c:v>0.19</c:v>
                </c:pt>
              </c:numCache>
            </c:numRef>
          </c:val>
        </c:ser>
        <c:dLbls>
          <c:showLegendKey val="0"/>
          <c:showVal val="0"/>
          <c:showCatName val="0"/>
          <c:showSerName val="0"/>
          <c:showPercent val="0"/>
          <c:showBubbleSize val="0"/>
        </c:dLbls>
        <c:gapWidth val="219"/>
        <c:overlap val="-27"/>
        <c:axId val="412375304"/>
        <c:axId val="929153116"/>
      </c:barChart>
      <c:catAx>
        <c:axId val="4123753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9153116"/>
        <c:crosses val="autoZero"/>
        <c:auto val="1"/>
        <c:lblAlgn val="ctr"/>
        <c:lblOffset val="100"/>
        <c:noMultiLvlLbl val="0"/>
      </c:catAx>
      <c:valAx>
        <c:axId val="9291531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3753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政府预算支出经济分类</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对事业单位经常性补助</c:v>
                </c:pt>
                <c:pt idx="2">
                  <c:v>对个人和家庭的补助</c:v>
                </c:pt>
              </c:strCache>
            </c:strRef>
          </c:cat>
          <c:val>
            <c:numRef>
              <c:f>Sheet1!$B$2:$B$5</c:f>
              <c:numCache>
                <c:formatCode>General</c:formatCode>
                <c:ptCount val="4"/>
                <c:pt idx="0">
                  <c:v>176.07</c:v>
                </c:pt>
                <c:pt idx="2">
                  <c:v>3.83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对事业单位经常性补助</c:v>
                </c:pt>
                <c:pt idx="2">
                  <c:v>对个人和家庭的补助</c:v>
                </c:pt>
              </c:strCache>
            </c:strRef>
          </c:cat>
          <c:val>
            <c:numRef>
              <c:f>Sheet1!$C$2:$C$5</c:f>
              <c:numCache>
                <c:formatCode>General</c:formatCode>
                <c:ptCount val="4"/>
              </c:numCache>
            </c:numRef>
          </c:val>
        </c:ser>
        <c:ser>
          <c:idx val="2"/>
          <c:order val="2"/>
          <c:tx>
            <c:strRef>
              <c:f>Sheet1!$D$1</c:f>
              <c:strCache>
                <c:ptCount val="1"/>
                <c:pt idx="0">
                  <c:v>2023年</c:v>
                </c:pt>
              </c:strCache>
            </c:strRef>
          </c:tx>
          <c:spPr>
            <a:solidFill>
              <a:srgbClr val="00B05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对事业单位经常性补助</c:v>
                </c:pt>
                <c:pt idx="2">
                  <c:v>对个人和家庭的补助</c:v>
                </c:pt>
              </c:strCache>
            </c:strRef>
          </c:cat>
          <c:val>
            <c:numRef>
              <c:f>Sheet1!$D$2:$D$5</c:f>
              <c:numCache>
                <c:formatCode>General</c:formatCode>
                <c:ptCount val="4"/>
                <c:pt idx="0">
                  <c:v>246.04</c:v>
                </c:pt>
                <c:pt idx="2">
                  <c:v>0.19</c:v>
                </c:pt>
              </c:numCache>
            </c:numRef>
          </c:val>
        </c:ser>
        <c:dLbls>
          <c:showLegendKey val="0"/>
          <c:showVal val="0"/>
          <c:showCatName val="0"/>
          <c:showSerName val="0"/>
          <c:showPercent val="0"/>
          <c:showBubbleSize val="0"/>
        </c:dLbls>
        <c:gapWidth val="219"/>
        <c:overlap val="-27"/>
        <c:axId val="721746647"/>
        <c:axId val="473782734"/>
      </c:barChart>
      <c:catAx>
        <c:axId val="72174664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782734"/>
        <c:crosses val="autoZero"/>
        <c:auto val="1"/>
        <c:lblAlgn val="ctr"/>
        <c:lblOffset val="100"/>
        <c:noMultiLvlLbl val="0"/>
      </c:catAx>
      <c:valAx>
        <c:axId val="4737827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7466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3436</Words>
  <Characters>3812</Characters>
  <Lines>28</Lines>
  <Paragraphs>7</Paragraphs>
  <TotalTime>1</TotalTime>
  <ScaleCrop>false</ScaleCrop>
  <LinksUpToDate>false</LinksUpToDate>
  <CharactersWithSpaces>3875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2023-04-26T03:50:56Z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