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紫阳县财政局</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一、单位主要职责及机构设置</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sz w:val="32"/>
          <w:szCs w:val="32"/>
        </w:rPr>
        <w:t>1.贯彻执行国家财政政策，拟订本县财政发展规划、政策和改革方案并组织实施。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2.拟订本县财政、财务、会计管理等方面的规范性文件并督促落实。</w:t>
      </w:r>
      <w:r>
        <w:rPr>
          <w:rFonts w:hint="eastAsia" w:ascii="仿宋" w:hAnsi="仿宋" w:eastAsia="仿宋" w:cs="仿宋"/>
          <w:sz w:val="32"/>
          <w:szCs w:val="32"/>
        </w:rPr>
        <w:br w:type="textWrapping"/>
      </w:r>
      <w:r>
        <w:rPr>
          <w:rFonts w:hint="eastAsia" w:ascii="仿宋" w:hAnsi="仿宋" w:eastAsia="仿宋" w:cs="仿宋"/>
          <w:sz w:val="32"/>
          <w:szCs w:val="32"/>
        </w:rPr>
        <w:t xml:space="preserve">    3.负责全县财政收支管理。负责编制年度财政预决算草案并组织执行。受县政府委托，向县人民代表大会报告全县年度财政预算及其执行情况，向县人民代表大会常务委员会报告预算调整、年度决算及其他重大财政事项。组织制订本县经费开支标准、定额，负责审核批复单位、单位的年度预决算。</w:t>
      </w:r>
      <w:r>
        <w:rPr>
          <w:rFonts w:hint="eastAsia" w:ascii="仿宋" w:hAnsi="仿宋" w:eastAsia="仿宋" w:cs="仿宋"/>
          <w:sz w:val="32"/>
          <w:szCs w:val="32"/>
        </w:rPr>
        <w:br w:type="textWrapping"/>
      </w:r>
      <w:r>
        <w:rPr>
          <w:rFonts w:hint="eastAsia" w:ascii="仿宋" w:hAnsi="仿宋" w:eastAsia="仿宋" w:cs="仿宋"/>
          <w:sz w:val="32"/>
          <w:szCs w:val="32"/>
        </w:rPr>
        <w:t xml:space="preserve">    4.负责政府非税收入管理，按规定管理行政事业性收费、政府性基金和其他非税收入。管理财政票据。按规定管理上级下达的彩票公益金。</w:t>
      </w:r>
      <w:r>
        <w:rPr>
          <w:rFonts w:hint="eastAsia" w:ascii="仿宋" w:hAnsi="仿宋" w:eastAsia="仿宋" w:cs="仿宋"/>
          <w:sz w:val="32"/>
          <w:szCs w:val="32"/>
        </w:rPr>
        <w:br w:type="textWrapping"/>
      </w:r>
      <w:r>
        <w:rPr>
          <w:rFonts w:hint="eastAsia" w:ascii="仿宋" w:hAnsi="仿宋" w:eastAsia="仿宋" w:cs="仿宋"/>
          <w:sz w:val="32"/>
          <w:szCs w:val="32"/>
        </w:rPr>
        <w:t xml:space="preserve">    5.组织制定全县国库管理制度、国库集中收付制度，指导和监督全县国库业务，按规定开展国库现金管理工作。负责制定政府采购制度并监督管理。</w:t>
      </w:r>
      <w:r>
        <w:rPr>
          <w:rFonts w:hint="eastAsia" w:ascii="仿宋" w:hAnsi="仿宋" w:eastAsia="仿宋" w:cs="仿宋"/>
          <w:sz w:val="32"/>
          <w:szCs w:val="32"/>
        </w:rPr>
        <w:br w:type="textWrapping"/>
      </w:r>
      <w:r>
        <w:rPr>
          <w:rFonts w:hint="eastAsia" w:ascii="仿宋" w:hAnsi="仿宋" w:eastAsia="仿宋" w:cs="仿宋"/>
          <w:sz w:val="32"/>
          <w:szCs w:val="32"/>
        </w:rPr>
        <w:t xml:space="preserve">    6.负责审核和汇总编制全县国有资本经营预决算草案，收取县本级国有资本收益。组织实施企业财务制度，拟订并执行企业财务管理相关制度。</w:t>
      </w:r>
      <w:r>
        <w:rPr>
          <w:rFonts w:hint="eastAsia" w:ascii="仿宋" w:hAnsi="仿宋" w:eastAsia="仿宋" w:cs="仿宋"/>
          <w:sz w:val="32"/>
          <w:szCs w:val="32"/>
        </w:rPr>
        <w:br w:type="textWrapping"/>
      </w:r>
      <w:r>
        <w:rPr>
          <w:rFonts w:hint="eastAsia" w:ascii="仿宋" w:hAnsi="仿宋" w:eastAsia="仿宋" w:cs="仿宋"/>
          <w:sz w:val="32"/>
          <w:szCs w:val="32"/>
        </w:rPr>
        <w:t xml:space="preserve">    7.负责办理和监督县财政的经济发展支出、政府性投资项目的财政拨款，负责有关政策性补贴和专项储备资金财政管理工作。负责全县农业综合开发资金管理。</w:t>
      </w:r>
      <w:r>
        <w:rPr>
          <w:rFonts w:hint="eastAsia" w:ascii="仿宋" w:hAnsi="仿宋" w:eastAsia="仿宋" w:cs="仿宋"/>
          <w:sz w:val="32"/>
          <w:szCs w:val="32"/>
        </w:rPr>
        <w:br w:type="textWrapping"/>
      </w:r>
      <w:r>
        <w:rPr>
          <w:rFonts w:hint="eastAsia" w:ascii="仿宋" w:hAnsi="仿宋" w:eastAsia="仿宋" w:cs="仿宋"/>
          <w:sz w:val="32"/>
          <w:szCs w:val="32"/>
        </w:rPr>
        <w:t xml:space="preserve">    8.会同有关单位管理县财政社会保障和就业及医疗卫生支出，组织实施社会保障资金（基金）财务管理制度，编制社会保障预决算草案。</w:t>
      </w:r>
      <w:r>
        <w:rPr>
          <w:rFonts w:hint="eastAsia" w:ascii="仿宋" w:hAnsi="仿宋" w:eastAsia="仿宋" w:cs="仿宋"/>
          <w:sz w:val="32"/>
          <w:szCs w:val="32"/>
        </w:rPr>
        <w:br w:type="textWrapping"/>
      </w:r>
      <w:r>
        <w:rPr>
          <w:rFonts w:hint="eastAsia" w:ascii="仿宋" w:hAnsi="仿宋" w:eastAsia="仿宋" w:cs="仿宋"/>
          <w:sz w:val="32"/>
          <w:szCs w:val="32"/>
        </w:rPr>
        <w:t xml:space="preserve">    9.负责全县政府内外债务统一管理，制定全县政府性债务管理制度，防范财政风险。按规定管理外国政府和国际金融组织贷（赠）款。</w:t>
      </w:r>
      <w:r>
        <w:rPr>
          <w:rFonts w:hint="eastAsia" w:ascii="仿宋" w:hAnsi="仿宋" w:eastAsia="仿宋" w:cs="仿宋"/>
          <w:sz w:val="32"/>
          <w:szCs w:val="32"/>
        </w:rPr>
        <w:br w:type="textWrapping"/>
      </w:r>
      <w:r>
        <w:rPr>
          <w:rFonts w:hint="eastAsia" w:ascii="仿宋" w:hAnsi="仿宋" w:eastAsia="仿宋" w:cs="仿宋"/>
          <w:sz w:val="32"/>
          <w:szCs w:val="32"/>
        </w:rPr>
        <w:t xml:space="preserve">    10.负责管理全县会计工作，监督和规范会计行为，组织实施国家统一的会计制度。</w:t>
      </w:r>
      <w:r>
        <w:rPr>
          <w:rFonts w:hint="eastAsia" w:ascii="仿宋" w:hAnsi="仿宋" w:eastAsia="仿宋" w:cs="仿宋"/>
          <w:sz w:val="32"/>
          <w:szCs w:val="32"/>
        </w:rPr>
        <w:br w:type="textWrapping"/>
      </w:r>
      <w:r>
        <w:rPr>
          <w:rFonts w:hint="eastAsia" w:ascii="仿宋" w:hAnsi="仿宋" w:eastAsia="仿宋" w:cs="仿宋"/>
          <w:sz w:val="32"/>
          <w:szCs w:val="32"/>
        </w:rPr>
        <w:t xml:space="preserve">    11.监督检查财税法规、政策的执行情况，反映财政收支管理中的重大问题，提出加强财政管理的措施和建议。</w:t>
      </w:r>
      <w:r>
        <w:rPr>
          <w:rFonts w:hint="eastAsia" w:ascii="仿宋" w:hAnsi="仿宋" w:eastAsia="仿宋" w:cs="仿宋"/>
          <w:sz w:val="32"/>
          <w:szCs w:val="32"/>
        </w:rPr>
        <w:br w:type="textWrapping"/>
      </w:r>
      <w:r>
        <w:rPr>
          <w:rFonts w:hint="eastAsia" w:ascii="仿宋" w:hAnsi="仿宋" w:eastAsia="仿宋" w:cs="仿宋"/>
          <w:sz w:val="32"/>
          <w:szCs w:val="32"/>
        </w:rPr>
        <w:t xml:space="preserve">    12.承办县政府交办的其他事项。</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本单位现设有</w:t>
      </w:r>
      <w:r>
        <w:rPr>
          <w:rFonts w:hint="eastAsia" w:ascii="仿宋_GB2312" w:hAnsi="仿宋_GB2312" w:eastAsia="仿宋_GB2312" w:cs="仿宋_GB2312"/>
          <w:sz w:val="32"/>
          <w:szCs w:val="32"/>
        </w:rPr>
        <w:t>行政股</w:t>
      </w:r>
      <w:r>
        <w:rPr>
          <w:rFonts w:hint="eastAsia" w:ascii="仿宋" w:hAnsi="仿宋" w:eastAsia="仿宋" w:cs="仿宋"/>
          <w:sz w:val="32"/>
          <w:szCs w:val="32"/>
        </w:rPr>
        <w:t>、</w:t>
      </w:r>
      <w:r>
        <w:rPr>
          <w:rFonts w:hint="eastAsia" w:ascii="仿宋_GB2312" w:hAnsi="仿宋_GB2312" w:eastAsia="仿宋_GB2312" w:cs="仿宋_GB2312"/>
          <w:sz w:val="32"/>
          <w:szCs w:val="32"/>
        </w:rPr>
        <w:t>预算股、综合及会计股、行政政法教科文股、农业农村股、社会保障股、经济建设股、政府采购管理股、监督评价股</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围绕财政收支主线加强财政管理。一是密切关注中省政策走向，加强分析研判，抢抓机遇，统筹做好收入组织工作。二是继续贯彻落实各项减税降费政策，进一步降低实体经济企业负担，培植可持续增长税源，为全县经济社会事业发展提供财力保障。三是做好财政支出管理，规范预算编制程序，强化预算资金审核，确保财政资金用得更精准，加强项目资金管理，加快预算支出进度，促进资金使用更均衡。</w:t>
      </w:r>
      <w:r>
        <w:rPr>
          <w:rFonts w:hint="eastAsia" w:ascii="仿宋" w:hAnsi="仿宋" w:eastAsia="仿宋" w:cs="仿宋"/>
          <w:sz w:val="32"/>
          <w:szCs w:val="32"/>
        </w:rPr>
        <w:br w:type="textWrapping"/>
      </w:r>
      <w:r>
        <w:rPr>
          <w:rFonts w:hint="eastAsia" w:ascii="仿宋" w:hAnsi="仿宋" w:eastAsia="仿宋" w:cs="仿宋"/>
          <w:sz w:val="32"/>
          <w:szCs w:val="32"/>
        </w:rPr>
        <w:t xml:space="preserve">    （二）围绕防范重大风险做好政府债务管理。一是多措并举、综合施策，确保债务化解方案落实到位，确保隐性债务风险安全可控。二是着力加强风险源头管控，硬化预算约束。加强与相关单位配合，严格规范建设项目审批和资金管理，充分开展财政承受能力评估论证，坚决遏制无预算项目开工，同时把好项目质量关，控制超预算项目建设。三是用足用好地方政府专项债券，努力做好稳投资、补短板工作。紧盯上级政策，积极谋划专项债券项目可申报范围，不断提升专项债券项目生成能力。四是建立健全“举债必问效、无效必问责”的政府债务资金绩效管理机制，推进实施地方政府债务项目滚动管理和绩效管理，加强债务资金使用和对应项目实施情况监控，确保债券资金有效使用。</w:t>
      </w:r>
      <w:r>
        <w:rPr>
          <w:rFonts w:hint="eastAsia" w:ascii="仿宋" w:hAnsi="仿宋" w:eastAsia="仿宋" w:cs="仿宋"/>
          <w:sz w:val="32"/>
          <w:szCs w:val="32"/>
        </w:rPr>
        <w:br w:type="textWrapping"/>
      </w:r>
      <w:r>
        <w:rPr>
          <w:rFonts w:hint="eastAsia" w:ascii="仿宋" w:hAnsi="仿宋" w:eastAsia="仿宋" w:cs="仿宋"/>
          <w:sz w:val="32"/>
          <w:szCs w:val="32"/>
        </w:rPr>
        <w:t xml:space="preserve">    （三）围绕民生关切重点加大保障力度。一是保障民生支出，重点向农业、扶贫、教育、社会保障、卫生等领域倾斜，继续</w:t>
      </w:r>
      <w:r>
        <w:rPr>
          <w:rFonts w:hint="eastAsia" w:ascii="仿宋" w:hAnsi="仿宋" w:eastAsia="仿宋" w:cs="仿宋"/>
          <w:sz w:val="32"/>
          <w:szCs w:val="32"/>
          <w:lang w:eastAsia="zh-CN"/>
        </w:rPr>
        <w:t>加大</w:t>
      </w:r>
      <w:r>
        <w:rPr>
          <w:rFonts w:hint="eastAsia" w:ascii="仿宋" w:hAnsi="仿宋" w:eastAsia="仿宋" w:cs="仿宋"/>
          <w:sz w:val="32"/>
          <w:szCs w:val="32"/>
        </w:rPr>
        <w:t>财政强农惠农富农政策力度。二是继续强力统筹整合财政涉农资金和加大苏陕协作对接力度，加强乡村振兴推进的资金保障力度。三是多渠道筹措资金，统筹整合各类财政专项资金，加大易地扶贫搬迁后续扶持资金投入，切实保障搬迁群众基本权益，落实各项优惠政策。四是全力保证生态环保、社会治理等各项重点支出需要，推进社会各项事业追赶超越发展，不断增强群众获得感、幸福感和安全感。</w:t>
      </w:r>
      <w:r>
        <w:rPr>
          <w:rFonts w:hint="eastAsia" w:ascii="仿宋" w:hAnsi="仿宋" w:eastAsia="仿宋" w:cs="仿宋"/>
          <w:sz w:val="32"/>
          <w:szCs w:val="32"/>
        </w:rPr>
        <w:br w:type="textWrapping"/>
      </w:r>
      <w:r>
        <w:rPr>
          <w:rFonts w:hint="eastAsia" w:ascii="仿宋" w:hAnsi="仿宋" w:eastAsia="仿宋" w:cs="仿宋"/>
          <w:sz w:val="32"/>
          <w:szCs w:val="32"/>
        </w:rPr>
        <w:t xml:space="preserve">    （四）围绕财政资金绩效强化监督管理。一是推进预算绩效管理全面实施，构建绩效与预算融合机制，在预算编制阶段建立并强化绩效目标对预算的指导作用。二是强化单位主体责任，健全预算绩效标准体系，建立健全定量和定性相结合的共性绩效指标框架，逐步形成规范化的绩效标准体系。三是深入推进“财政云”工作的开展和任务落实，实现财政监督与业务工作的有机融合，着力实现财政运行全过程监督，切实加强对财政资金和财政运行全过程监督和风险防控。</w:t>
      </w:r>
      <w:r>
        <w:rPr>
          <w:rFonts w:hint="eastAsia" w:ascii="仿宋" w:hAnsi="仿宋" w:eastAsia="仿宋" w:cs="仿宋"/>
          <w:sz w:val="32"/>
          <w:szCs w:val="32"/>
        </w:rPr>
        <w:br w:type="textWrapping"/>
      </w:r>
      <w:r>
        <w:rPr>
          <w:rFonts w:hint="eastAsia" w:ascii="仿宋" w:hAnsi="仿宋" w:eastAsia="仿宋" w:cs="仿宋"/>
          <w:sz w:val="32"/>
          <w:szCs w:val="32"/>
        </w:rPr>
        <w:t xml:space="preserve">    （五）围绕干部作风效能抓好队伍建设。一是认真学习贯彻习近平新时代中国特色社会主义思想和党的十九大精神，继续深入开展“不忘初心、牢记使命”专题学习教育活动，在干部队伍中形成善学善用、务实进取的良好氛围，不断提升财政干部队伍的业务素质和工作绩效。二是强化党风廉政教育，提高宣传教育的针对性和实效性，增强感染力、吸引力，创新教育形式和内容，切实提高财政干部反腐倡廉的自觉性和拒腐防变的能力，增强自觉学廉、讲廉、倡廉、行廉的意识。</w:t>
      </w:r>
    </w:p>
    <w:p>
      <w:pPr>
        <w:spacing w:line="360" w:lineRule="auto"/>
        <w:ind w:firstLine="643"/>
        <w:rPr>
          <w:rFonts w:hint="eastAsia" w:ascii="仿宋" w:hAnsi="仿宋" w:eastAsia="仿宋" w:cs="仿宋"/>
          <w:b/>
          <w:bCs/>
          <w:sz w:val="32"/>
          <w:szCs w:val="32"/>
        </w:rPr>
      </w:pP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截止2022年底，本单位人员编制26人，其中行政编制26人、事业编制0人；实有人员25人，其中行政25人、事业0人。单位离退休人员36人。</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4811395" cy="3507740"/>
            <wp:effectExtent l="4445" t="4445" r="2286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479.16万元，其中一般公共预算拨款收入479.16万元、政府性基金拨款收入0万元，2023年本单位预算收入较上年增加20.27万元，主要原因是增加全县医疗单位票据工本费专项经费支出；2023年本单位预算支出479.16万元，其中一般公共预算拨款支出479.16万元、政府性基金拨款支出0万元，2023年本单位预算支出较上年增加20.27万元，主要原因是增加全县医疗单位票据工本费专项经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2023年本单位财政拨款收入479.16万元，其中一般公共预算拨款收入479.16万元、政府性基金拨款收入0万元，2023年本单位财政拨款收入较上年增加20.27万元，主要原因是增加全县医疗单位票据工本费专项经费支出；2023年本单位财政拨款支出479.16万元，其中一般公共预算拨款支出479.16万元、政府性基金拨款支出0万元，2023年本单位财政拨款支出较上年增加20.27万元，主要原因是增加全县医疗单位票据工本费专项经费支出。 </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2023年本单位当年一般公共预算拨款支出479.16万元，较上年增加20.27万元，主要原因是增加全县医疗单位票据工本费专项经费支出。</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本单位2023年当年一般公共预算支出479.16万元，其中：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（1）行政运行（2010601）395.71万元，较上年增加24.42万元，原因是增加全县医疗单位票据工本费专项经费支出；</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（2）机关事业单位养老保险缴费支出（2080505）37.29万元，比去年减少0.51万元，原因是2022年退休4人。</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（3）职工基本医疗保险统筹基金（2090301）18.3万元，比去年减少0.16万元，原因是2022年退休4人。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（4）住房公积金（2210201）27.86万元，比去年减少3.48万元，原因是2022年退休4人。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2023年本单位当年一般公共预算支出479.16万元，其中：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工资福利支出（301）360.59万元，较上年减少0.46万元，原因是2022年退休4人；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商品和服务支出（302）114.96万元，较上年增加20.46万元，原因是增加全县医疗单位票据工本费专项经费支出；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对个人和家庭的补助支出（303）3.61万元，较上年减少0.27万元，原因是2022年退休4人；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2023年本单位当年一般公共预算支出479.16万元，其中：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机关工资福利支出（501）360.59万元，较上年减少0.46万元，原因是2022年退休4人；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机关商品和服务支出（502）114.96万元，较上年</w:t>
      </w:r>
      <w:r>
        <w:rPr>
          <w:rFonts w:hint="eastAsia" w:ascii="仿宋" w:hAnsi="仿宋" w:eastAsia="仿宋" w:cs="仿宋"/>
          <w:sz w:val="32"/>
          <w:szCs w:val="32"/>
          <w:lang w:eastAsia="zh-CN"/>
        </w:rPr>
        <w:t>增加</w:t>
      </w:r>
      <w:r>
        <w:rPr>
          <w:rFonts w:hint="eastAsia" w:ascii="仿宋" w:hAnsi="仿宋" w:eastAsia="仿宋" w:cs="仿宋"/>
          <w:sz w:val="32"/>
          <w:szCs w:val="32"/>
        </w:rPr>
        <w:t>20.46万元，原因是增加全县医疗单位票据工本费专项经费支出；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对个人和家庭补助支出（503）3.61万元，较上年减少0.27万元，原因是2022年退休4人；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 xml:space="preserve">五、单位预算“三公”经费等预算情况说明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1.4万元，较上年减少0.22万元（13.34%），减少的主要原因是按照预算编制要求，严控三公经费支出。其中：因公出国（境）经费0万元，与上年一致；公务接待费1.4万元，较上年减少0.22万元（13.34%），减少的主要原因是按照预算编制要求，严控三公经费支出；公务用车运行费0万元，与上年一致；公务用车购置费0万元，与上年一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（2）2023年本单位当年会议费预算支出0万元，一致。培训费1.2万元，较上年增加1.2万元（100%），增加的主要原因是开展全县财政业务培训支出。</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4"/>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1050"/>
        <w:gridCol w:w="99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1050" w:type="dxa"/>
          </w:tcPr>
          <w:p>
            <w:pPr>
              <w:spacing w:line="360" w:lineRule="auto"/>
              <w:ind w:firstLine="360"/>
              <w:rPr>
                <w:rFonts w:ascii="黑体" w:hAnsi="黑体" w:eastAsia="黑体" w:cs="黑体"/>
                <w:sz w:val="18"/>
                <w:szCs w:val="18"/>
              </w:rPr>
            </w:pPr>
            <w:r>
              <w:rPr>
                <w:rFonts w:hint="eastAsia" w:ascii="黑体" w:hAnsi="黑体" w:eastAsia="黑体" w:cs="黑体"/>
                <w:sz w:val="18"/>
                <w:szCs w:val="18"/>
              </w:rPr>
              <w:t>人数</w:t>
            </w:r>
          </w:p>
        </w:tc>
        <w:tc>
          <w:tcPr>
            <w:tcW w:w="995" w:type="dxa"/>
          </w:tcPr>
          <w:p>
            <w:pPr>
              <w:spacing w:line="360" w:lineRule="auto"/>
              <w:ind w:firstLine="360"/>
              <w:rPr>
                <w:rFonts w:ascii="黑体" w:hAnsi="黑体" w:eastAsia="黑体" w:cs="黑体"/>
                <w:sz w:val="18"/>
                <w:szCs w:val="18"/>
              </w:rPr>
            </w:pPr>
            <w:r>
              <w:rPr>
                <w:rFonts w:hint="eastAsia" w:ascii="黑体" w:hAnsi="黑体" w:eastAsia="黑体" w:cs="黑体"/>
                <w:sz w:val="18"/>
                <w:szCs w:val="18"/>
              </w:rPr>
              <w:t>金额</w:t>
            </w:r>
          </w:p>
        </w:tc>
        <w:tc>
          <w:tcPr>
            <w:tcW w:w="1064" w:type="dxa"/>
          </w:tcPr>
          <w:p>
            <w:pPr>
              <w:spacing w:line="360" w:lineRule="auto"/>
              <w:ind w:firstLine="360"/>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w:t>
            </w:r>
          </w:p>
        </w:tc>
        <w:tc>
          <w:tcPr>
            <w:tcW w:w="2037" w:type="dxa"/>
          </w:tcPr>
          <w:p>
            <w:pPr>
              <w:spacing w:line="360" w:lineRule="auto"/>
              <w:ind w:firstLine="440"/>
              <w:rPr>
                <w:rFonts w:ascii="仿宋_GB2312" w:hAnsi="仿宋_GB2312" w:eastAsia="仿宋_GB2312" w:cs="仿宋_GB2312"/>
                <w:sz w:val="16"/>
                <w:szCs w:val="16"/>
              </w:rPr>
            </w:pPr>
            <w:r>
              <w:rPr>
                <w:rFonts w:hint="eastAsia" w:ascii="仿宋_GB2312" w:hAnsi="仿宋_GB2312" w:eastAsia="仿宋_GB2312" w:cs="仿宋_GB2312"/>
                <w:sz w:val="22"/>
                <w:szCs w:val="22"/>
              </w:rPr>
              <w:t>财政业务培训</w:t>
            </w:r>
          </w:p>
        </w:tc>
        <w:tc>
          <w:tcPr>
            <w:tcW w:w="2438" w:type="dxa"/>
          </w:tcPr>
          <w:p>
            <w:pPr>
              <w:spacing w:line="360" w:lineRule="auto"/>
              <w:ind w:firstLine="4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2023年10月</w:t>
            </w:r>
          </w:p>
        </w:tc>
        <w:tc>
          <w:tcPr>
            <w:tcW w:w="1050" w:type="dxa"/>
          </w:tcPr>
          <w:p>
            <w:pPr>
              <w:spacing w:line="360" w:lineRule="auto"/>
              <w:ind w:firstLine="4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90人</w:t>
            </w:r>
          </w:p>
        </w:tc>
        <w:tc>
          <w:tcPr>
            <w:tcW w:w="995" w:type="dxa"/>
          </w:tcPr>
          <w:p>
            <w:pPr>
              <w:spacing w:line="360" w:lineRule="auto"/>
              <w:ind w:firstLine="0" w:firstLineChars="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12000</w:t>
            </w:r>
          </w:p>
        </w:tc>
        <w:tc>
          <w:tcPr>
            <w:tcW w:w="1064" w:type="dxa"/>
          </w:tcPr>
          <w:p>
            <w:pPr>
              <w:spacing w:line="360" w:lineRule="auto"/>
              <w:ind w:firstLine="320"/>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p>
        </w:tc>
        <w:tc>
          <w:tcPr>
            <w:tcW w:w="2037" w:type="dxa"/>
          </w:tcPr>
          <w:p>
            <w:pPr>
              <w:spacing w:line="360" w:lineRule="auto"/>
              <w:ind w:firstLine="300"/>
              <w:rPr>
                <w:rFonts w:ascii="仿宋_GB2312" w:hAnsi="仿宋_GB2312" w:eastAsia="仿宋_GB2312" w:cs="仿宋_GB2312"/>
                <w:sz w:val="15"/>
                <w:szCs w:val="15"/>
              </w:rPr>
            </w:pPr>
          </w:p>
        </w:tc>
        <w:tc>
          <w:tcPr>
            <w:tcW w:w="2438" w:type="dxa"/>
          </w:tcPr>
          <w:p>
            <w:pPr>
              <w:spacing w:line="360" w:lineRule="auto"/>
              <w:ind w:firstLine="300"/>
              <w:rPr>
                <w:rFonts w:ascii="仿宋_GB2312" w:hAnsi="仿宋_GB2312" w:eastAsia="仿宋_GB2312" w:cs="仿宋_GB2312"/>
                <w:sz w:val="15"/>
                <w:szCs w:val="15"/>
              </w:rPr>
            </w:pPr>
          </w:p>
        </w:tc>
        <w:tc>
          <w:tcPr>
            <w:tcW w:w="1050" w:type="dxa"/>
          </w:tcPr>
          <w:p>
            <w:pPr>
              <w:spacing w:line="360" w:lineRule="auto"/>
              <w:ind w:firstLine="300"/>
              <w:rPr>
                <w:rFonts w:ascii="仿宋_GB2312" w:hAnsi="仿宋_GB2312" w:eastAsia="仿宋_GB2312" w:cs="仿宋_GB2312"/>
                <w:sz w:val="15"/>
                <w:szCs w:val="15"/>
              </w:rPr>
            </w:pPr>
          </w:p>
        </w:tc>
        <w:tc>
          <w:tcPr>
            <w:tcW w:w="995" w:type="dxa"/>
          </w:tcPr>
          <w:p>
            <w:pPr>
              <w:spacing w:line="360" w:lineRule="auto"/>
              <w:ind w:firstLine="300"/>
              <w:jc w:val="center"/>
              <w:rPr>
                <w:rFonts w:ascii="仿宋_GB2312" w:hAnsi="仿宋_GB2312" w:eastAsia="仿宋_GB2312" w:cs="仿宋_GB2312"/>
                <w:sz w:val="15"/>
                <w:szCs w:val="15"/>
              </w:rPr>
            </w:pPr>
          </w:p>
        </w:tc>
        <w:tc>
          <w:tcPr>
            <w:tcW w:w="1064" w:type="dxa"/>
          </w:tcPr>
          <w:p>
            <w:pPr>
              <w:spacing w:line="360" w:lineRule="auto"/>
              <w:ind w:firstLine="300"/>
              <w:rPr>
                <w:rFonts w:ascii="仿宋_GB2312" w:hAnsi="仿宋_GB2312" w:eastAsia="仿宋_GB2312" w:cs="仿宋_GB2312"/>
                <w:sz w:val="15"/>
                <w:szCs w:val="15"/>
              </w:rPr>
            </w:pPr>
          </w:p>
        </w:tc>
      </w:tr>
    </w:tbl>
    <w:p>
      <w:pPr>
        <w:ind w:firstLine="640"/>
        <w:rPr>
          <w:rFonts w:ascii="仿宋_GB2312" w:hAnsi="仿宋_GB2312" w:eastAsia="仿宋_GB2312" w:cs="仿宋_GB2312"/>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8"/>
        <w:numPr>
          <w:ilvl w:val="0"/>
          <w:numId w:val="5"/>
        </w:numPr>
        <w:spacing w:line="360" w:lineRule="auto"/>
        <w:ind w:left="1680" w:leftChars="0" w:firstLineChars="0"/>
        <w:rPr>
          <w:rFonts w:ascii="仿宋" w:hAnsi="仿宋" w:eastAsia="仿宋" w:cs="仿宋"/>
          <w:sz w:val="32"/>
          <w:szCs w:val="32"/>
        </w:rPr>
      </w:pPr>
      <w:r>
        <w:rPr>
          <w:rFonts w:hint="eastAsia" w:ascii="仿宋" w:hAnsi="仿宋" w:eastAsia="仿宋" w:cs="仿宋"/>
          <w:b/>
          <w:bCs/>
          <w:sz w:val="32"/>
          <w:szCs w:val="32"/>
        </w:rPr>
        <w:t>单位政府采购情况说明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2023年当年本单位政府采购预算共0万元，其中政府采购货物类预算0万元、政府采购服务类预算0万元、政府采购工程类预算0万元（详见公开报表中的政府采购表）。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2023年本单位绩效目标管理全覆盖，涉及当年一般公共预算拨款479.16万元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本单位当年机关运行经费预算安排15.44万元，较上年减少29.06万元，主要原因是与去年预算编制口径不一致。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1E1E1248"/>
    <w:multiLevelType w:val="multilevel"/>
    <w:tmpl w:val="1E1E1248"/>
    <w:lvl w:ilvl="0" w:tentative="0">
      <w:start w:val="7"/>
      <w:numFmt w:val="japaneseCounting"/>
      <w:lvlText w:val="%1、"/>
      <w:lvlJc w:val="left"/>
      <w:pPr>
        <w:ind w:left="1680" w:hanging="720"/>
      </w:pPr>
      <w:rPr>
        <w:rFonts w:hint="default"/>
        <w:b/>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112C46"/>
    <w:rsid w:val="00444B03"/>
    <w:rsid w:val="00D70262"/>
    <w:rsid w:val="018F2D13"/>
    <w:rsid w:val="028B38AE"/>
    <w:rsid w:val="02953D9A"/>
    <w:rsid w:val="03791D26"/>
    <w:rsid w:val="0466605A"/>
    <w:rsid w:val="04F35073"/>
    <w:rsid w:val="061D2748"/>
    <w:rsid w:val="0696261C"/>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6317C1"/>
    <w:rsid w:val="10A536CA"/>
    <w:rsid w:val="12B55B02"/>
    <w:rsid w:val="132B3892"/>
    <w:rsid w:val="13DD192D"/>
    <w:rsid w:val="147F7E6C"/>
    <w:rsid w:val="14C85364"/>
    <w:rsid w:val="14FA613E"/>
    <w:rsid w:val="15053ED9"/>
    <w:rsid w:val="15BA67E3"/>
    <w:rsid w:val="15EB6487"/>
    <w:rsid w:val="166918D6"/>
    <w:rsid w:val="176724C1"/>
    <w:rsid w:val="18AF7F70"/>
    <w:rsid w:val="19AA2269"/>
    <w:rsid w:val="1A431FF4"/>
    <w:rsid w:val="1B746107"/>
    <w:rsid w:val="1CD64124"/>
    <w:rsid w:val="1CD85DF3"/>
    <w:rsid w:val="1E0072C5"/>
    <w:rsid w:val="1E1E7AD2"/>
    <w:rsid w:val="1ED0381D"/>
    <w:rsid w:val="20FE50B8"/>
    <w:rsid w:val="210F400E"/>
    <w:rsid w:val="229A281A"/>
    <w:rsid w:val="2383657E"/>
    <w:rsid w:val="23F45765"/>
    <w:rsid w:val="242E73FF"/>
    <w:rsid w:val="246C5345"/>
    <w:rsid w:val="24AB40AF"/>
    <w:rsid w:val="24FC6952"/>
    <w:rsid w:val="250E7916"/>
    <w:rsid w:val="26CC76FD"/>
    <w:rsid w:val="272308AF"/>
    <w:rsid w:val="28064C78"/>
    <w:rsid w:val="2864072E"/>
    <w:rsid w:val="2A3E38E1"/>
    <w:rsid w:val="2AEB1BA8"/>
    <w:rsid w:val="2BF2458F"/>
    <w:rsid w:val="2E643AC1"/>
    <w:rsid w:val="2F3B562F"/>
    <w:rsid w:val="2F421B9C"/>
    <w:rsid w:val="2FC8494E"/>
    <w:rsid w:val="314B37FB"/>
    <w:rsid w:val="31B733F7"/>
    <w:rsid w:val="32004C6A"/>
    <w:rsid w:val="333A743D"/>
    <w:rsid w:val="385D1A98"/>
    <w:rsid w:val="38F70388"/>
    <w:rsid w:val="3A4434B4"/>
    <w:rsid w:val="3B055E9C"/>
    <w:rsid w:val="3BA0301A"/>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CF4111F"/>
    <w:rsid w:val="5D9465B8"/>
    <w:rsid w:val="5E5C14C1"/>
    <w:rsid w:val="5F635E4B"/>
    <w:rsid w:val="60404B5F"/>
    <w:rsid w:val="6134696F"/>
    <w:rsid w:val="61EE3D1B"/>
    <w:rsid w:val="62460F4D"/>
    <w:rsid w:val="62A365B5"/>
    <w:rsid w:val="63282485"/>
    <w:rsid w:val="65B7439B"/>
    <w:rsid w:val="66607F61"/>
    <w:rsid w:val="67606C1C"/>
    <w:rsid w:val="676942F4"/>
    <w:rsid w:val="68EA113C"/>
    <w:rsid w:val="699E67D8"/>
    <w:rsid w:val="69B23FEC"/>
    <w:rsid w:val="69E141D5"/>
    <w:rsid w:val="69F87A79"/>
    <w:rsid w:val="6C540332"/>
    <w:rsid w:val="6DBE3A60"/>
    <w:rsid w:val="6E8A04A9"/>
    <w:rsid w:val="6EF07839"/>
    <w:rsid w:val="6F3075D5"/>
    <w:rsid w:val="6F5403ED"/>
    <w:rsid w:val="6FAD28B5"/>
    <w:rsid w:val="71A236EE"/>
    <w:rsid w:val="73843559"/>
    <w:rsid w:val="75AC088F"/>
    <w:rsid w:val="76200A04"/>
    <w:rsid w:val="76590D5F"/>
    <w:rsid w:val="77AD3FB4"/>
    <w:rsid w:val="781B6398"/>
    <w:rsid w:val="7839395D"/>
    <w:rsid w:val="788B613B"/>
    <w:rsid w:val="78935A62"/>
    <w:rsid w:val="78E52CDF"/>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财政局机关在职人员情况表</a:t>
            </a:r>
            <a:endParaRPr lang="zh-CN" altLang="en-US"/>
          </a:p>
        </c:rich>
      </c:tx>
      <c:layout/>
      <c:overlay val="0"/>
      <c:spPr>
        <a:noFill/>
        <a:ln>
          <a:noFill/>
        </a:ln>
        <a:effectLst/>
      </c:spPr>
    </c:title>
    <c:autoTitleDeleted val="0"/>
    <c:plotArea>
      <c:layout>
        <c:manualLayout>
          <c:layoutTarget val="inner"/>
          <c:xMode val="edge"/>
          <c:yMode val="edge"/>
          <c:x val="0.054075"/>
          <c:y val="0.127"/>
          <c:w val="0.865675"/>
          <c:h val="0.684733333333333"/>
        </c:manualLayout>
      </c:layout>
      <c:barChart>
        <c:barDir val="col"/>
        <c:grouping val="clustered"/>
        <c:varyColors val="0"/>
        <c:ser>
          <c:idx val="0"/>
          <c:order val="0"/>
          <c:tx>
            <c:strRef>
              <c:f>Sheet1!$B$1</c:f>
              <c:strCache>
                <c:ptCount val="1"/>
                <c:pt idx="0">
                  <c:v>编制</c:v>
                </c:pt>
              </c:strCache>
            </c:strRef>
          </c:tx>
          <c:spPr>
            <a:solidFill>
              <a:schemeClr val="accent1"/>
            </a:solidFill>
            <a:ln>
              <a:noFill/>
            </a:ln>
            <a:effectLst/>
          </c:spPr>
          <c:invertIfNegative val="0"/>
          <c:dLbls>
            <c:delete val="1"/>
          </c:dLbls>
          <c:cat>
            <c:numRef>
              <c:f>Sheet1!$A$2:$A$3</c:f>
              <c:numCache>
                <c:formatCode>General</c:formatCode>
                <c:ptCount val="2"/>
                <c:pt idx="0">
                  <c:v>2022</c:v>
                </c:pt>
                <c:pt idx="1">
                  <c:v>2023</c:v>
                </c:pt>
              </c:numCache>
            </c:numRef>
          </c:cat>
          <c:val>
            <c:numRef>
              <c:f>Sheet1!$B$2:$B$3</c:f>
              <c:numCache>
                <c:formatCode>General</c:formatCode>
                <c:ptCount val="2"/>
                <c:pt idx="0">
                  <c:v>26</c:v>
                </c:pt>
                <c:pt idx="1">
                  <c:v>26</c:v>
                </c:pt>
              </c:numCache>
            </c:numRef>
          </c:val>
        </c:ser>
        <c:ser>
          <c:idx val="1"/>
          <c:order val="1"/>
          <c:tx>
            <c:strRef>
              <c:f>Sheet1!$C$1</c:f>
              <c:strCache>
                <c:ptCount val="1"/>
                <c:pt idx="0">
                  <c:v>在职人数</c:v>
                </c:pt>
              </c:strCache>
            </c:strRef>
          </c:tx>
          <c:spPr>
            <a:solidFill>
              <a:schemeClr val="accent2"/>
            </a:solidFill>
            <a:ln>
              <a:noFill/>
            </a:ln>
            <a:effectLst/>
          </c:spPr>
          <c:invertIfNegative val="0"/>
          <c:dLbls>
            <c:delete val="1"/>
          </c:dLbls>
          <c:cat>
            <c:numRef>
              <c:f>Sheet1!$A$2:$A$3</c:f>
              <c:numCache>
                <c:formatCode>General</c:formatCode>
                <c:ptCount val="2"/>
                <c:pt idx="0">
                  <c:v>2022</c:v>
                </c:pt>
                <c:pt idx="1">
                  <c:v>2023</c:v>
                </c:pt>
              </c:numCache>
            </c:numRef>
          </c:cat>
          <c:val>
            <c:numRef>
              <c:f>Sheet1!$C$2:$C$3</c:f>
              <c:numCache>
                <c:formatCode>General</c:formatCode>
                <c:ptCount val="2"/>
                <c:pt idx="0">
                  <c:v>30</c:v>
                </c:pt>
                <c:pt idx="1">
                  <c:v>25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2022</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728810712"/>
        <c:axId val="253483798"/>
      </c:barChart>
      <c:catAx>
        <c:axId val="7288107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483798"/>
        <c:crosses val="autoZero"/>
        <c:auto val="1"/>
        <c:lblAlgn val="ctr"/>
        <c:lblOffset val="100"/>
        <c:noMultiLvlLbl val="0"/>
      </c:catAx>
      <c:valAx>
        <c:axId val="2534837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8107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lang="zh-CN" altLang="en-US"/>
              <a:t>年一般公共支出情况表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支出类型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养老保险</c:v>
                </c:pt>
                <c:pt idx="2">
                  <c:v>医疗保险</c:v>
                </c:pt>
                <c:pt idx="3">
                  <c:v>住房公积金</c:v>
                </c:pt>
              </c:strCache>
            </c:strRef>
          </c:cat>
          <c:val>
            <c:numRef>
              <c:f>Sheet1!$B$2:$B$5</c:f>
              <c:numCache>
                <c:formatCode>General</c:formatCode>
                <c:ptCount val="4"/>
                <c:pt idx="0">
                  <c:v>395.71</c:v>
                </c:pt>
                <c:pt idx="1">
                  <c:v>37.29</c:v>
                </c:pt>
                <c:pt idx="2">
                  <c:v>18.3</c:v>
                </c:pt>
                <c:pt idx="3">
                  <c:v>27.86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一般公共预算支出上下年对比情况表</a:t>
            </a:r>
            <a:endParaRPr lang="zh-CN" altLang="en-US"/>
          </a:p>
        </c:rich>
      </c:tx>
      <c:layout/>
      <c:overlay val="0"/>
      <c:spPr>
        <a:noFill/>
        <a:ln>
          <a:noFill/>
        </a:ln>
        <a:effectLst/>
      </c:spPr>
    </c:title>
    <c:autoTitleDeleted val="0"/>
    <c:plotArea>
      <c:layout>
        <c:manualLayout>
          <c:layoutTarget val="inner"/>
          <c:xMode val="edge"/>
          <c:yMode val="edge"/>
          <c:x val="0.0657"/>
          <c:y val="0.108833333333333"/>
          <c:w val="0.905175"/>
          <c:h val="0.7169"/>
        </c:manualLayout>
      </c:layout>
      <c:barChart>
        <c:barDir val="col"/>
        <c:grouping val="clustered"/>
        <c:varyColors val="0"/>
        <c:ser>
          <c:idx val="0"/>
          <c:order val="0"/>
          <c:tx>
            <c:strRef>
              <c:f>Sheet1!$B$1</c:f>
              <c:strCache>
                <c:ptCount val="1"/>
                <c:pt idx="0">
                  <c:v>工资福利支出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361.05</c:v>
                </c:pt>
                <c:pt idx="1">
                  <c:v>360.59</c:v>
                </c:pt>
              </c:numCache>
            </c:numRef>
          </c:val>
        </c:ser>
        <c:ser>
          <c:idx val="1"/>
          <c:order val="1"/>
          <c:tx>
            <c:strRef>
              <c:f>Sheet1!$C$1</c:f>
              <c:strCache>
                <c:ptCount val="1"/>
                <c:pt idx="0">
                  <c:v>商品和服务支出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94.5</c:v>
                </c:pt>
                <c:pt idx="1">
                  <c:v>114.96</c:v>
                </c:pt>
              </c:numCache>
            </c:numRef>
          </c:val>
        </c:ser>
        <c:ser>
          <c:idx val="2"/>
          <c:order val="2"/>
          <c:tx>
            <c:strRef>
              <c:f>Sheet1!$D$1</c:f>
              <c:strCache>
                <c:ptCount val="1"/>
                <c:pt idx="0">
                  <c:v>对个人和家庭的补助</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Sheet1!$D$2:$D$3</c:f>
              <c:numCache>
                <c:formatCode>General</c:formatCode>
                <c:ptCount val="2"/>
                <c:pt idx="0">
                  <c:v>3.34</c:v>
                </c:pt>
                <c:pt idx="1">
                  <c:v>3.61</c:v>
                </c:pt>
              </c:numCache>
            </c:numRef>
          </c:val>
        </c:ser>
        <c:dLbls>
          <c:showLegendKey val="0"/>
          <c:showVal val="0"/>
          <c:showCatName val="0"/>
          <c:showSerName val="0"/>
          <c:showPercent val="0"/>
          <c:showBubbleSize val="0"/>
        </c:dLbls>
        <c:gapWidth val="219"/>
        <c:overlap val="-27"/>
        <c:axId val="590012247"/>
        <c:axId val="322435011"/>
      </c:barChart>
      <c:catAx>
        <c:axId val="5900122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435011"/>
        <c:crosses val="autoZero"/>
        <c:auto val="1"/>
        <c:lblAlgn val="ctr"/>
        <c:lblOffset val="100"/>
        <c:noMultiLvlLbl val="0"/>
      </c:catAx>
      <c:valAx>
        <c:axId val="3224350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0122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4529</Words>
  <Characters>4915</Characters>
  <Lines>36</Lines>
  <Paragraphs>10</Paragraphs>
  <TotalTime>76</TotalTime>
  <ScaleCrop>false</ScaleCrop>
  <LinksUpToDate>false</LinksUpToDate>
  <CharactersWithSpaces>5019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2023-04-26T08:03:36Z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