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紫阳</w:t>
      </w:r>
      <w:r>
        <w:rPr>
          <w:rFonts w:hint="eastAsia" w:ascii="黑体" w:hAnsi="黑体" w:eastAsia="黑体" w:cs="黑体"/>
          <w:sz w:val="32"/>
          <w:szCs w:val="32"/>
        </w:rPr>
        <w:t>县</w:t>
      </w:r>
      <w:r>
        <w:rPr>
          <w:rFonts w:hint="eastAsia" w:ascii="黑体" w:hAnsi="黑体" w:eastAsia="黑体" w:cs="黑体"/>
          <w:sz w:val="32"/>
          <w:szCs w:val="32"/>
          <w:lang w:eastAsia="zh-CN"/>
        </w:rPr>
        <w:t>向阳</w:t>
      </w:r>
      <w:r>
        <w:rPr>
          <w:rFonts w:hint="eastAsia" w:ascii="黑体" w:hAnsi="黑体" w:eastAsia="黑体" w:cs="黑体"/>
          <w:sz w:val="32"/>
          <w:szCs w:val="32"/>
        </w:rPr>
        <w:t>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321"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镇政府通过组织群众、宣传群众、教育群众、服务群众，切实贯彻落实党和国家在农村的各项方针政策和法律法规，围绕农业、农村、农民搞好服务。主要承担以下职责：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1、促进经济发展，增加农民收入。</w:t>
      </w:r>
      <w:r>
        <w:rPr>
          <w:rFonts w:hint="eastAsia" w:ascii="仿宋" w:hAnsi="仿宋" w:eastAsia="仿宋" w:cs="仿宋"/>
          <w:sz w:val="32"/>
          <w:szCs w:val="32"/>
          <w:lang w:val="en-US" w:eastAsia="zh-CN"/>
        </w:rPr>
        <w:t>执行本行政区域内的经济和社会发展计划、预算，管理本行政区域内的行政工作；负责镇村发展规划，培育主导产业，推动产业结构调整，提高农业综合生产能力。加强农产品质量、食品药品安全、市场管理等监管工作，加强环境保护、落实节能减排，实施生态文明建设。稳定和完善农村基本经营制度，探索集体经济有效实现形式，引导农民珍惜土地、增加投入，发展集约经营，保护各种经济组织的合法权益。落实强农惠农措施，确保农民受益。促进民营经济发展，引导农民多渠道转移就业，增加农民收入，不断提高人民生活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2、强化公共服务，着力改善民生。</w:t>
      </w:r>
      <w:r>
        <w:rPr>
          <w:rFonts w:hint="eastAsia" w:ascii="仿宋" w:hAnsi="仿宋" w:eastAsia="仿宋" w:cs="仿宋"/>
          <w:sz w:val="32"/>
          <w:szCs w:val="32"/>
          <w:lang w:val="en-US" w:eastAsia="zh-CN"/>
        </w:rPr>
        <w:t>保护社会主义全民所有的财产和劳动群众集体所有财产，保护公民私有合法财产，保障公民的人身权利、民主权利和其他权利。保障宪法和法律赋予妇女的男女平等、同工同酬和婚姻自由等各项权利。落实计划生育基本国策，推进优生优育。促进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服务。加强农村残疾预防和残疾人康复工作。组织开展农村基础设施建设，改善农民生活条件。做好外出务工人员技能培训的服务工作，促进城乡劳动者平等就业。完善农村公共服务，形成管理有序、服务完善、文明祥和的社会生活共同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3、加强社会治理，维护农村稳定。</w:t>
      </w:r>
      <w:r>
        <w:rPr>
          <w:rFonts w:hint="eastAsia" w:ascii="仿宋" w:hAnsi="仿宋" w:eastAsia="仿宋" w:cs="仿宋"/>
          <w:sz w:val="32"/>
          <w:szCs w:val="32"/>
          <w:lang w:val="en-US" w:eastAsia="zh-CN"/>
        </w:rPr>
        <w:t>加强民主法制宣传教育和社会治安综合治理，完善农村治安防控体系，保障人民生命财产安全。保障少数民族的权利和尊重少数民族的风俗习惯。做好农村信访工作，畅通诉求渠道，及时掌握社情民意，排查化解矛盾纠纷，妥善处理人民内部矛盾。建立健全农村应急管理体制，提高危机处置能力。依法管理宗教事务，反对和制止利用宗教和宗教势力干预农村公共事务。协助县级有关部门做好安全生产、劳动监察等方面的工作。保证社会公正，维护社会秩序和社会稳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4、推动基层民主，促进农村和谐。</w:t>
      </w:r>
      <w:r>
        <w:rPr>
          <w:rFonts w:hint="eastAsia" w:ascii="仿宋" w:hAnsi="仿宋" w:eastAsia="仿宋" w:cs="仿宋"/>
          <w:sz w:val="32"/>
          <w:szCs w:val="32"/>
          <w:lang w:val="en-US" w:eastAsia="zh-CN"/>
        </w:rPr>
        <w:t xml:space="preserve">加强农村党的基层组织建设、农村基层干部队伍建设、农村党员队伍建设。做好镇人大、纪检、群团、国防教育、兵役，民兵等工作。指导村民自治、完善民主议事制度、推进村务公开、财务公开，引导农民有序参与本级事务管理，推动农村社会建设，促进社会组织健康发展，增强社会自治功能。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本部门现设有内设机构五个：党政综合办公室、人大办公室、经济发展办公室（国土资源管理所、环境保护所）、社会治理办公室（司法所）、市场监管所、财政所；事业单位三个：农业综合服务站、社会保障服务站、公共事业服务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（1）落实高质量项目推进年工作要求，</w:t>
      </w:r>
      <w:r>
        <w:rPr>
          <w:rFonts w:hint="default" w:ascii="仿宋_GB2312" w:hAnsi="仿宋_GB2312" w:eastAsia="仿宋_GB2312" w:cs="仿宋_GB2312"/>
          <w:sz w:val="32"/>
          <w:szCs w:val="32"/>
          <w:lang w:val="en-US" w:eastAsia="zh-CN"/>
        </w:rPr>
        <w:t>推进营梁村茶马古道二期项目建设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持续推进贾坪村庭院经济项目建设</w:t>
      </w:r>
      <w:r>
        <w:rPr>
          <w:rFonts w:hint="eastAsia" w:ascii="仿宋_GB2312" w:hAnsi="仿宋_GB2312" w:eastAsia="仿宋_GB2312" w:cs="仿宋_GB2312"/>
          <w:sz w:val="32"/>
          <w:szCs w:val="32"/>
          <w:lang w:val="en-US" w:eastAsia="zh-CN"/>
        </w:rPr>
        <w:t>，建成向阳镇集镇搬迁社区农贸市场项目；认真落实“营商环境突破年”要求，成立四支招商小分队赴内蒙古、河北、江苏、广州等地主动对接洽谈，完成3.2亿元招商引资任务。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成茶厂个转企3家，申报SC认证2家。开展茶叶采摘、管护技术培训4场次，做好3万亩生产茶园日常管理。完成大豆玉米复合种植1000亩。建成钟林村1800亩魔芋种植基地、天生桥、显钟村150亩魔芋种源基地，建成鸡鸣村千亩烤烟示范园区；启动钟林村流水鱼养殖项目。创建县级农业园区3个，培育家庭农场4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钟林村数字乡村建设项目，构建智慧安防系统。充分发挥“老哈调解室”人民调解成熟治理经验和品牌效应，建立人民调解员队伍，创建“枫桥式”司法所、派出所。常态化开展安全隐患排查化解，确保社会大局和谐稳定。认真落实“河长制”“林长制”“田长制”，打好蓝天、碧水、净土“三大保卫战”，</w:t>
      </w:r>
      <w:r>
        <w:rPr>
          <w:rFonts w:hint="default" w:ascii="仿宋_GB2312" w:hAnsi="仿宋_GB2312" w:eastAsia="仿宋_GB2312" w:cs="仿宋_GB2312"/>
          <w:sz w:val="32"/>
          <w:szCs w:val="32"/>
          <w:lang w:val="en-US" w:eastAsia="zh-CN"/>
        </w:rPr>
        <w:t>建立健全农村环境治理长效机制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申报营梁村创建农业农村部中国美丽休闲乡村。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（4）巩固提升贾坪村、江河村标准化党组织建设，创建市级党建示范村；创建太月社区“五星级”党组织。完成月池村、钟林村党群服务中心改造提升，巩固提升向阳镇茶果公司四星级标准化党组织建设。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扎实开展“干部作风能力提升年”活动，驰而不息纠“四风”树新风，加强镇村干部日常管理，常态化开展监督检查及督查考评，精准把握运用“四种形态”，加大执纪问责力度，打造一支“对党忠诚、个人干净、敢于担当”的干部队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从预算单位构成看，本部门的部门预算包括部门本级（机关）预算和所属事业单位预算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紫阳县向阳镇人民政府（本级）</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pStyle w:val="4"/>
        <w:spacing w:before="1" w:line="364" w:lineRule="auto"/>
        <w:ind w:right="657" w:firstLine="640" w:firstLineChars="200"/>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77</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39</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38</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58</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22</w:t>
      </w:r>
      <w:r>
        <w:rPr>
          <w:rFonts w:hint="eastAsia" w:ascii="仿宋" w:hAnsi="仿宋" w:eastAsia="仿宋" w:cs="仿宋"/>
          <w:sz w:val="32"/>
          <w:szCs w:val="32"/>
        </w:rPr>
        <w:t>人、事业</w:t>
      </w:r>
      <w:r>
        <w:rPr>
          <w:rFonts w:hint="eastAsia" w:ascii="仿宋" w:hAnsi="仿宋" w:eastAsia="仿宋" w:cs="仿宋"/>
          <w:sz w:val="32"/>
          <w:szCs w:val="32"/>
          <w:lang w:val="en-US" w:eastAsia="zh-CN"/>
        </w:rPr>
        <w:t>44</w:t>
      </w:r>
      <w:r>
        <w:rPr>
          <w:rFonts w:hint="eastAsia" w:ascii="仿宋" w:hAnsi="仿宋" w:eastAsia="仿宋" w:cs="仿宋"/>
          <w:sz w:val="32"/>
          <w:szCs w:val="32"/>
        </w:rPr>
        <w:t>人</w:t>
      </w:r>
      <w:r>
        <w:rPr>
          <w:rFonts w:hint="eastAsia" w:ascii="仿宋" w:hAnsi="仿宋" w:eastAsia="仿宋" w:cs="仿宋"/>
          <w:sz w:val="32"/>
          <w:szCs w:val="32"/>
          <w:lang w:eastAsia="zh-CN"/>
        </w:rPr>
        <w:t>（离岗</w:t>
      </w:r>
      <w:r>
        <w:rPr>
          <w:rFonts w:hint="eastAsia" w:ascii="仿宋" w:hAnsi="仿宋" w:eastAsia="仿宋" w:cs="仿宋"/>
          <w:sz w:val="32"/>
          <w:szCs w:val="32"/>
        </w:rPr>
        <w:t xml:space="preserve">分流 </w:t>
      </w:r>
      <w:r>
        <w:rPr>
          <w:rFonts w:hint="eastAsia" w:ascii="仿宋" w:hAnsi="仿宋" w:eastAsia="仿宋" w:cs="仿宋"/>
          <w:sz w:val="32"/>
          <w:szCs w:val="32"/>
          <w:lang w:val="en-US" w:eastAsia="zh-CN"/>
        </w:rPr>
        <w:t>8</w:t>
      </w:r>
      <w:r>
        <w:rPr>
          <w:rFonts w:hint="eastAsia" w:ascii="仿宋" w:hAnsi="仿宋" w:eastAsia="仿宋" w:cs="仿宋"/>
          <w:sz w:val="32"/>
          <w:szCs w:val="32"/>
        </w:rPr>
        <w:t>人不占编制</w:t>
      </w:r>
      <w:r>
        <w:rPr>
          <w:rFonts w:hint="eastAsia" w:ascii="仿宋" w:hAnsi="仿宋" w:eastAsia="仿宋" w:cs="仿宋"/>
          <w:sz w:val="32"/>
          <w:szCs w:val="32"/>
          <w:lang w:eastAsia="zh-CN"/>
        </w:rPr>
        <w:t>），</w:t>
      </w:r>
      <w:r>
        <w:rPr>
          <w:rFonts w:hint="eastAsia" w:ascii="仿宋" w:hAnsi="仿宋" w:eastAsia="仿宋" w:cs="仿宋"/>
          <w:sz w:val="32"/>
          <w:szCs w:val="32"/>
        </w:rPr>
        <w:t>其他人员含遗属人员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六十年代精简人员</w:t>
      </w:r>
      <w:r>
        <w:rPr>
          <w:rFonts w:hint="eastAsia" w:ascii="仿宋" w:hAnsi="仿宋" w:eastAsia="仿宋" w:cs="仿宋"/>
          <w:sz w:val="32"/>
          <w:szCs w:val="32"/>
          <w:lang w:val="en-US" w:eastAsia="zh-CN"/>
        </w:rPr>
        <w:t>1</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44</w:t>
      </w:r>
      <w:r>
        <w:rPr>
          <w:rFonts w:hint="eastAsia" w:ascii="仿宋" w:hAnsi="仿宋" w:eastAsia="仿宋" w:cs="仿宋"/>
          <w:sz w:val="32"/>
          <w:szCs w:val="32"/>
        </w:rPr>
        <w:t>人工资由县养老经办中心统发。</w:t>
      </w:r>
    </w:p>
    <w:p>
      <w:pPr>
        <w:pStyle w:val="4"/>
        <w:spacing w:before="1" w:line="364" w:lineRule="auto"/>
        <w:ind w:right="657" w:firstLine="640" w:firstLineChars="200"/>
        <w:rPr>
          <w:rFonts w:hint="eastAsia" w:ascii="仿宋" w:hAnsi="仿宋" w:eastAsia="仿宋" w:cs="仿宋"/>
          <w:sz w:val="32"/>
          <w:szCs w:val="32"/>
        </w:rPr>
      </w:pPr>
      <w:r>
        <w:rPr>
          <w:rFonts w:hint="eastAsia" w:ascii="仿宋" w:hAnsi="仿宋" w:eastAsia="仿宋" w:cs="仿宋"/>
          <w:sz w:val="32"/>
          <w:szCs w:val="32"/>
        </w:rPr>
        <w:t>本单位</w:t>
      </w:r>
      <w:r>
        <w:rPr>
          <w:rFonts w:hint="eastAsia" w:ascii="仿宋" w:hAnsi="仿宋" w:eastAsia="仿宋" w:cs="仿宋"/>
          <w:sz w:val="32"/>
          <w:szCs w:val="32"/>
          <w:lang w:val="en-US" w:eastAsia="zh-CN"/>
        </w:rPr>
        <w:t>1998年离岗</w:t>
      </w:r>
      <w:r>
        <w:rPr>
          <w:rFonts w:hint="eastAsia" w:ascii="仿宋" w:hAnsi="仿宋" w:eastAsia="仿宋" w:cs="仿宋"/>
          <w:sz w:val="32"/>
          <w:szCs w:val="32"/>
        </w:rPr>
        <w:t>分流</w:t>
      </w:r>
      <w:r>
        <w:rPr>
          <w:rFonts w:hint="eastAsia" w:ascii="仿宋" w:hAnsi="仿宋" w:eastAsia="仿宋" w:cs="仿宋"/>
          <w:sz w:val="32"/>
          <w:szCs w:val="32"/>
          <w:lang w:val="en-US" w:eastAsia="zh-CN"/>
        </w:rPr>
        <w:t>8</w:t>
      </w:r>
      <w:r>
        <w:rPr>
          <w:rFonts w:hint="eastAsia" w:ascii="仿宋" w:hAnsi="仿宋" w:eastAsia="仿宋" w:cs="仿宋"/>
          <w:sz w:val="32"/>
          <w:szCs w:val="32"/>
        </w:rPr>
        <w:t>人不占编制，但工资福利支出在政府机关运行中体现。</w:t>
      </w:r>
    </w:p>
    <w:p>
      <w:pPr>
        <w:pStyle w:val="4"/>
        <w:spacing w:before="1" w:line="364" w:lineRule="auto"/>
        <w:ind w:right="657" w:firstLine="640" w:firstLineChars="200"/>
        <w:rPr>
          <w:rFonts w:hint="eastAsia" w:ascii="仿宋" w:hAnsi="仿宋" w:eastAsia="仿宋" w:cs="仿宋"/>
          <w:sz w:val="32"/>
          <w:szCs w:val="32"/>
        </w:rPr>
      </w:pPr>
      <w:r>
        <w:drawing>
          <wp:inline distT="0" distB="0" distL="114300" distR="114300">
            <wp:extent cx="4497070" cy="2226310"/>
            <wp:effectExtent l="4445" t="4445" r="13335" b="1714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drawing>
          <wp:inline distT="0" distB="0" distL="114300" distR="114300">
            <wp:extent cx="4933315" cy="1829435"/>
            <wp:effectExtent l="4445" t="4445" r="1524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895.09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60.62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w:t>
      </w:r>
      <w:r>
        <w:rPr>
          <w:rFonts w:hint="eastAsia" w:ascii="仿宋" w:hAnsi="仿宋" w:eastAsia="仿宋" w:cs="仿宋"/>
          <w:sz w:val="32"/>
          <w:szCs w:val="32"/>
          <w:lang w:val="en-US" w:eastAsia="zh-CN"/>
        </w:rPr>
        <w:t>政府性基金拨款支出0.00万元、事业支出0.00万元、事业单位经营支出0.00万元、对附属单位上缴支出0.00万元、上年实户资金余额支出0.00万元、其他支出0.00万元、上年结转支出0.00万元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60.62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outlineLvl w:val="9"/>
      </w:pPr>
      <w:r>
        <w:rPr>
          <w:rFonts w:hint="eastAsia" w:ascii="仿宋" w:hAnsi="仿宋" w:eastAsia="仿宋" w:cs="仿宋"/>
          <w:b/>
          <w:bCs/>
          <w:sz w:val="32"/>
          <w:szCs w:val="32"/>
        </w:rPr>
        <w:t>财政拨款收支情况。</w:t>
      </w:r>
      <w:r>
        <w:drawing>
          <wp:inline distT="0" distB="0" distL="114300" distR="114300">
            <wp:extent cx="5126355" cy="1903095"/>
            <wp:effectExtent l="4445" t="4445" r="12700" b="1651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895.09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w:t>
      </w:r>
      <w:r>
        <w:rPr>
          <w:rFonts w:hint="eastAsia" w:ascii="仿宋" w:hAnsi="仿宋" w:eastAsia="仿宋" w:cs="仿宋"/>
          <w:sz w:val="32"/>
          <w:szCs w:val="32"/>
          <w:lang w:val="en-US" w:eastAsia="zh-CN"/>
        </w:rPr>
        <w:t>政府性基金拨款支出0.00万元、上年结转0.00万元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60.62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60.62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pStyle w:val="3"/>
        <w:rPr>
          <w:rFonts w:hint="eastAsia" w:ascii="仿宋" w:hAnsi="仿宋" w:eastAsia="仿宋" w:cs="仿宋"/>
          <w:sz w:val="32"/>
          <w:szCs w:val="32"/>
        </w:rPr>
      </w:pPr>
      <w:r>
        <w:drawing>
          <wp:inline distT="0" distB="0" distL="114300" distR="114300">
            <wp:extent cx="5163185" cy="2557145"/>
            <wp:effectExtent l="4445" t="4445" r="13970" b="1016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一般公共服务支出（201）政府办公厅（室）及相关、关机构事务（20103）</w:t>
      </w:r>
      <w:r>
        <w:rPr>
          <w:rFonts w:hint="eastAsia" w:ascii="仿宋" w:hAnsi="仿宋" w:eastAsia="仿宋" w:cs="仿宋"/>
          <w:sz w:val="32"/>
          <w:szCs w:val="32"/>
        </w:rPr>
        <w:t>行政运行（2010</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358.93</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310.30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科目分类调整减少支出；</w:t>
      </w:r>
      <w:r>
        <w:rPr>
          <w:rFonts w:hint="eastAsia" w:ascii="仿宋" w:hAnsi="仿宋" w:eastAsia="仿宋" w:cs="仿宋"/>
          <w:sz w:val="32"/>
          <w:szCs w:val="32"/>
        </w:rPr>
        <w:t>事业运行（2010</w:t>
      </w:r>
      <w:r>
        <w:rPr>
          <w:rFonts w:hint="eastAsia" w:ascii="仿宋" w:hAnsi="仿宋" w:eastAsia="仿宋" w:cs="仿宋"/>
          <w:sz w:val="32"/>
          <w:szCs w:val="32"/>
          <w:lang w:val="en-US" w:eastAsia="zh-CN"/>
        </w:rPr>
        <w:t>3</w:t>
      </w:r>
      <w:r>
        <w:rPr>
          <w:rFonts w:hint="eastAsia" w:ascii="仿宋" w:hAnsi="仿宋" w:eastAsia="仿宋" w:cs="仿宋"/>
          <w:sz w:val="32"/>
          <w:szCs w:val="32"/>
        </w:rPr>
        <w:t>50）</w:t>
      </w:r>
      <w:r>
        <w:rPr>
          <w:rFonts w:hint="eastAsia" w:ascii="仿宋" w:hAnsi="仿宋" w:eastAsia="仿宋" w:cs="仿宋"/>
          <w:sz w:val="32"/>
          <w:szCs w:val="32"/>
          <w:lang w:val="en-US" w:eastAsia="zh-CN"/>
        </w:rPr>
        <w:t>368.23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368.23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科目分类调整增加支出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社会保障和就业支出（类）民政管理事务、行政事业单位离退休（款）其他民政管理事务支出和机关事业单位基本养老保险缴费支出（项）（2080505）74.69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5.61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行政单位医疗（项）（2101101）26.89万元，较上年增加2.91万元，原因是</w:t>
      </w:r>
      <w:r>
        <w:rPr>
          <w:rFonts w:hint="eastAsia" w:ascii="仿宋" w:hAnsi="仿宋" w:eastAsia="仿宋" w:cs="仿宋"/>
          <w:sz w:val="32"/>
          <w:szCs w:val="32"/>
          <w:lang w:eastAsia="zh-CN"/>
        </w:rPr>
        <w:t>人员经费增加；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住房公积金（项）（2210201）56.35万元，较上年减少3.32万元，原因是</w:t>
      </w:r>
      <w:r>
        <w:rPr>
          <w:rFonts w:hint="eastAsia" w:ascii="仿宋" w:hAnsi="仿宋" w:eastAsia="仿宋" w:cs="仿宋"/>
          <w:sz w:val="32"/>
          <w:szCs w:val="32"/>
          <w:lang w:eastAsia="zh-CN"/>
        </w:rPr>
        <w:t>人员经费减少</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outlineLvl w:val="9"/>
        <w:rPr>
          <w:rFonts w:hint="eastAsia" w:ascii="仿宋" w:hAnsi="仿宋" w:eastAsia="仿宋" w:cs="仿宋"/>
          <w:sz w:val="32"/>
          <w:szCs w:val="32"/>
        </w:rPr>
      </w:pPr>
      <w:r>
        <w:drawing>
          <wp:inline distT="0" distB="0" distL="114300" distR="114300">
            <wp:extent cx="5025390" cy="2276475"/>
            <wp:effectExtent l="4445" t="4445" r="18415" b="508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748.23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65.54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134.5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10.28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人员经费及专项业务费减少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6.38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0.62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310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5.98万元，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5.98</w:t>
      </w:r>
      <w:r>
        <w:rPr>
          <w:rFonts w:hint="eastAsia" w:ascii="仿宋" w:hAnsi="仿宋" w:eastAsia="仿宋" w:cs="仿宋"/>
          <w:sz w:val="32"/>
          <w:szCs w:val="32"/>
        </w:rPr>
        <w:t>万元，原因是</w:t>
      </w:r>
      <w:r>
        <w:rPr>
          <w:rFonts w:hint="eastAsia" w:ascii="仿宋" w:hAnsi="仿宋" w:eastAsia="仿宋" w:cs="仿宋"/>
          <w:sz w:val="32"/>
          <w:szCs w:val="32"/>
          <w:lang w:eastAsia="zh-CN"/>
        </w:rPr>
        <w:t>政府采购预算增加</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drawing>
          <wp:inline distT="0" distB="0" distL="114300" distR="114300">
            <wp:extent cx="5025390" cy="2276475"/>
            <wp:effectExtent l="4445" t="4445" r="18415" b="508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895.09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748.23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65.54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134.5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10.28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人员经费及专项业务费减少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rPr>
      </w:pPr>
      <w:r>
        <w:rPr>
          <w:rFonts w:hint="eastAsia" w:ascii="仿宋" w:hAnsi="仿宋" w:eastAsia="仿宋" w:cs="仿宋"/>
          <w:sz w:val="32"/>
          <w:szCs w:val="32"/>
          <w:lang w:val="en-US" w:eastAsia="zh-CN"/>
        </w:rPr>
        <w:t>对个人和家庭的补助（509）6.38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0.62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机关资本性支出（二）（504）</w:t>
      </w:r>
      <w:r>
        <w:rPr>
          <w:rFonts w:hint="eastAsia" w:ascii="仿宋" w:hAnsi="仿宋" w:eastAsia="仿宋" w:cs="仿宋"/>
          <w:sz w:val="32"/>
          <w:szCs w:val="32"/>
          <w:lang w:val="en-US" w:eastAsia="zh-CN"/>
        </w:rPr>
        <w:t>5.98万元，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5.98</w:t>
      </w:r>
      <w:r>
        <w:rPr>
          <w:rFonts w:hint="eastAsia" w:ascii="仿宋" w:hAnsi="仿宋" w:eastAsia="仿宋" w:cs="仿宋"/>
          <w:sz w:val="32"/>
          <w:szCs w:val="32"/>
        </w:rPr>
        <w:t>万元，原因是</w:t>
      </w:r>
      <w:r>
        <w:rPr>
          <w:rFonts w:hint="eastAsia" w:ascii="仿宋" w:hAnsi="仿宋" w:eastAsia="仿宋" w:cs="仿宋"/>
          <w:sz w:val="32"/>
          <w:szCs w:val="32"/>
          <w:lang w:eastAsia="zh-CN"/>
        </w:rPr>
        <w:t>政府采购预算增加。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年本部门当年一般公共预算“三公”经费预算支出</w:t>
      </w:r>
      <w:r>
        <w:rPr>
          <w:rFonts w:hint="eastAsia" w:ascii="仿宋" w:hAnsi="仿宋" w:eastAsia="仿宋" w:cs="仿宋"/>
          <w:sz w:val="32"/>
          <w:szCs w:val="32"/>
          <w:lang w:val="en-US" w:eastAsia="zh-CN"/>
        </w:rPr>
        <w:t>7.13</w:t>
      </w:r>
      <w:r>
        <w:rPr>
          <w:rFonts w:hint="eastAsia" w:ascii="仿宋" w:hAnsi="仿宋" w:eastAsia="仿宋" w:cs="仿宋"/>
          <w:sz w:val="32"/>
          <w:szCs w:val="32"/>
          <w:lang w:eastAsia="zh-CN"/>
        </w:rPr>
        <w:t>万元，较上年减少</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2.19%</w:t>
      </w:r>
      <w:r>
        <w:rPr>
          <w:rFonts w:hint="eastAsia" w:ascii="仿宋" w:hAnsi="仿宋" w:eastAsia="仿宋" w:cs="仿宋"/>
          <w:sz w:val="32"/>
          <w:szCs w:val="32"/>
          <w:lang w:eastAsia="zh-CN"/>
        </w:rPr>
        <w:t>），减少的主要原因是压缩三公经费。其中：因公出国（境）经费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万元，与上年持平；公务接待费</w:t>
      </w:r>
      <w:r>
        <w:rPr>
          <w:rFonts w:hint="eastAsia" w:ascii="仿宋" w:hAnsi="仿宋" w:eastAsia="仿宋" w:cs="仿宋"/>
          <w:sz w:val="32"/>
          <w:szCs w:val="32"/>
          <w:lang w:val="en-US" w:eastAsia="zh-CN"/>
        </w:rPr>
        <w:t>3.13</w:t>
      </w:r>
      <w:r>
        <w:rPr>
          <w:rFonts w:hint="eastAsia" w:ascii="仿宋" w:hAnsi="仿宋" w:eastAsia="仿宋" w:cs="仿宋"/>
          <w:sz w:val="32"/>
          <w:szCs w:val="32"/>
          <w:lang w:eastAsia="zh-CN"/>
        </w:rPr>
        <w:t>万元，较上年减少</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4.86%</w:t>
      </w:r>
      <w:r>
        <w:rPr>
          <w:rFonts w:hint="eastAsia" w:ascii="仿宋" w:hAnsi="仿宋" w:eastAsia="仿宋" w:cs="仿宋"/>
          <w:sz w:val="32"/>
          <w:szCs w:val="32"/>
          <w:lang w:eastAsia="zh-CN"/>
        </w:rPr>
        <w:t>），减少的主要原因是公务接待费减少；公务用车运行费</w:t>
      </w:r>
      <w:r>
        <w:rPr>
          <w:rFonts w:hint="eastAsia" w:ascii="仿宋" w:hAnsi="仿宋" w:eastAsia="仿宋" w:cs="仿宋"/>
          <w:sz w:val="32"/>
          <w:szCs w:val="32"/>
          <w:lang w:val="en-US" w:eastAsia="zh-CN"/>
        </w:rPr>
        <w:t>4.00</w:t>
      </w:r>
      <w:r>
        <w:rPr>
          <w:rFonts w:hint="eastAsia" w:ascii="仿宋" w:hAnsi="仿宋" w:eastAsia="仿宋" w:cs="仿宋"/>
          <w:sz w:val="32"/>
          <w:szCs w:val="32"/>
          <w:lang w:eastAsia="zh-CN"/>
        </w:rPr>
        <w:t>万元，与上年持平；公务用车购置费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年本部门当年会议费预算支出</w:t>
      </w:r>
      <w:r>
        <w:rPr>
          <w:rFonts w:hint="eastAsia" w:ascii="仿宋" w:hAnsi="仿宋" w:eastAsia="仿宋" w:cs="仿宋"/>
          <w:sz w:val="32"/>
          <w:szCs w:val="32"/>
          <w:lang w:val="en-US" w:eastAsia="zh-CN"/>
        </w:rPr>
        <w:t>4.00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万元，与上年持平。</w:t>
      </w:r>
    </w:p>
    <w:tbl>
      <w:tblPr>
        <w:tblStyle w:val="7"/>
        <w:tblW w:w="93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2968"/>
        <w:gridCol w:w="2144"/>
        <w:gridCol w:w="1125"/>
        <w:gridCol w:w="148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31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会议费培训费明细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67" w:type="dxa"/>
            <w:tcBorders>
              <w:top w:val="nil"/>
              <w:left w:val="nil"/>
              <w:bottom w:val="nil"/>
              <w:right w:val="nil"/>
            </w:tcBorders>
            <w:shd w:val="clear" w:color="auto" w:fill="auto"/>
            <w:noWrap/>
            <w:vAlign w:val="center"/>
          </w:tcPr>
          <w:p>
            <w:pPr>
              <w:keepNext w:val="0"/>
              <w:keepLines w:val="0"/>
              <w:widowControl/>
              <w:suppressLineNumbers w:val="0"/>
              <w:ind w:firstLineChars="20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29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8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bookmarkStart w:id="0" w:name="_GoBack"/>
            <w:r>
              <w:rPr>
                <w:rFonts w:hint="eastAsia" w:ascii="仿宋" w:hAnsi="仿宋" w:eastAsia="仿宋" w:cs="仿宋"/>
                <w:i w:val="0"/>
                <w:iCs w:val="0"/>
                <w:color w:val="000000"/>
                <w:kern w:val="0"/>
                <w:sz w:val="21"/>
                <w:szCs w:val="21"/>
                <w:u w:val="none"/>
                <w:lang w:val="en-US" w:eastAsia="zh-CN" w:bidi="ar"/>
              </w:rPr>
              <w:t>序号</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会议/培训名称</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40" w:firstLineChars="4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金额</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向阳镇森林防火工作推进会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2023年2月22日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0.2340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向阳镇第一季度招商引资签约仪式暨春茶生产政银企座谈会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2023年3月3日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0.1405 </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2023年第一次镇村干部大会暨2022年度党支部书记抓基层党建述职评议会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2023年3月4日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0.2000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全县领导班干部学习贯彻党的二十大精神暨推进全省“三个年”活动会议</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2023年3月10日-2023年3月11日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0.7250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全省防返贫监测帮扶工作推进会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2023年3月16日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0.2250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向阳镇第二十届人民代表大会第三次会议</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2023年3月30日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0.3600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向阳镇“重点项目、重点指标、重点工作”第一次调度会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2023年4月7日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0.2600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向阳镇防汛防滑暨安全生产工作安排部署会议</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2023年5月15日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0.2220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支部书记擂台比武暨巩固衔接工作推进大会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2023年7月5日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0.1920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向阳镇第二十届人民代表大会第四次会议</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2023年7月26日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0.5175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向阳镇镇村干部大会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2023年8月7日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0.3600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向阳镇“重点项目、重点指标、重点工作”第二次调度会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2023年9月13日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0.2700 </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向阳镇“重点项目、重点指标、重点工作”汇报会</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2023年11月27日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0.2940 </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本部门无202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底，本部门所属预算单位共有车辆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当年部门预算安排购置车辆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辆；安排购置单价20万元以上的设备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2023年当年本部门政府采购预算共</w:t>
      </w:r>
      <w:r>
        <w:rPr>
          <w:rFonts w:hint="eastAsia" w:ascii="仿宋" w:hAnsi="仿宋" w:eastAsia="仿宋" w:cs="仿宋"/>
          <w:sz w:val="32"/>
          <w:szCs w:val="32"/>
          <w:lang w:val="en-US" w:eastAsia="zh-CN"/>
        </w:rPr>
        <w:t>5.96</w:t>
      </w:r>
      <w:r>
        <w:rPr>
          <w:rFonts w:hint="eastAsia" w:ascii="仿宋" w:hAnsi="仿宋" w:eastAsia="仿宋" w:cs="仿宋"/>
          <w:sz w:val="32"/>
          <w:szCs w:val="32"/>
          <w:lang w:eastAsia="zh-CN"/>
        </w:rPr>
        <w:t>万元，其中政府采购货物类预算</w:t>
      </w:r>
      <w:r>
        <w:rPr>
          <w:rFonts w:hint="eastAsia" w:ascii="仿宋" w:hAnsi="仿宋" w:eastAsia="仿宋" w:cs="仿宋"/>
          <w:sz w:val="32"/>
          <w:szCs w:val="32"/>
          <w:lang w:val="en-US" w:eastAsia="zh-CN"/>
        </w:rPr>
        <w:t>5.96</w:t>
      </w:r>
      <w:r>
        <w:rPr>
          <w:rFonts w:hint="eastAsia" w:ascii="仿宋" w:hAnsi="仿宋" w:eastAsia="仿宋" w:cs="仿宋"/>
          <w:sz w:val="32"/>
          <w:szCs w:val="32"/>
          <w:lang w:eastAsia="zh-CN"/>
        </w:rPr>
        <w:t>万元、政府采购服务类预算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万元、政府采购工程类预算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本部门无2022年结转的政府采购资金支出。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895.09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134.50</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10.28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公务费和专项业务费减少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sectPr>
          <w:pgSz w:w="11910" w:h="16840"/>
          <w:pgMar w:top="1500" w:right="1140" w:bottom="280" w:left="1580" w:header="720" w:footer="720" w:gutter="0"/>
          <w:cols w:space="720" w:num="1"/>
        </w:sect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125DDE75"/>
    <w:multiLevelType w:val="singleLevel"/>
    <w:tmpl w:val="125DDE75"/>
    <w:lvl w:ilvl="0" w:tentative="0">
      <w:start w:val="1"/>
      <w:numFmt w:val="decimal"/>
      <w:suff w:val="nothing"/>
      <w:lvlText w:val="（%1）"/>
      <w:lvlJc w:val="left"/>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abstractNum w:abstractNumId="6">
    <w:nsid w:val="64B47317"/>
    <w:multiLevelType w:val="singleLevel"/>
    <w:tmpl w:val="64B47317"/>
    <w:lvl w:ilvl="0" w:tentative="0">
      <w:start w:val="1"/>
      <w:numFmt w:val="chineseCounting"/>
      <w:suff w:val="nothing"/>
      <w:lvlText w:val="（%1）"/>
      <w:lvlJc w:val="left"/>
      <w:rPr>
        <w:rFonts w:hint="eastAsia"/>
      </w:r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66605A"/>
    <w:rsid w:val="04F35073"/>
    <w:rsid w:val="061D2748"/>
    <w:rsid w:val="06D7231D"/>
    <w:rsid w:val="075D6C6A"/>
    <w:rsid w:val="0773304F"/>
    <w:rsid w:val="089D1D43"/>
    <w:rsid w:val="091E2216"/>
    <w:rsid w:val="0A653AEA"/>
    <w:rsid w:val="0AAB1747"/>
    <w:rsid w:val="0B473936"/>
    <w:rsid w:val="0B820553"/>
    <w:rsid w:val="0B8A1B09"/>
    <w:rsid w:val="0C805687"/>
    <w:rsid w:val="0D053BAB"/>
    <w:rsid w:val="0D594F94"/>
    <w:rsid w:val="0E1F698E"/>
    <w:rsid w:val="0FA9052D"/>
    <w:rsid w:val="10163FB4"/>
    <w:rsid w:val="10A536CA"/>
    <w:rsid w:val="12B55B02"/>
    <w:rsid w:val="12E76B9E"/>
    <w:rsid w:val="13DD192D"/>
    <w:rsid w:val="147F7E6C"/>
    <w:rsid w:val="14C85364"/>
    <w:rsid w:val="14FA613E"/>
    <w:rsid w:val="15053ED9"/>
    <w:rsid w:val="15BA67E3"/>
    <w:rsid w:val="15EB6487"/>
    <w:rsid w:val="166918D6"/>
    <w:rsid w:val="1703142D"/>
    <w:rsid w:val="176724C1"/>
    <w:rsid w:val="18AF7F70"/>
    <w:rsid w:val="1A431FF4"/>
    <w:rsid w:val="1B2B3D7F"/>
    <w:rsid w:val="1B746107"/>
    <w:rsid w:val="1CD64124"/>
    <w:rsid w:val="1CE25156"/>
    <w:rsid w:val="1E0072C5"/>
    <w:rsid w:val="1E1E7AD2"/>
    <w:rsid w:val="1E5F6CEA"/>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A03AA3"/>
    <w:rsid w:val="31B733F7"/>
    <w:rsid w:val="385D1A98"/>
    <w:rsid w:val="38F70388"/>
    <w:rsid w:val="3A4434B4"/>
    <w:rsid w:val="3B055E9C"/>
    <w:rsid w:val="3D28036F"/>
    <w:rsid w:val="3D8407DF"/>
    <w:rsid w:val="3DFF32ED"/>
    <w:rsid w:val="3F503091"/>
    <w:rsid w:val="4008265B"/>
    <w:rsid w:val="41851E44"/>
    <w:rsid w:val="420B5D06"/>
    <w:rsid w:val="420D0E85"/>
    <w:rsid w:val="4248700C"/>
    <w:rsid w:val="465670F7"/>
    <w:rsid w:val="471D22FA"/>
    <w:rsid w:val="472B48D8"/>
    <w:rsid w:val="4741375D"/>
    <w:rsid w:val="47C702DF"/>
    <w:rsid w:val="48422B9F"/>
    <w:rsid w:val="488947B6"/>
    <w:rsid w:val="49574C77"/>
    <w:rsid w:val="4A091D5F"/>
    <w:rsid w:val="4E047683"/>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DA0C4A"/>
    <w:rsid w:val="5BF47018"/>
    <w:rsid w:val="5C653576"/>
    <w:rsid w:val="5E5C14C1"/>
    <w:rsid w:val="5F635E4B"/>
    <w:rsid w:val="60404B5F"/>
    <w:rsid w:val="6134696F"/>
    <w:rsid w:val="61EE3D1B"/>
    <w:rsid w:val="62443383"/>
    <w:rsid w:val="62460F4D"/>
    <w:rsid w:val="62A365B5"/>
    <w:rsid w:val="65B7439B"/>
    <w:rsid w:val="66607F61"/>
    <w:rsid w:val="67606C1C"/>
    <w:rsid w:val="676942F4"/>
    <w:rsid w:val="68EA113C"/>
    <w:rsid w:val="699E67D8"/>
    <w:rsid w:val="69B23FEC"/>
    <w:rsid w:val="69E141D5"/>
    <w:rsid w:val="69F87A79"/>
    <w:rsid w:val="6B2136D5"/>
    <w:rsid w:val="6C540332"/>
    <w:rsid w:val="6DBE3A60"/>
    <w:rsid w:val="6E8A04A9"/>
    <w:rsid w:val="6EBC2079"/>
    <w:rsid w:val="6F3075D5"/>
    <w:rsid w:val="6F5403ED"/>
    <w:rsid w:val="6F5E0B5E"/>
    <w:rsid w:val="71A236EE"/>
    <w:rsid w:val="73843559"/>
    <w:rsid w:val="75AC088F"/>
    <w:rsid w:val="76590D5F"/>
    <w:rsid w:val="77AD3FB4"/>
    <w:rsid w:val="781B6398"/>
    <w:rsid w:val="7839395D"/>
    <w:rsid w:val="783A5A1D"/>
    <w:rsid w:val="788B613B"/>
    <w:rsid w:val="78935A62"/>
    <w:rsid w:val="7920167B"/>
    <w:rsid w:val="7A3E4F09"/>
    <w:rsid w:val="7BF11232"/>
    <w:rsid w:val="7CE442E1"/>
    <w:rsid w:val="7CEE0D2E"/>
    <w:rsid w:val="7CF76871"/>
    <w:rsid w:val="7D116DD4"/>
    <w:rsid w:val="7D804F3A"/>
    <w:rsid w:val="7E226DEB"/>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List Paragraph"/>
    <w:basedOn w:val="1"/>
    <w:qFormat/>
    <w:uiPriority w:val="1"/>
    <w:pPr>
      <w:ind w:left="220"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I:\2022\2022&#24180;&#37096;&#38376;&#39044;&#31639;\&#21521;&#38451;&#38215;2022&#24180;&#24230;&#37096;&#38376;&#39044;&#31639;&#20844;&#24320;\&#29983;&#25104;&#26609;&#24418;&#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I:\2022\2022&#24180;&#37096;&#38376;&#39044;&#31639;\&#21521;&#38451;&#38215;2022&#24180;&#24230;&#37096;&#38376;&#39044;&#31639;&#20844;&#24320;\&#29983;&#25104;&#26609;&#24418;&#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2022\2022&#24180;&#37096;&#38376;&#39044;&#31639;\&#21521;&#38451;&#38215;2022&#24180;&#24230;&#37096;&#38376;&#39044;&#31639;&#20844;&#24320;\&#29983;&#25104;&#26609;&#24418;&#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I:\2022\2022&#24180;&#37096;&#38376;&#39044;&#31639;\&#21521;&#38451;&#38215;2022&#24180;&#24230;&#37096;&#38376;&#39044;&#31639;&#20844;&#24320;\&#29983;&#25104;&#26609;&#24418;&#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I:\2022\2022&#24180;&#37096;&#38376;&#39044;&#31639;\&#21521;&#38451;&#38215;2022&#24180;&#24230;&#37096;&#38376;&#39044;&#31639;&#20844;&#24320;\&#29983;&#25104;&#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紫阳县向阳镇人民政府人员情况图</a:t>
            </a:r>
          </a:p>
        </c:rich>
      </c:tx>
      <c:layout>
        <c:manualLayout>
          <c:xMode val="edge"/>
          <c:yMode val="edge"/>
          <c:x val="0.193611111111111"/>
          <c:y val="0.0451388888888889"/>
        </c:manualLayout>
      </c:layout>
      <c:overlay val="0"/>
      <c:spPr>
        <a:noFill/>
        <a:ln>
          <a:noFill/>
        </a:ln>
        <a:effectLst/>
      </c:spPr>
    </c:title>
    <c:autoTitleDeleted val="0"/>
    <c:plotArea>
      <c:layout/>
      <c:barChart>
        <c:barDir val="col"/>
        <c:grouping val="clustered"/>
        <c:varyColors val="0"/>
        <c:ser>
          <c:idx val="0"/>
          <c:order val="0"/>
          <c:tx>
            <c:strRef>
              <c:f>[工作簿2]Sheet1!$A$2</c:f>
              <c:strCache>
                <c:ptCount val="1"/>
                <c:pt idx="0">
                  <c:v>编制人数</c:v>
                </c:pt>
              </c:strCache>
            </c:strRef>
          </c:tx>
          <c:spPr>
            <a:solidFill>
              <a:schemeClr val="accent1"/>
            </a:solidFill>
            <a:ln>
              <a:noFill/>
            </a:ln>
            <a:effectLst/>
          </c:spPr>
          <c:invertIfNegative val="0"/>
          <c:dLbls>
            <c:delete val="1"/>
          </c:dLbls>
          <c:cat>
            <c:strRef>
              <c:f>[工作簿2]Sheet1!$B$1:$F$1</c:f>
              <c:strCache>
                <c:ptCount val="5"/>
                <c:pt idx="0">
                  <c:v>总人数</c:v>
                </c:pt>
                <c:pt idx="1">
                  <c:v>行政</c:v>
                </c:pt>
                <c:pt idx="2">
                  <c:v>事业</c:v>
                </c:pt>
                <c:pt idx="3">
                  <c:v>其他人员</c:v>
                </c:pt>
                <c:pt idx="4">
                  <c:v>离退休人员</c:v>
                </c:pt>
              </c:strCache>
            </c:strRef>
          </c:cat>
          <c:val>
            <c:numRef>
              <c:f>[工作簿2]Sheet1!$B$2:$F$2</c:f>
              <c:numCache>
                <c:formatCode>General</c:formatCode>
                <c:ptCount val="5"/>
                <c:pt idx="0">
                  <c:v>77</c:v>
                </c:pt>
                <c:pt idx="1">
                  <c:v>39</c:v>
                </c:pt>
                <c:pt idx="2">
                  <c:v>38</c:v>
                </c:pt>
              </c:numCache>
            </c:numRef>
          </c:val>
        </c:ser>
        <c:ser>
          <c:idx val="1"/>
          <c:order val="1"/>
          <c:tx>
            <c:strRef>
              <c:f>[工作簿2]Sheet1!$A$3</c:f>
              <c:strCache>
                <c:ptCount val="1"/>
                <c:pt idx="0">
                  <c:v>实有人数</c:v>
                </c:pt>
              </c:strCache>
            </c:strRef>
          </c:tx>
          <c:spPr>
            <a:solidFill>
              <a:schemeClr val="accent2"/>
            </a:solidFill>
            <a:ln>
              <a:noFill/>
            </a:ln>
            <a:effectLst/>
          </c:spPr>
          <c:invertIfNegative val="0"/>
          <c:dLbls>
            <c:delete val="1"/>
          </c:dLbls>
          <c:cat>
            <c:strRef>
              <c:f>[工作簿2]Sheet1!$B$1:$F$1</c:f>
              <c:strCache>
                <c:ptCount val="5"/>
                <c:pt idx="0">
                  <c:v>总人数</c:v>
                </c:pt>
                <c:pt idx="1">
                  <c:v>行政</c:v>
                </c:pt>
                <c:pt idx="2">
                  <c:v>事业</c:v>
                </c:pt>
                <c:pt idx="3">
                  <c:v>其他人员</c:v>
                </c:pt>
                <c:pt idx="4">
                  <c:v>离退休人员</c:v>
                </c:pt>
              </c:strCache>
            </c:strRef>
          </c:cat>
          <c:val>
            <c:numRef>
              <c:f>[工作簿2]Sheet1!$B$3:$F$3</c:f>
              <c:numCache>
                <c:formatCode>General</c:formatCode>
                <c:ptCount val="5"/>
                <c:pt idx="0">
                  <c:v>111</c:v>
                </c:pt>
                <c:pt idx="1">
                  <c:v>25</c:v>
                </c:pt>
                <c:pt idx="2">
                  <c:v>37</c:v>
                </c:pt>
                <c:pt idx="3">
                  <c:v>6</c:v>
                </c:pt>
                <c:pt idx="4">
                  <c:v>43</c:v>
                </c:pt>
              </c:numCache>
            </c:numRef>
          </c:val>
        </c:ser>
        <c:dLbls>
          <c:showLegendKey val="0"/>
          <c:showVal val="0"/>
          <c:showCatName val="0"/>
          <c:showSerName val="0"/>
          <c:showPercent val="0"/>
          <c:showBubbleSize val="0"/>
        </c:dLbls>
        <c:gapWidth val="219"/>
        <c:overlap val="-27"/>
        <c:axId val="597935601"/>
        <c:axId val="800827635"/>
      </c:barChart>
      <c:catAx>
        <c:axId val="5979356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827635"/>
        <c:crosses val="autoZero"/>
        <c:auto val="1"/>
        <c:lblAlgn val="ctr"/>
        <c:lblOffset val="100"/>
        <c:noMultiLvlLbl val="0"/>
      </c:catAx>
      <c:valAx>
        <c:axId val="8008276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79356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向阳镇</a:t>
            </a:r>
            <a:r>
              <a:rPr lang="en-US" altLang="zh-CN"/>
              <a:t>2023</a:t>
            </a:r>
            <a:r>
              <a:rPr altLang="en-US"/>
              <a:t>年收入支出预算总体情况</a:t>
            </a:r>
            <a:endParaRPr altLang="en-US"/>
          </a:p>
        </c:rich>
      </c:tx>
      <c:layout/>
      <c:overlay val="0"/>
      <c:spPr>
        <a:noFill/>
        <a:ln>
          <a:noFill/>
        </a:ln>
        <a:effectLst/>
      </c:spPr>
    </c:title>
    <c:autoTitleDeleted val="0"/>
    <c:plotArea>
      <c:layout/>
      <c:barChart>
        <c:barDir val="col"/>
        <c:grouping val="clustered"/>
        <c:varyColors val="0"/>
        <c:ser>
          <c:idx val="0"/>
          <c:order val="0"/>
          <c:tx>
            <c:strRef>
              <c:f>[生成柱形图.xlsx]柱形图!$A$3</c:f>
              <c:strCache>
                <c:ptCount val="1"/>
                <c:pt idx="0">
                  <c:v>总体收入</c:v>
                </c:pt>
              </c:strCache>
            </c:strRef>
          </c:tx>
          <c:spPr>
            <a:solidFill>
              <a:schemeClr val="accent1"/>
            </a:solidFill>
            <a:ln>
              <a:noFill/>
            </a:ln>
            <a:effectLst/>
          </c:spPr>
          <c:invertIfNegative val="0"/>
          <c:dLbls>
            <c:delete val="1"/>
          </c:dLbls>
          <c:cat>
            <c:strRef>
              <c:f>[生成柱形图.xlsx]柱形图!$B$2:$D$2</c:f>
              <c:strCache>
                <c:ptCount val="3"/>
                <c:pt idx="0">
                  <c:v>2022年</c:v>
                </c:pt>
                <c:pt idx="1">
                  <c:v>2023年</c:v>
                </c:pt>
                <c:pt idx="2">
                  <c:v>增加额</c:v>
                </c:pt>
              </c:strCache>
            </c:strRef>
          </c:cat>
          <c:val>
            <c:numRef>
              <c:f>[生成柱形图.xlsx]柱形图!$B$3:$D$3</c:f>
              <c:numCache>
                <c:formatCode>General</c:formatCode>
                <c:ptCount val="3"/>
                <c:pt idx="0">
                  <c:v>834.47</c:v>
                </c:pt>
                <c:pt idx="1">
                  <c:v>895.09</c:v>
                </c:pt>
                <c:pt idx="2">
                  <c:v>60.62</c:v>
                </c:pt>
              </c:numCache>
            </c:numRef>
          </c:val>
        </c:ser>
        <c:ser>
          <c:idx val="1"/>
          <c:order val="1"/>
          <c:tx>
            <c:strRef>
              <c:f>[生成柱形图.xlsx]柱形图!$A$4</c:f>
              <c:strCache>
                <c:ptCount val="1"/>
                <c:pt idx="0">
                  <c:v>总体支出</c:v>
                </c:pt>
              </c:strCache>
            </c:strRef>
          </c:tx>
          <c:spPr>
            <a:solidFill>
              <a:schemeClr val="accent2"/>
            </a:solidFill>
            <a:ln>
              <a:noFill/>
            </a:ln>
            <a:effectLst/>
          </c:spPr>
          <c:invertIfNegative val="0"/>
          <c:dLbls>
            <c:delete val="1"/>
          </c:dLbls>
          <c:cat>
            <c:strRef>
              <c:f>[生成柱形图.xlsx]柱形图!$B$2:$D$2</c:f>
              <c:strCache>
                <c:ptCount val="3"/>
                <c:pt idx="0">
                  <c:v>2022年</c:v>
                </c:pt>
                <c:pt idx="1">
                  <c:v>2023年</c:v>
                </c:pt>
                <c:pt idx="2">
                  <c:v>增加额</c:v>
                </c:pt>
              </c:strCache>
            </c:strRef>
          </c:cat>
          <c:val>
            <c:numRef>
              <c:f>[生成柱形图.xlsx]柱形图!$B$4:$D$4</c:f>
              <c:numCache>
                <c:formatCode>General</c:formatCode>
                <c:ptCount val="3"/>
                <c:pt idx="0">
                  <c:v>834.47</c:v>
                </c:pt>
                <c:pt idx="1">
                  <c:v>895.09</c:v>
                </c:pt>
                <c:pt idx="2">
                  <c:v>60.62</c:v>
                </c:pt>
              </c:numCache>
            </c:numRef>
          </c:val>
        </c:ser>
        <c:dLbls>
          <c:showLegendKey val="0"/>
          <c:showVal val="0"/>
          <c:showCatName val="0"/>
          <c:showSerName val="0"/>
          <c:showPercent val="0"/>
          <c:showBubbleSize val="0"/>
        </c:dLbls>
        <c:gapWidth val="219"/>
        <c:overlap val="-27"/>
        <c:axId val="561004641"/>
        <c:axId val="375889001"/>
      </c:barChart>
      <c:catAx>
        <c:axId val="5610046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889001"/>
        <c:crosses val="autoZero"/>
        <c:auto val="1"/>
        <c:lblAlgn val="ctr"/>
        <c:lblOffset val="100"/>
        <c:noMultiLvlLbl val="0"/>
      </c:catAx>
      <c:valAx>
        <c:axId val="3758890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0046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向阳镇</a:t>
            </a:r>
            <a:r>
              <a:rPr lang="en-US" altLang="zh-CN"/>
              <a:t>2023</a:t>
            </a:r>
            <a:r>
              <a:rPr altLang="en-US"/>
              <a:t>年财政拨款收支预算情况</a:t>
            </a:r>
            <a:endParaRPr altLang="en-US"/>
          </a:p>
        </c:rich>
      </c:tx>
      <c:layout/>
      <c:overlay val="0"/>
      <c:spPr>
        <a:noFill/>
        <a:ln>
          <a:noFill/>
        </a:ln>
        <a:effectLst/>
      </c:spPr>
    </c:title>
    <c:autoTitleDeleted val="0"/>
    <c:plotArea>
      <c:layout>
        <c:manualLayout>
          <c:layoutTarget val="inner"/>
          <c:xMode val="edge"/>
          <c:yMode val="edge"/>
          <c:x val="0.0874444444444444"/>
          <c:y val="0.177083333333333"/>
          <c:w val="0.908388888888889"/>
          <c:h val="0.606111111111111"/>
        </c:manualLayout>
      </c:layout>
      <c:barChart>
        <c:barDir val="col"/>
        <c:grouping val="clustered"/>
        <c:varyColors val="0"/>
        <c:ser>
          <c:idx val="0"/>
          <c:order val="0"/>
          <c:tx>
            <c:strRef>
              <c:f>[生成柱形图.xlsx]柱形图!$A$3</c:f>
              <c:strCache>
                <c:ptCount val="1"/>
                <c:pt idx="0">
                  <c:v>财政拨款收入</c:v>
                </c:pt>
              </c:strCache>
            </c:strRef>
          </c:tx>
          <c:spPr>
            <a:solidFill>
              <a:schemeClr val="accent1"/>
            </a:solidFill>
            <a:ln>
              <a:noFill/>
            </a:ln>
            <a:effectLst/>
          </c:spPr>
          <c:invertIfNegative val="0"/>
          <c:dLbls>
            <c:delete val="1"/>
          </c:dLbls>
          <c:cat>
            <c:strRef>
              <c:f>[生成柱形图.xlsx]柱形图!$B$2:$D$2</c:f>
              <c:strCache>
                <c:ptCount val="3"/>
                <c:pt idx="0">
                  <c:v>2022年</c:v>
                </c:pt>
                <c:pt idx="1">
                  <c:v>2023年</c:v>
                </c:pt>
                <c:pt idx="2">
                  <c:v>增加额</c:v>
                </c:pt>
              </c:strCache>
            </c:strRef>
          </c:cat>
          <c:val>
            <c:numRef>
              <c:f>[生成柱形图.xlsx]柱形图!$B$3:$D$3</c:f>
              <c:numCache>
                <c:formatCode>General</c:formatCode>
                <c:ptCount val="3"/>
                <c:pt idx="0">
                  <c:v>834.47</c:v>
                </c:pt>
                <c:pt idx="1">
                  <c:v>895.09</c:v>
                </c:pt>
                <c:pt idx="2">
                  <c:v>60.62</c:v>
                </c:pt>
              </c:numCache>
            </c:numRef>
          </c:val>
        </c:ser>
        <c:ser>
          <c:idx val="1"/>
          <c:order val="1"/>
          <c:tx>
            <c:strRef>
              <c:f>[生成柱形图.xlsx]柱形图!$A$4</c:f>
              <c:strCache>
                <c:ptCount val="1"/>
                <c:pt idx="0">
                  <c:v>财政拨款支出</c:v>
                </c:pt>
              </c:strCache>
            </c:strRef>
          </c:tx>
          <c:spPr>
            <a:solidFill>
              <a:schemeClr val="accent2"/>
            </a:solidFill>
            <a:ln>
              <a:noFill/>
            </a:ln>
            <a:effectLst/>
          </c:spPr>
          <c:invertIfNegative val="0"/>
          <c:dLbls>
            <c:delete val="1"/>
          </c:dLbls>
          <c:cat>
            <c:strRef>
              <c:f>[生成柱形图.xlsx]柱形图!$B$2:$D$2</c:f>
              <c:strCache>
                <c:ptCount val="3"/>
                <c:pt idx="0">
                  <c:v>2022年</c:v>
                </c:pt>
                <c:pt idx="1">
                  <c:v>2023年</c:v>
                </c:pt>
                <c:pt idx="2">
                  <c:v>增加额</c:v>
                </c:pt>
              </c:strCache>
            </c:strRef>
          </c:cat>
          <c:val>
            <c:numRef>
              <c:f>[生成柱形图.xlsx]柱形图!$B$4:$D$4</c:f>
              <c:numCache>
                <c:formatCode>General</c:formatCode>
                <c:ptCount val="3"/>
                <c:pt idx="0">
                  <c:v>834.47</c:v>
                </c:pt>
                <c:pt idx="1">
                  <c:v>895.09</c:v>
                </c:pt>
                <c:pt idx="2">
                  <c:v>60.62</c:v>
                </c:pt>
              </c:numCache>
            </c:numRef>
          </c:val>
        </c:ser>
        <c:dLbls>
          <c:showLegendKey val="0"/>
          <c:showVal val="0"/>
          <c:showCatName val="0"/>
          <c:showSerName val="0"/>
          <c:showPercent val="0"/>
          <c:showBubbleSize val="0"/>
        </c:dLbls>
        <c:gapWidth val="219"/>
        <c:overlap val="-27"/>
        <c:axId val="561004641"/>
        <c:axId val="375889001"/>
      </c:barChart>
      <c:catAx>
        <c:axId val="5610046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889001"/>
        <c:crosses val="autoZero"/>
        <c:auto val="1"/>
        <c:lblAlgn val="ctr"/>
        <c:lblOffset val="100"/>
        <c:noMultiLvlLbl val="0"/>
      </c:catAx>
      <c:valAx>
        <c:axId val="3758890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0046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向阳镇</a:t>
            </a:r>
            <a:r>
              <a:rPr lang="en-US" altLang="zh-CN"/>
              <a:t>2023</a:t>
            </a:r>
            <a:r>
              <a:rPr altLang="en-US"/>
              <a:t>年支出按功能科目分类明细情况</a:t>
            </a:r>
            <a:endParaRPr altLang="en-US"/>
          </a:p>
        </c:rich>
      </c:tx>
      <c:layout>
        <c:manualLayout>
          <c:xMode val="edge"/>
          <c:yMode val="edge"/>
          <c:x val="0.134444444444444"/>
          <c:y val="0.0344907407407407"/>
        </c:manualLayout>
      </c:layout>
      <c:overlay val="0"/>
      <c:spPr>
        <a:noFill/>
        <a:ln>
          <a:noFill/>
        </a:ln>
        <a:effectLst/>
      </c:spPr>
    </c:title>
    <c:autoTitleDeleted val="0"/>
    <c:plotArea>
      <c:layout/>
      <c:barChart>
        <c:barDir val="col"/>
        <c:grouping val="clustered"/>
        <c:varyColors val="0"/>
        <c:ser>
          <c:idx val="0"/>
          <c:order val="0"/>
          <c:tx>
            <c:strRef>
              <c:f>[生成柱形图.xlsx]柱形图!$B$2</c:f>
              <c:strCache>
                <c:ptCount val="1"/>
                <c:pt idx="0">
                  <c:v>2022年</c:v>
                </c:pt>
              </c:strCache>
            </c:strRef>
          </c:tx>
          <c:spPr>
            <a:solidFill>
              <a:schemeClr val="accent1"/>
            </a:solidFill>
            <a:ln>
              <a:noFill/>
            </a:ln>
            <a:effectLst/>
          </c:spPr>
          <c:invertIfNegative val="0"/>
          <c:dLbls>
            <c:delete val="1"/>
          </c:dLbls>
          <c:cat>
            <c:strRef>
              <c:f>[生成柱形图.xlsx]柱形图!$A$3:$A$6</c:f>
              <c:strCache>
                <c:ptCount val="4"/>
                <c:pt idx="0">
                  <c:v>一般公共服务支出</c:v>
                </c:pt>
                <c:pt idx="1">
                  <c:v>社会保障和就业支出</c:v>
                </c:pt>
                <c:pt idx="2">
                  <c:v>卫生健康支出</c:v>
                </c:pt>
                <c:pt idx="3">
                  <c:v>住房保障支出</c:v>
                </c:pt>
              </c:strCache>
            </c:strRef>
          </c:cat>
          <c:val>
            <c:numRef>
              <c:f>[生成柱形图.xlsx]柱形图!$B$3:$B$6</c:f>
              <c:numCache>
                <c:formatCode>General</c:formatCode>
                <c:ptCount val="4"/>
                <c:pt idx="0">
                  <c:v>669.23</c:v>
                </c:pt>
                <c:pt idx="1">
                  <c:v>71.59</c:v>
                </c:pt>
                <c:pt idx="2">
                  <c:v>33.98</c:v>
                </c:pt>
                <c:pt idx="3">
                  <c:v>59.67</c:v>
                </c:pt>
              </c:numCache>
            </c:numRef>
          </c:val>
        </c:ser>
        <c:ser>
          <c:idx val="1"/>
          <c:order val="1"/>
          <c:tx>
            <c:strRef>
              <c:f>[生成柱形图.xlsx]柱形图!$C$2</c:f>
              <c:strCache>
                <c:ptCount val="1"/>
                <c:pt idx="0">
                  <c:v>2023年</c:v>
                </c:pt>
              </c:strCache>
            </c:strRef>
          </c:tx>
          <c:spPr>
            <a:solidFill>
              <a:schemeClr val="accent2"/>
            </a:solidFill>
            <a:ln>
              <a:noFill/>
            </a:ln>
            <a:effectLst/>
          </c:spPr>
          <c:invertIfNegative val="0"/>
          <c:dLbls>
            <c:delete val="1"/>
          </c:dLbls>
          <c:cat>
            <c:strRef>
              <c:f>[生成柱形图.xlsx]柱形图!$A$3:$A$6</c:f>
              <c:strCache>
                <c:ptCount val="4"/>
                <c:pt idx="0">
                  <c:v>一般公共服务支出</c:v>
                </c:pt>
                <c:pt idx="1">
                  <c:v>社会保障和就业支出</c:v>
                </c:pt>
                <c:pt idx="2">
                  <c:v>卫生健康支出</c:v>
                </c:pt>
                <c:pt idx="3">
                  <c:v>住房保障支出</c:v>
                </c:pt>
              </c:strCache>
            </c:strRef>
          </c:cat>
          <c:val>
            <c:numRef>
              <c:f>[生成柱形图.xlsx]柱形图!$C$3:$C$6</c:f>
              <c:numCache>
                <c:formatCode>General</c:formatCode>
                <c:ptCount val="4"/>
                <c:pt idx="0">
                  <c:v>727.16</c:v>
                </c:pt>
                <c:pt idx="1">
                  <c:v>74.69</c:v>
                </c:pt>
                <c:pt idx="2">
                  <c:v>36.89</c:v>
                </c:pt>
                <c:pt idx="3">
                  <c:v>56.35</c:v>
                </c:pt>
              </c:numCache>
            </c:numRef>
          </c:val>
        </c:ser>
        <c:ser>
          <c:idx val="2"/>
          <c:order val="2"/>
          <c:tx>
            <c:strRef>
              <c:f>[生成柱形图.xlsx]柱形图!$D$2</c:f>
              <c:strCache>
                <c:ptCount val="1"/>
                <c:pt idx="0">
                  <c:v>增加额</c:v>
                </c:pt>
              </c:strCache>
            </c:strRef>
          </c:tx>
          <c:spPr>
            <a:solidFill>
              <a:schemeClr val="accent3"/>
            </a:solidFill>
            <a:ln>
              <a:noFill/>
            </a:ln>
            <a:effectLst/>
          </c:spPr>
          <c:invertIfNegative val="0"/>
          <c:dLbls>
            <c:delete val="1"/>
          </c:dLbls>
          <c:cat>
            <c:strRef>
              <c:f>[生成柱形图.xlsx]柱形图!$A$3:$A$6</c:f>
              <c:strCache>
                <c:ptCount val="4"/>
                <c:pt idx="0">
                  <c:v>一般公共服务支出</c:v>
                </c:pt>
                <c:pt idx="1">
                  <c:v>社会保障和就业支出</c:v>
                </c:pt>
                <c:pt idx="2">
                  <c:v>卫生健康支出</c:v>
                </c:pt>
                <c:pt idx="3">
                  <c:v>住房保障支出</c:v>
                </c:pt>
              </c:strCache>
            </c:strRef>
          </c:cat>
          <c:val>
            <c:numRef>
              <c:f>[生成柱形图.xlsx]柱形图!$D$3:$D$6</c:f>
              <c:numCache>
                <c:formatCode>General</c:formatCode>
                <c:ptCount val="4"/>
                <c:pt idx="0">
                  <c:v>57.9299999999999</c:v>
                </c:pt>
                <c:pt idx="1">
                  <c:v>3.09999999999999</c:v>
                </c:pt>
                <c:pt idx="2">
                  <c:v>2.91</c:v>
                </c:pt>
                <c:pt idx="3">
                  <c:v>-3.32</c:v>
                </c:pt>
              </c:numCache>
            </c:numRef>
          </c:val>
        </c:ser>
        <c:dLbls>
          <c:showLegendKey val="0"/>
          <c:showVal val="0"/>
          <c:showCatName val="0"/>
          <c:showSerName val="0"/>
          <c:showPercent val="0"/>
          <c:showBubbleSize val="0"/>
        </c:dLbls>
        <c:gapWidth val="219"/>
        <c:overlap val="-27"/>
        <c:axId val="221647148"/>
        <c:axId val="523034220"/>
      </c:barChart>
      <c:catAx>
        <c:axId val="2216471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034220"/>
        <c:crosses val="autoZero"/>
        <c:auto val="1"/>
        <c:lblAlgn val="ctr"/>
        <c:lblOffset val="100"/>
        <c:noMultiLvlLbl val="0"/>
      </c:catAx>
      <c:valAx>
        <c:axId val="5230342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6471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向阳镇</a:t>
            </a:r>
            <a:r>
              <a:rPr lang="en-US" altLang="zh-CN"/>
              <a:t>2023</a:t>
            </a:r>
            <a:r>
              <a:rPr altLang="en-US"/>
              <a:t>年部门预算支出经济分类类级科目说明</a:t>
            </a:r>
            <a:endParaRPr altLang="en-US"/>
          </a:p>
        </c:rich>
      </c:tx>
      <c:layout/>
      <c:overlay val="0"/>
      <c:spPr>
        <a:noFill/>
        <a:ln>
          <a:noFill/>
        </a:ln>
        <a:effectLst/>
      </c:spPr>
    </c:title>
    <c:autoTitleDeleted val="0"/>
    <c:plotArea>
      <c:layout/>
      <c:barChart>
        <c:barDir val="col"/>
        <c:grouping val="clustered"/>
        <c:varyColors val="0"/>
        <c:ser>
          <c:idx val="0"/>
          <c:order val="0"/>
          <c:tx>
            <c:strRef>
              <c:f>[生成柱形图.xlsx]柱形图!$B$2</c:f>
              <c:strCache>
                <c:ptCount val="1"/>
                <c:pt idx="0">
                  <c:v>2022年</c:v>
                </c:pt>
              </c:strCache>
            </c:strRef>
          </c:tx>
          <c:spPr>
            <a:solidFill>
              <a:schemeClr val="accent1"/>
            </a:solidFill>
            <a:ln>
              <a:noFill/>
            </a:ln>
            <a:effectLst/>
          </c:spPr>
          <c:invertIfNegative val="0"/>
          <c:dLbls>
            <c:delete val="1"/>
          </c:dLbls>
          <c:cat>
            <c:strRef>
              <c:f>[生成柱形图.xlsx]柱形图!$A$3:$A$6</c:f>
              <c:strCache>
                <c:ptCount val="4"/>
                <c:pt idx="0">
                  <c:v>工资福利支出</c:v>
                </c:pt>
                <c:pt idx="1">
                  <c:v>商品和服务支出</c:v>
                </c:pt>
                <c:pt idx="2">
                  <c:v>对个人和家庭的补助</c:v>
                </c:pt>
                <c:pt idx="3">
                  <c:v>资本性支出</c:v>
                </c:pt>
              </c:strCache>
            </c:strRef>
          </c:cat>
          <c:val>
            <c:numRef>
              <c:f>[生成柱形图.xlsx]柱形图!$B$3:$B$6</c:f>
              <c:numCache>
                <c:formatCode>General</c:formatCode>
                <c:ptCount val="4"/>
                <c:pt idx="0">
                  <c:v>682.69</c:v>
                </c:pt>
                <c:pt idx="1">
                  <c:v>144.78</c:v>
                </c:pt>
                <c:pt idx="2">
                  <c:v>7</c:v>
                </c:pt>
                <c:pt idx="3">
                  <c:v>0</c:v>
                </c:pt>
              </c:numCache>
            </c:numRef>
          </c:val>
        </c:ser>
        <c:ser>
          <c:idx val="1"/>
          <c:order val="1"/>
          <c:tx>
            <c:strRef>
              <c:f>[生成柱形图.xlsx]柱形图!$C$2</c:f>
              <c:strCache>
                <c:ptCount val="1"/>
                <c:pt idx="0">
                  <c:v>2023年</c:v>
                </c:pt>
              </c:strCache>
            </c:strRef>
          </c:tx>
          <c:spPr>
            <a:solidFill>
              <a:schemeClr val="accent2"/>
            </a:solidFill>
            <a:ln>
              <a:noFill/>
            </a:ln>
            <a:effectLst/>
          </c:spPr>
          <c:invertIfNegative val="0"/>
          <c:dLbls>
            <c:delete val="1"/>
          </c:dLbls>
          <c:cat>
            <c:strRef>
              <c:f>[生成柱形图.xlsx]柱形图!$A$3:$A$6</c:f>
              <c:strCache>
                <c:ptCount val="4"/>
                <c:pt idx="0">
                  <c:v>工资福利支出</c:v>
                </c:pt>
                <c:pt idx="1">
                  <c:v>商品和服务支出</c:v>
                </c:pt>
                <c:pt idx="2">
                  <c:v>对个人和家庭的补助</c:v>
                </c:pt>
                <c:pt idx="3">
                  <c:v>资本性支出</c:v>
                </c:pt>
              </c:strCache>
            </c:strRef>
          </c:cat>
          <c:val>
            <c:numRef>
              <c:f>[生成柱形图.xlsx]柱形图!$C$3:$C$6</c:f>
              <c:numCache>
                <c:formatCode>General</c:formatCode>
                <c:ptCount val="4"/>
                <c:pt idx="0">
                  <c:v>748.23</c:v>
                </c:pt>
                <c:pt idx="1">
                  <c:v>134.5</c:v>
                </c:pt>
                <c:pt idx="2">
                  <c:v>6.38</c:v>
                </c:pt>
                <c:pt idx="3">
                  <c:v>5.98</c:v>
                </c:pt>
              </c:numCache>
            </c:numRef>
          </c:val>
        </c:ser>
        <c:ser>
          <c:idx val="2"/>
          <c:order val="2"/>
          <c:tx>
            <c:strRef>
              <c:f>[生成柱形图.xlsx]柱形图!$D$2</c:f>
              <c:strCache>
                <c:ptCount val="1"/>
                <c:pt idx="0">
                  <c:v>增加额</c:v>
                </c:pt>
              </c:strCache>
            </c:strRef>
          </c:tx>
          <c:spPr>
            <a:solidFill>
              <a:schemeClr val="accent3"/>
            </a:solidFill>
            <a:ln>
              <a:noFill/>
            </a:ln>
            <a:effectLst/>
          </c:spPr>
          <c:invertIfNegative val="0"/>
          <c:dLbls>
            <c:delete val="1"/>
          </c:dLbls>
          <c:cat>
            <c:strRef>
              <c:f>[生成柱形图.xlsx]柱形图!$A$3:$A$6</c:f>
              <c:strCache>
                <c:ptCount val="4"/>
                <c:pt idx="0">
                  <c:v>工资福利支出</c:v>
                </c:pt>
                <c:pt idx="1">
                  <c:v>商品和服务支出</c:v>
                </c:pt>
                <c:pt idx="2">
                  <c:v>对个人和家庭的补助</c:v>
                </c:pt>
                <c:pt idx="3">
                  <c:v>资本性支出</c:v>
                </c:pt>
              </c:strCache>
            </c:strRef>
          </c:cat>
          <c:val>
            <c:numRef>
              <c:f>[生成柱形图.xlsx]柱形图!$D$3:$D$6</c:f>
              <c:numCache>
                <c:formatCode>General</c:formatCode>
                <c:ptCount val="4"/>
                <c:pt idx="0">
                  <c:v>65.54</c:v>
                </c:pt>
                <c:pt idx="1">
                  <c:v>-10.28</c:v>
                </c:pt>
                <c:pt idx="2">
                  <c:v>-0.62</c:v>
                </c:pt>
                <c:pt idx="3">
                  <c:v>5.98</c:v>
                </c:pt>
              </c:numCache>
            </c:numRef>
          </c:val>
        </c:ser>
        <c:dLbls>
          <c:showLegendKey val="0"/>
          <c:showVal val="0"/>
          <c:showCatName val="0"/>
          <c:showSerName val="0"/>
          <c:showPercent val="0"/>
          <c:showBubbleSize val="0"/>
        </c:dLbls>
        <c:gapWidth val="219"/>
        <c:overlap val="-27"/>
        <c:axId val="221647148"/>
        <c:axId val="523034220"/>
      </c:barChart>
      <c:catAx>
        <c:axId val="2216471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034220"/>
        <c:crosses val="autoZero"/>
        <c:auto val="1"/>
        <c:lblAlgn val="ctr"/>
        <c:lblOffset val="100"/>
        <c:noMultiLvlLbl val="0"/>
      </c:catAx>
      <c:valAx>
        <c:axId val="5230342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6471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向阳镇</a:t>
            </a:r>
            <a:r>
              <a:rPr lang="en-US" altLang="zh-CN"/>
              <a:t>2023</a:t>
            </a:r>
            <a:r>
              <a:rPr altLang="en-US"/>
              <a:t>年政府预算支出经济分类类级科目说明</a:t>
            </a:r>
            <a:endParaRPr altLang="en-US"/>
          </a:p>
        </c:rich>
      </c:tx>
      <c:layout/>
      <c:overlay val="0"/>
      <c:spPr>
        <a:noFill/>
        <a:ln>
          <a:noFill/>
        </a:ln>
        <a:effectLst/>
      </c:spPr>
    </c:title>
    <c:autoTitleDeleted val="0"/>
    <c:plotArea>
      <c:layout/>
      <c:barChart>
        <c:barDir val="col"/>
        <c:grouping val="clustered"/>
        <c:varyColors val="0"/>
        <c:ser>
          <c:idx val="0"/>
          <c:order val="0"/>
          <c:tx>
            <c:strRef>
              <c:f>[生成柱形图.xlsx]柱形图!$B$2</c:f>
              <c:strCache>
                <c:ptCount val="1"/>
                <c:pt idx="0">
                  <c:v>2022年</c:v>
                </c:pt>
              </c:strCache>
            </c:strRef>
          </c:tx>
          <c:spPr>
            <a:solidFill>
              <a:schemeClr val="accent1"/>
            </a:solidFill>
            <a:ln>
              <a:noFill/>
            </a:ln>
            <a:effectLst/>
          </c:spPr>
          <c:invertIfNegative val="0"/>
          <c:dLbls>
            <c:delete val="1"/>
          </c:dLbls>
          <c:cat>
            <c:strRef>
              <c:f>[生成柱形图.xlsx]柱形图!$A$3:$A$6</c:f>
              <c:strCache>
                <c:ptCount val="4"/>
                <c:pt idx="0">
                  <c:v>工资福利支出</c:v>
                </c:pt>
                <c:pt idx="1">
                  <c:v>商品和服务支出</c:v>
                </c:pt>
                <c:pt idx="2">
                  <c:v>对个人和家庭的补助</c:v>
                </c:pt>
                <c:pt idx="3">
                  <c:v>资本性支出</c:v>
                </c:pt>
              </c:strCache>
            </c:strRef>
          </c:cat>
          <c:val>
            <c:numRef>
              <c:f>[生成柱形图.xlsx]柱形图!$B$3:$B$6</c:f>
              <c:numCache>
                <c:formatCode>General</c:formatCode>
                <c:ptCount val="4"/>
                <c:pt idx="0">
                  <c:v>682.69</c:v>
                </c:pt>
                <c:pt idx="1">
                  <c:v>144.78</c:v>
                </c:pt>
                <c:pt idx="2">
                  <c:v>7</c:v>
                </c:pt>
                <c:pt idx="3">
                  <c:v>0</c:v>
                </c:pt>
              </c:numCache>
            </c:numRef>
          </c:val>
        </c:ser>
        <c:ser>
          <c:idx val="1"/>
          <c:order val="1"/>
          <c:tx>
            <c:strRef>
              <c:f>[生成柱形图.xlsx]柱形图!$C$2</c:f>
              <c:strCache>
                <c:ptCount val="1"/>
                <c:pt idx="0">
                  <c:v>2023年</c:v>
                </c:pt>
              </c:strCache>
            </c:strRef>
          </c:tx>
          <c:spPr>
            <a:solidFill>
              <a:schemeClr val="accent2"/>
            </a:solidFill>
            <a:ln>
              <a:noFill/>
            </a:ln>
            <a:effectLst/>
          </c:spPr>
          <c:invertIfNegative val="0"/>
          <c:dLbls>
            <c:delete val="1"/>
          </c:dLbls>
          <c:cat>
            <c:strRef>
              <c:f>[生成柱形图.xlsx]柱形图!$A$3:$A$6</c:f>
              <c:strCache>
                <c:ptCount val="4"/>
                <c:pt idx="0">
                  <c:v>工资福利支出</c:v>
                </c:pt>
                <c:pt idx="1">
                  <c:v>商品和服务支出</c:v>
                </c:pt>
                <c:pt idx="2">
                  <c:v>对个人和家庭的补助</c:v>
                </c:pt>
                <c:pt idx="3">
                  <c:v>资本性支出</c:v>
                </c:pt>
              </c:strCache>
            </c:strRef>
          </c:cat>
          <c:val>
            <c:numRef>
              <c:f>[生成柱形图.xlsx]柱形图!$C$3:$C$6</c:f>
              <c:numCache>
                <c:formatCode>General</c:formatCode>
                <c:ptCount val="4"/>
                <c:pt idx="0">
                  <c:v>748.23</c:v>
                </c:pt>
                <c:pt idx="1">
                  <c:v>134.5</c:v>
                </c:pt>
                <c:pt idx="2">
                  <c:v>6.38</c:v>
                </c:pt>
                <c:pt idx="3">
                  <c:v>5.98</c:v>
                </c:pt>
              </c:numCache>
            </c:numRef>
          </c:val>
        </c:ser>
        <c:ser>
          <c:idx val="2"/>
          <c:order val="2"/>
          <c:tx>
            <c:strRef>
              <c:f>[生成柱形图.xlsx]柱形图!$D$2</c:f>
              <c:strCache>
                <c:ptCount val="1"/>
                <c:pt idx="0">
                  <c:v>增加额</c:v>
                </c:pt>
              </c:strCache>
            </c:strRef>
          </c:tx>
          <c:spPr>
            <a:solidFill>
              <a:schemeClr val="accent3"/>
            </a:solidFill>
            <a:ln>
              <a:noFill/>
            </a:ln>
            <a:effectLst/>
          </c:spPr>
          <c:invertIfNegative val="0"/>
          <c:dLbls>
            <c:delete val="1"/>
          </c:dLbls>
          <c:cat>
            <c:strRef>
              <c:f>[生成柱形图.xlsx]柱形图!$A$3:$A$6</c:f>
              <c:strCache>
                <c:ptCount val="4"/>
                <c:pt idx="0">
                  <c:v>工资福利支出</c:v>
                </c:pt>
                <c:pt idx="1">
                  <c:v>商品和服务支出</c:v>
                </c:pt>
                <c:pt idx="2">
                  <c:v>对个人和家庭的补助</c:v>
                </c:pt>
                <c:pt idx="3">
                  <c:v>资本性支出</c:v>
                </c:pt>
              </c:strCache>
            </c:strRef>
          </c:cat>
          <c:val>
            <c:numRef>
              <c:f>[生成柱形图.xlsx]柱形图!$D$3:$D$6</c:f>
              <c:numCache>
                <c:formatCode>General</c:formatCode>
                <c:ptCount val="4"/>
                <c:pt idx="0">
                  <c:v>65.54</c:v>
                </c:pt>
                <c:pt idx="1">
                  <c:v>-10.28</c:v>
                </c:pt>
                <c:pt idx="2">
                  <c:v>-0.62</c:v>
                </c:pt>
                <c:pt idx="3">
                  <c:v>5.98</c:v>
                </c:pt>
              </c:numCache>
            </c:numRef>
          </c:val>
        </c:ser>
        <c:dLbls>
          <c:showLegendKey val="0"/>
          <c:showVal val="0"/>
          <c:showCatName val="0"/>
          <c:showSerName val="0"/>
          <c:showPercent val="0"/>
          <c:showBubbleSize val="0"/>
        </c:dLbls>
        <c:gapWidth val="219"/>
        <c:overlap val="-27"/>
        <c:axId val="221647148"/>
        <c:axId val="523034220"/>
      </c:barChart>
      <c:catAx>
        <c:axId val="2216471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034220"/>
        <c:crosses val="autoZero"/>
        <c:auto val="1"/>
        <c:lblAlgn val="ctr"/>
        <c:lblOffset val="100"/>
        <c:noMultiLvlLbl val="0"/>
      </c:catAx>
      <c:valAx>
        <c:axId val="5230342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6471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5467</Words>
  <Characters>6069</Characters>
  <Lines>0</Lines>
  <Paragraphs>0</Paragraphs>
  <TotalTime>2</TotalTime>
  <ScaleCrop>false</ScaleCrop>
  <LinksUpToDate>false</LinksUpToDate>
  <CharactersWithSpaces>6165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