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毛坝镇人民政府</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spacing w:line="360" w:lineRule="auto"/>
        <w:ind w:firstLine="643"/>
        <w:rPr>
          <w:rFonts w:hint="eastAsia" w:ascii="仿宋" w:hAnsi="仿宋" w:eastAsia="仿宋" w:cs="仿宋"/>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1.</w:t>
      </w:r>
      <w:r>
        <w:rPr>
          <w:rFonts w:hint="eastAsia" w:ascii="仿宋_GB2312" w:hAnsi="宋体" w:eastAsia="仿宋_GB2312" w:cs="宋体"/>
          <w:color w:val="333333"/>
          <w:sz w:val="32"/>
          <w:szCs w:val="32"/>
          <w:lang w:bidi="ar"/>
        </w:rPr>
        <w:t>执行国家行政机关的决定、命令和国家制定的法令、法规，执行本级人民代表大会的各项决议，并报告执行决议、决定和命令的情况。</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2.</w:t>
      </w:r>
      <w:r>
        <w:rPr>
          <w:rFonts w:hint="eastAsia" w:ascii="仿宋_GB2312" w:hAnsi="宋体" w:eastAsia="仿宋_GB2312" w:cs="宋体"/>
          <w:color w:val="333333"/>
          <w:sz w:val="32"/>
          <w:szCs w:val="32"/>
          <w:lang w:bidi="ar"/>
        </w:rPr>
        <w:t>制定并落实本行政区域的经济计划和措施，全面提高人民群众的生活水平和生活质量。</w:t>
      </w:r>
    </w:p>
    <w:p>
      <w:pPr>
        <w:widowControl/>
        <w:shd w:val="clear" w:color="auto" w:fill="FFFFFF"/>
        <w:spacing w:line="375" w:lineRule="atLeast"/>
        <w:ind w:firstLine="960" w:firstLineChars="3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_GB2312" w:hAnsi="宋体" w:eastAsia="仿宋_GB2312" w:cs="宋体"/>
          <w:color w:val="333333"/>
          <w:kern w:val="0"/>
          <w:sz w:val="32"/>
          <w:szCs w:val="32"/>
          <w:shd w:val="clear" w:color="auto" w:fill="FFFFFF"/>
          <w:lang w:bidi="ar"/>
        </w:rPr>
        <w:t>承担国有资产、集体资产管理、监督及增值保值责任，加强镇村两级财政财务监督和管理。</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4.</w:t>
      </w:r>
      <w:r>
        <w:rPr>
          <w:rFonts w:hint="eastAsia" w:ascii="仿宋_GB2312" w:hAnsi="宋体" w:eastAsia="仿宋_GB2312" w:cs="宋体"/>
          <w:color w:val="333333"/>
          <w:sz w:val="32"/>
          <w:szCs w:val="32"/>
          <w:lang w:bidi="ar"/>
        </w:rPr>
        <w:t>开展社会主义民主和法制的宣传教育，保障公民的权利，打击违法犯罪，维护社会稳定。</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5.</w:t>
      </w:r>
      <w:r>
        <w:rPr>
          <w:rFonts w:hint="eastAsia" w:ascii="仿宋_GB2312" w:hAnsi="宋体" w:eastAsia="仿宋_GB2312" w:cs="宋体"/>
          <w:color w:val="333333"/>
          <w:sz w:val="32"/>
          <w:szCs w:val="32"/>
          <w:lang w:bidi="ar"/>
        </w:rPr>
        <w:t>制定社会各项事业发展计划，发展教育、卫生、科技、民政、广播电视、文化、体育事业；推进社会保障、社会福利事业和养老保险等工作。</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6.</w:t>
      </w:r>
      <w:r>
        <w:rPr>
          <w:rFonts w:hint="eastAsia" w:ascii="仿宋_GB2312" w:hAnsi="宋体" w:eastAsia="仿宋_GB2312" w:cs="宋体"/>
          <w:color w:val="333333"/>
          <w:sz w:val="32"/>
          <w:szCs w:val="32"/>
          <w:lang w:bidi="ar"/>
        </w:rPr>
        <w:t>指导村（居）民委员会的组织制度建设和业务建设，促进村（居）民委员会民主自治。</w:t>
      </w:r>
    </w:p>
    <w:p>
      <w:pPr>
        <w:spacing w:line="360" w:lineRule="auto"/>
        <w:ind w:firstLine="960" w:firstLineChars="300"/>
        <w:rPr>
          <w:rFonts w:hint="eastAsia" w:ascii="仿宋" w:hAnsi="仿宋" w:eastAsia="仿宋" w:cs="仿宋"/>
          <w:sz w:val="32"/>
          <w:szCs w:val="32"/>
        </w:rPr>
      </w:pPr>
      <w:r>
        <w:rPr>
          <w:rFonts w:hint="eastAsia" w:ascii="仿宋" w:hAnsi="仿宋" w:eastAsia="仿宋" w:cs="仿宋"/>
          <w:sz w:val="32"/>
          <w:szCs w:val="32"/>
        </w:rPr>
        <w:t>7.</w:t>
      </w:r>
      <w:r>
        <w:rPr>
          <w:rFonts w:hint="eastAsia" w:ascii="仿宋_GB2312" w:hAnsi="宋体" w:eastAsia="仿宋_GB2312" w:cs="宋体"/>
          <w:color w:val="333333"/>
          <w:sz w:val="32"/>
          <w:szCs w:val="32"/>
          <w:lang w:bidi="ar"/>
        </w:rPr>
        <w:t>制定和组织实施镇村建设规划，保护和改善生活环境和生态环境。</w:t>
      </w:r>
    </w:p>
    <w:p>
      <w:pPr>
        <w:widowControl/>
        <w:shd w:val="clear" w:color="auto" w:fill="FFFFFF"/>
        <w:spacing w:line="375" w:lineRule="atLeast"/>
        <w:ind w:firstLine="640"/>
        <w:jc w:val="left"/>
        <w:rPr>
          <w:rFonts w:hint="eastAsia" w:ascii="仿宋" w:hAnsi="仿宋" w:eastAsia="仿宋" w:cs="仿宋"/>
          <w:sz w:val="32"/>
          <w:szCs w:val="32"/>
        </w:rPr>
      </w:pPr>
      <w:r>
        <w:rPr>
          <w:rFonts w:hint="eastAsia" w:ascii="仿宋" w:hAnsi="仿宋" w:eastAsia="仿宋" w:cs="仿宋"/>
          <w:sz w:val="32"/>
          <w:szCs w:val="32"/>
        </w:rPr>
        <w:t>8.</w:t>
      </w:r>
      <w:r>
        <w:rPr>
          <w:rFonts w:hint="eastAsia" w:ascii="仿宋_GB2312" w:hAnsi="宋体" w:eastAsia="仿宋_GB2312" w:cs="宋体"/>
          <w:color w:val="333333"/>
          <w:kern w:val="0"/>
          <w:sz w:val="32"/>
          <w:szCs w:val="32"/>
          <w:shd w:val="clear" w:color="auto" w:fill="FFFFFF"/>
          <w:lang w:bidi="ar"/>
        </w:rPr>
        <w:t>协助和支持设置在本行政区域内不隶属于镇的国家机关和企事业单位工作，监督其遵守和执行国家的法律、法规和政策。</w:t>
      </w:r>
    </w:p>
    <w:p>
      <w:pPr>
        <w:spacing w:line="360" w:lineRule="auto"/>
        <w:ind w:firstLine="960" w:firstLineChars="300"/>
        <w:rPr>
          <w:rFonts w:hint="default" w:ascii="仿宋" w:hAnsi="仿宋" w:eastAsia="仿宋" w:cs="仿宋"/>
          <w:b w:val="0"/>
          <w:bCs w:val="0"/>
          <w:sz w:val="32"/>
          <w:szCs w:val="32"/>
          <w:lang w:val="en-US" w:eastAsia="zh-CN"/>
        </w:rPr>
      </w:pPr>
      <w:r>
        <w:rPr>
          <w:rFonts w:hint="eastAsia" w:ascii="仿宋" w:hAnsi="仿宋" w:eastAsia="仿宋" w:cs="仿宋"/>
          <w:sz w:val="32"/>
          <w:szCs w:val="32"/>
        </w:rPr>
        <w:t>9.</w:t>
      </w:r>
      <w:r>
        <w:rPr>
          <w:rFonts w:hint="eastAsia" w:ascii="仿宋" w:hAnsi="仿宋" w:eastAsia="仿宋" w:cs="宋体"/>
          <w:bCs/>
          <w:color w:val="333333"/>
          <w:sz w:val="32"/>
          <w:lang w:bidi="ar"/>
        </w:rPr>
        <w:t>完成上级党委、政府交办的其他工作</w:t>
      </w:r>
      <w:r>
        <w:rPr>
          <w:rFonts w:hint="eastAsia" w:ascii="仿宋_GB2312" w:hAnsi="宋体" w:eastAsia="仿宋_GB2312" w:cs="宋体"/>
          <w:color w:val="333333"/>
          <w:sz w:val="32"/>
          <w:szCs w:val="32"/>
          <w:lang w:bidi="ar"/>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本部门现设有内政机构</w:t>
      </w:r>
      <w:r>
        <w:rPr>
          <w:rFonts w:hint="eastAsia" w:ascii="仿宋" w:hAnsi="仿宋" w:eastAsia="仿宋" w:cs="仿宋"/>
          <w:sz w:val="32"/>
          <w:szCs w:val="32"/>
          <w:lang w:val="en-US" w:eastAsia="zh-CN"/>
        </w:rPr>
        <w:t>13</w:t>
      </w:r>
      <w:r>
        <w:rPr>
          <w:rFonts w:hint="eastAsia" w:ascii="仿宋" w:hAnsi="仿宋" w:eastAsia="仿宋" w:cs="仿宋"/>
          <w:sz w:val="32"/>
          <w:szCs w:val="32"/>
        </w:rPr>
        <w:t>个：党政办公室、人大办公室、</w:t>
      </w:r>
      <w:r>
        <w:rPr>
          <w:rFonts w:hint="eastAsia" w:ascii="仿宋" w:hAnsi="仿宋" w:eastAsia="仿宋" w:cs="仿宋"/>
          <w:sz w:val="32"/>
          <w:szCs w:val="32"/>
          <w:lang w:val="en-US" w:eastAsia="zh-CN"/>
        </w:rPr>
        <w:t>纪委办公室、应急管理办公室、双创办公室、</w:t>
      </w:r>
      <w:r>
        <w:rPr>
          <w:rFonts w:hint="eastAsia" w:ascii="仿宋" w:hAnsi="仿宋" w:eastAsia="仿宋" w:cs="仿宋"/>
          <w:sz w:val="32"/>
          <w:szCs w:val="32"/>
        </w:rPr>
        <w:t>经济发展办公室、社会治理办公室、农业综合服务站、社会保障服务站、公用事业服务站</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民政办、畜牧站、文化站。</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年度部门工作任务</w:t>
      </w:r>
    </w:p>
    <w:p>
      <w:pPr>
        <w:keepNext w:val="0"/>
        <w:keepLines w:val="0"/>
        <w:pageBreakBefore w:val="0"/>
        <w:pBdr>
          <w:bottom w:val="single" w:color="FFFFFF" w:sz="4" w:space="30"/>
        </w:pBdr>
        <w:kinsoku/>
        <w:wordWrap/>
        <w:overflowPunct w:val="0"/>
        <w:autoSpaceDE w:val="0"/>
        <w:autoSpaceDN/>
        <w:bidi w:val="0"/>
        <w:snapToGrid/>
        <w:spacing w:line="560" w:lineRule="exact"/>
        <w:ind w:firstLine="482" w:firstLineChars="15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w:t>
      </w:r>
      <w:r>
        <w:rPr>
          <w:rFonts w:hint="eastAsia" w:ascii="楷体_GB2312" w:hAnsi="楷体_GB2312" w:eastAsia="楷体_GB2312" w:cs="楷体_GB2312"/>
          <w:b/>
          <w:bCs/>
          <w:color w:val="auto"/>
          <w:sz w:val="32"/>
          <w:szCs w:val="32"/>
          <w:shd w:val="clear" w:color="auto" w:fill="FFFFFF"/>
        </w:rPr>
        <w:t>突出抓好“五项工作”，推动镇域经济高质量发展</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shd w:val="clear" w:color="auto" w:fill="FFFFFF"/>
        </w:rPr>
        <w:t>持续巩固脱贫成果。</w:t>
      </w:r>
      <w:r>
        <w:rPr>
          <w:rFonts w:hint="eastAsia" w:ascii="仿宋_GB2312" w:hAnsi="仿宋_GB2312" w:eastAsia="仿宋_GB2312" w:cs="仿宋_GB2312"/>
          <w:color w:val="auto"/>
          <w:sz w:val="32"/>
          <w:szCs w:val="32"/>
          <w:shd w:val="clear" w:color="auto" w:fill="FFFFFF"/>
        </w:rPr>
        <w:t>一是严格</w:t>
      </w:r>
      <w:r>
        <w:rPr>
          <w:rFonts w:hint="eastAsia" w:ascii="仿宋_GB2312" w:hAnsi="仿宋_GB2312" w:eastAsia="仿宋_GB2312" w:cs="仿宋_GB2312"/>
          <w:color w:val="auto"/>
          <w:kern w:val="0"/>
          <w:sz w:val="32"/>
          <w:szCs w:val="32"/>
          <w:lang w:bidi="ar"/>
        </w:rPr>
        <w:t>按照防返贫致贫监测预警和帮扶机制，对全镇</w:t>
      </w:r>
      <w:r>
        <w:rPr>
          <w:rFonts w:hint="eastAsia" w:ascii="仿宋_GB2312" w:hAnsi="仿宋_GB2312" w:eastAsia="仿宋_GB2312" w:cs="仿宋_GB2312"/>
          <w:color w:val="auto"/>
          <w:sz w:val="32"/>
          <w:szCs w:val="32"/>
        </w:rPr>
        <w:t>所有农户围绕“两不愁三保障”、安全饮水、收入、突发困难等进行动态监测，及时研判，应纳尽纳，落实措施进行帮扶。</w:t>
      </w:r>
      <w:r>
        <w:rPr>
          <w:rFonts w:hint="eastAsia" w:ascii="仿宋_GB2312" w:hAnsi="仿宋_GB2312" w:eastAsia="仿宋_GB2312" w:cs="仿宋_GB2312"/>
          <w:color w:val="auto"/>
          <w:kern w:val="0"/>
          <w:sz w:val="32"/>
          <w:szCs w:val="32"/>
        </w:rPr>
        <w:t>二是</w:t>
      </w:r>
      <w:r>
        <w:rPr>
          <w:rFonts w:hint="eastAsia" w:ascii="仿宋_GB2312" w:hAnsi="仿宋_GB2312" w:eastAsia="仿宋_GB2312" w:cs="仿宋_GB2312"/>
          <w:color w:val="auto"/>
          <w:sz w:val="32"/>
          <w:szCs w:val="32"/>
        </w:rPr>
        <w:t>健全农村低收入人群保障制度</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常态化开展“大排查、大走访”活动，摸清低保边缘家庭和突发困难家庭底数，统筹做好最低生活保障与社会救助政策的有效衔接。</w:t>
      </w:r>
      <w:r>
        <w:rPr>
          <w:rFonts w:hint="eastAsia" w:ascii="仿宋_GB2312" w:hAnsi="仿宋_GB2312" w:eastAsia="仿宋_GB2312" w:cs="仿宋_GB2312"/>
          <w:color w:val="auto"/>
          <w:kern w:val="0"/>
          <w:sz w:val="32"/>
          <w:szCs w:val="32"/>
        </w:rPr>
        <w:t>三是</w:t>
      </w:r>
      <w:r>
        <w:rPr>
          <w:rFonts w:hint="eastAsia" w:ascii="仿宋_GB2312" w:hAnsi="仿宋_GB2312" w:eastAsia="仿宋_GB2312" w:cs="仿宋_GB2312"/>
          <w:bCs/>
          <w:color w:val="auto"/>
          <w:sz w:val="32"/>
          <w:szCs w:val="32"/>
          <w:shd w:val="clear" w:color="auto" w:fill="FFFFFF"/>
        </w:rPr>
        <w:t>加大就业帮扶力度。</w:t>
      </w:r>
      <w:r>
        <w:rPr>
          <w:rFonts w:hint="eastAsia" w:ascii="仿宋_GB2312" w:hAnsi="仿宋_GB2312" w:eastAsia="仿宋_GB2312" w:cs="仿宋_GB2312"/>
          <w:color w:val="auto"/>
          <w:sz w:val="32"/>
          <w:szCs w:val="32"/>
          <w:shd w:val="clear" w:color="auto" w:fill="FFFFFF"/>
        </w:rPr>
        <w:t>开展技能培训，为有培训需求的劳动者提供职业技能培训。</w:t>
      </w:r>
      <w:r>
        <w:rPr>
          <w:rFonts w:hint="eastAsia" w:ascii="仿宋_GB2312" w:hAnsi="仿宋_GB2312" w:eastAsia="仿宋_GB2312" w:cs="仿宋_GB2312"/>
          <w:color w:val="auto"/>
          <w:sz w:val="32"/>
          <w:szCs w:val="32"/>
        </w:rPr>
        <w:t>灵活开发农村公益专岗，促进困难家庭有劳动能力对象能就业，</w:t>
      </w:r>
      <w:r>
        <w:rPr>
          <w:rFonts w:hint="eastAsia" w:ascii="仿宋_GB2312" w:hAnsi="仿宋_GB2312" w:eastAsia="仿宋_GB2312" w:cs="仿宋_GB2312"/>
          <w:color w:val="auto"/>
          <w:sz w:val="32"/>
          <w:szCs w:val="32"/>
          <w:shd w:val="clear" w:color="auto" w:fill="FFFFFF"/>
        </w:rPr>
        <w:t>及时发布社区工厂及周边园区就业信息，</w:t>
      </w:r>
      <w:r>
        <w:rPr>
          <w:rFonts w:hint="eastAsia" w:ascii="仿宋_GB2312" w:hAnsi="仿宋_GB2312" w:eastAsia="仿宋_GB2312" w:cs="仿宋_GB2312"/>
          <w:color w:val="auto"/>
          <w:sz w:val="32"/>
          <w:szCs w:val="32"/>
          <w:shd w:val="clear" w:color="auto" w:fill="FFFFFF"/>
          <w:lang w:eastAsia="zh-CN"/>
        </w:rPr>
        <w:t>尽可能多地吸纳</w:t>
      </w:r>
      <w:r>
        <w:rPr>
          <w:rFonts w:hint="eastAsia" w:ascii="仿宋_GB2312" w:hAnsi="仿宋_GB2312" w:eastAsia="仿宋_GB2312" w:cs="仿宋_GB2312"/>
          <w:color w:val="auto"/>
          <w:sz w:val="32"/>
          <w:szCs w:val="32"/>
          <w:shd w:val="clear" w:color="auto" w:fill="FFFFFF"/>
        </w:rPr>
        <w:t>劳动力就地就近就业。四是</w:t>
      </w:r>
      <w:r>
        <w:rPr>
          <w:rFonts w:hint="eastAsia" w:ascii="仿宋_GB2312" w:hAnsi="仿宋_GB2312" w:eastAsia="仿宋_GB2312" w:cs="仿宋_GB2312"/>
          <w:color w:val="auto"/>
          <w:sz w:val="32"/>
          <w:szCs w:val="32"/>
        </w:rPr>
        <w:t xml:space="preserve">加强农村供水工程管理使用，完善供水管理服务机制，提升农村供水保障水平。    </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衔接推进乡村振兴。</w:t>
      </w:r>
      <w:r>
        <w:rPr>
          <w:rFonts w:hint="eastAsia" w:ascii="仿宋_GB2312" w:hAnsi="仿宋_GB2312" w:eastAsia="仿宋_GB2312" w:cs="仿宋_GB2312"/>
          <w:color w:val="auto"/>
          <w:sz w:val="32"/>
          <w:szCs w:val="32"/>
        </w:rPr>
        <w:t>一是抓规划。成立镇乡村振兴工作领导小组，组织镇村干部学习乡村振兴有关政策文件，召开镇村组三级研判会议，确立振兴目标，明确振兴内容和路径，邀请有经验的专家人士指导，制定毛坝镇村乡村振兴规划，分批次梯次推进。二是抓基础。在巩固脱贫成果制定好乡村振兴规划的基础上，各村围绕规划的人才培育、组织建设、产业发展、文化传承、生态保护等谋篇开局，为全面推进乡村振兴奠定基础。三是抓示范。毛坝镇村均暂未纳入全县乡村振兴示范的盘子，需立足自身资源优势，下好先手棋，决定将观音村</w:t>
      </w:r>
      <w:r>
        <w:rPr>
          <w:rFonts w:hint="eastAsia" w:ascii="仿宋_GB2312" w:hAnsi="仿宋_GB2312" w:eastAsia="仿宋_GB2312" w:cs="仿宋_GB2312"/>
          <w:color w:val="auto"/>
          <w:sz w:val="32"/>
          <w:szCs w:val="32"/>
          <w:lang w:eastAsia="zh-CN"/>
        </w:rPr>
        <w:t>作为</w:t>
      </w:r>
      <w:r>
        <w:rPr>
          <w:rFonts w:hint="eastAsia" w:ascii="仿宋_GB2312" w:hAnsi="仿宋_GB2312" w:eastAsia="仿宋_GB2312" w:cs="仿宋_GB2312"/>
          <w:color w:val="auto"/>
          <w:sz w:val="32"/>
          <w:szCs w:val="32"/>
        </w:rPr>
        <w:t>首要打造的乡村振兴示范村进行建设，一方面村组户围绕规划形成行动自觉，开展人居环境常态化整治，积极支持现有园区企业做大规模，发展优势产业；另一方面加快落地项目建设进度，在2023年项目争取上重点聚焦，同时发挥好包联单位作用，争取更多支持。</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扎实推动项目建设。</w:t>
      </w:r>
      <w:r>
        <w:rPr>
          <w:rFonts w:hint="eastAsia" w:ascii="仿宋_GB2312" w:hAnsi="仿宋_GB2312" w:eastAsia="仿宋_GB2312" w:cs="仿宋_GB2312"/>
          <w:color w:val="auto"/>
          <w:sz w:val="32"/>
          <w:szCs w:val="32"/>
        </w:rPr>
        <w:t>一是持续加大招商。重新梳理更新2023年招商项目库，压实镇村、各单位招商担子，发挥乡贤作用，巩固人人招商局面。二是加快招商项目落地建设。跟进</w:t>
      </w:r>
      <w:r>
        <w:rPr>
          <w:rFonts w:hint="eastAsia" w:ascii="仿宋_GB2312" w:hAnsi="仿宋_GB2312" w:eastAsia="仿宋_GB2312" w:cs="仿宋_GB2312"/>
          <w:color w:val="auto"/>
          <w:kern w:val="0"/>
          <w:sz w:val="32"/>
          <w:szCs w:val="32"/>
        </w:rPr>
        <w:t>四季度签约的富硒茶药枕及帛加工、集镇智慧停车场、清禄轻奢民宿酒店、秦巴大酒店等项目尽快落地，一季度举行毛坝镇招商引资项目集中开工仪式。三是镇村结合中省市县要求积极谋划巩固衔接、乡村建设等项目，更新完善项目库，主动向上汇报争取集镇防洪二期河堤、集镇广场、温家坪跨任河大桥、任家河坝夜间经济等重点项目下达。四是调整项目建设工作专班，进一步教方法明责任，促使集镇殡仪馆投入使用，全力保障县下达2023年项目建设进度和效益发挥。五是强化固定资产投资和“五上”企业培育工作。邀请统计、发改、经贸单位业务骨干到镇开展培训，提升干部适应新要求的纳统能力，树立人人纳统的纳统导向。在2022年奠定的项目基础上，做好纳统项目和五上企业培育，提早完成县下达目标任务。</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kern w:val="0"/>
          <w:sz w:val="32"/>
          <w:szCs w:val="32"/>
        </w:rPr>
        <w:t>加快落实链条产业。</w:t>
      </w:r>
      <w:r>
        <w:rPr>
          <w:rFonts w:hint="eastAsia" w:ascii="仿宋_GB2312" w:hAnsi="仿宋_GB2312" w:eastAsia="仿宋_GB2312" w:cs="仿宋_GB2312"/>
          <w:color w:val="auto"/>
          <w:kern w:val="0"/>
          <w:sz w:val="32"/>
          <w:szCs w:val="32"/>
        </w:rPr>
        <w:t>产业发展壮大是促进群众增收的必然路径，将乡村旅游、茶叶、艾草、花椒、香椿、流水鱼、富硒土豆、毛绒玩具等八项产业分类往县4+3产业链条上靠，培育链主企业，建链条基地，带动经营主体和农户享链条政策，在链条产业上享受收益。一是</w:t>
      </w:r>
      <w:r>
        <w:rPr>
          <w:rFonts w:hint="eastAsia" w:ascii="仿宋_GB2312" w:hAnsi="仿宋_GB2312" w:eastAsia="仿宋_GB2312" w:cs="仿宋_GB2312"/>
          <w:bCs/>
          <w:color w:val="auto"/>
          <w:kern w:val="0"/>
          <w:sz w:val="32"/>
          <w:szCs w:val="32"/>
        </w:rPr>
        <w:t>加快开发盘厢河旅游资源。</w:t>
      </w:r>
      <w:r>
        <w:rPr>
          <w:rFonts w:hint="eastAsia" w:ascii="仿宋_GB2312" w:hAnsi="仿宋_GB2312" w:eastAsia="仿宋_GB2312" w:cs="仿宋_GB2312"/>
          <w:color w:val="auto"/>
          <w:kern w:val="0"/>
          <w:sz w:val="32"/>
          <w:szCs w:val="32"/>
        </w:rPr>
        <w:t>推进盘厢河全域旅游建设，把游客向盘厢河纵深引流，梯次开发腰庄拐子坝、岔河龙家院子、干沙庞家院子、观音村观音寨整村旅游资源，推出渔家宴、鱼火锅、柴火鱼等新品，让盘厢河的秋冬季“热”起来。二是发展富硒茶叶产业。组织岔河、竹山、鲁家、瓦滩四村茶农、茶企到焕古、双桥等镇学习，转变茶农茶企管茶采茶制茶售茶意识，</w:t>
      </w:r>
      <w:r>
        <w:rPr>
          <w:rFonts w:hint="eastAsia" w:ascii="仿宋_GB2312" w:hAnsi="仿宋_GB2312" w:eastAsia="仿宋_GB2312" w:cs="仿宋_GB2312"/>
          <w:color w:val="auto"/>
          <w:sz w:val="32"/>
          <w:szCs w:val="32"/>
          <w:shd w:val="clear" w:color="auto" w:fill="FFFFFF"/>
        </w:rPr>
        <w:t>利用龙头企业+合作社+农户+基地模式加快发展。三是发展壮大富硒香椿、富硒花椒产业。村集体经济牵头，以合作社、家庭农场为主要单元，带动农户管护现有基地，新发展香椿1000亩以上、花椒500亩以上，让香椿厂和花椒厂活起来，让两项产业火起来，让农户的钱袋子鼓起来。四是发展富硒土豆产业和中药材产业。一季度建成岔河村土豆干制品加工生产线，鼓励农户继续发展，实现保底价回收。一季度完成中</w:t>
      </w:r>
      <w:r>
        <w:rPr>
          <w:rFonts w:hint="eastAsia" w:ascii="仿宋_GB2312" w:hAnsi="仿宋_GB2312" w:eastAsia="仿宋_GB2312" w:cs="仿宋_GB2312"/>
          <w:color w:val="auto"/>
          <w:kern w:val="0"/>
          <w:sz w:val="32"/>
          <w:szCs w:val="32"/>
        </w:rPr>
        <w:t>药材植物萃取生产基地项目和艾草二期建设项目，力促产业园区中药材生产加工项目落地，在缺乏主导产业的干沙、核桃坪、温家坪、染沟等村发展大黄、白芨等订单中药材，补齐镇村产业发展短板，让所有农户都有能让自己增收的产业。</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着力强化民生保障。</w:t>
      </w:r>
      <w:r>
        <w:rPr>
          <w:rFonts w:hint="eastAsia" w:ascii="仿宋_GB2312" w:hAnsi="仿宋_GB2312" w:eastAsia="仿宋_GB2312" w:cs="仿宋_GB2312"/>
          <w:color w:val="auto"/>
          <w:sz w:val="32"/>
          <w:szCs w:val="32"/>
          <w:shd w:val="clear" w:color="auto" w:fill="FFFFFF"/>
        </w:rPr>
        <w:t>坚持教育优先发展，加快毛坝中学宿舍综合楼建成投入使用，积极汇报争取镇中心幼儿园建设项目早日落地，继续落实“双减”工作，加强校园安全管理，进一步提升教育教学质量。加大基本医疗公共服务投入，不断提升镇村公共卫生服务能力。积极争取完善各村公共服务设施，助力全镇文明创建，不断满足群众精神文化需求。加快</w:t>
      </w:r>
      <w:r>
        <w:rPr>
          <w:rFonts w:hint="eastAsia" w:ascii="仿宋_GB2312" w:hAnsi="仿宋_GB2312" w:eastAsia="仿宋_GB2312" w:cs="仿宋_GB2312"/>
          <w:color w:val="auto"/>
          <w:sz w:val="32"/>
          <w:szCs w:val="32"/>
        </w:rPr>
        <w:t>推进集镇殡仪馆建设投用，力争集镇供水扩容工程一季度开工；</w:t>
      </w:r>
      <w:r>
        <w:rPr>
          <w:rFonts w:hint="eastAsia" w:ascii="仿宋_GB2312" w:hAnsi="仿宋_GB2312" w:eastAsia="仿宋_GB2312" w:cs="仿宋_GB2312"/>
          <w:color w:val="auto"/>
          <w:sz w:val="32"/>
          <w:szCs w:val="32"/>
          <w:shd w:val="clear" w:color="auto" w:fill="FFFFFF"/>
        </w:rPr>
        <w:t>加大低保、特困供养、残疾人基本生活保障力度，做到应兜尽兜、</w:t>
      </w:r>
      <w:r>
        <w:rPr>
          <w:rFonts w:hint="eastAsia" w:ascii="仿宋_GB2312" w:hAnsi="仿宋_GB2312" w:eastAsia="仿宋_GB2312" w:cs="仿宋_GB2312"/>
          <w:color w:val="auto"/>
          <w:sz w:val="32"/>
          <w:szCs w:val="32"/>
        </w:rPr>
        <w:t>应保尽保。</w:t>
      </w:r>
      <w:r>
        <w:rPr>
          <w:rFonts w:hint="eastAsia" w:ascii="仿宋_GB2312" w:hAnsi="仿宋_GB2312" w:eastAsia="仿宋_GB2312" w:cs="仿宋_GB2312"/>
          <w:bCs/>
          <w:color w:val="auto"/>
          <w:sz w:val="32"/>
          <w:szCs w:val="32"/>
        </w:rPr>
        <w:t>启动镇村规划管理</w:t>
      </w:r>
      <w:r>
        <w:rPr>
          <w:rFonts w:hint="eastAsia" w:ascii="仿宋_GB2312" w:hAnsi="仿宋_GB2312" w:eastAsia="仿宋_GB2312" w:cs="仿宋_GB2312"/>
          <w:color w:val="auto"/>
          <w:sz w:val="32"/>
          <w:szCs w:val="32"/>
        </w:rPr>
        <w:t>，规范车辆停放，规范建房审批，规范整治“大屋顶”建设，禁止违规搭建等。</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楷体_GB2312" w:hAnsi="楷体_GB2312" w:eastAsia="楷体_GB2312" w:cs="楷体_GB2312"/>
          <w:b/>
          <w:bCs/>
          <w:color w:val="auto"/>
          <w:kern w:val="0"/>
          <w:sz w:val="32"/>
          <w:szCs w:val="32"/>
        </w:rPr>
      </w:pPr>
      <w:r>
        <w:rPr>
          <w:rFonts w:hint="eastAsia" w:ascii="楷体_GB2312" w:hAnsi="楷体_GB2312" w:eastAsia="楷体_GB2312" w:cs="楷体_GB2312"/>
          <w:b/>
          <w:bCs/>
          <w:color w:val="auto"/>
          <w:sz w:val="32"/>
          <w:szCs w:val="32"/>
        </w:rPr>
        <w:t>（二）</w:t>
      </w:r>
      <w:r>
        <w:rPr>
          <w:rFonts w:hint="eastAsia" w:ascii="楷体_GB2312" w:hAnsi="楷体_GB2312" w:eastAsia="楷体_GB2312" w:cs="楷体_GB2312"/>
          <w:b/>
          <w:bCs/>
          <w:color w:val="auto"/>
          <w:kern w:val="0"/>
          <w:sz w:val="32"/>
          <w:szCs w:val="32"/>
        </w:rPr>
        <w:t>坚决守牢“五条底线”，确保社会大局和谐稳定</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仿宋_GB2312" w:eastAsia="仿宋_GB2312"/>
          <w:color w:val="auto"/>
          <w:sz w:val="32"/>
          <w:szCs w:val="32"/>
        </w:rPr>
      </w:pPr>
      <w:r>
        <w:rPr>
          <w:rFonts w:hint="eastAsia" w:ascii="仿宋_GB2312" w:hAnsi="楷体" w:eastAsia="仿宋_GB2312"/>
          <w:b/>
          <w:color w:val="auto"/>
          <w:sz w:val="32"/>
          <w:szCs w:val="32"/>
          <w:shd w:val="clear" w:color="auto" w:fill="FFFFFF"/>
        </w:rPr>
        <w:t>疫情防控工作底线。</w:t>
      </w:r>
      <w:r>
        <w:rPr>
          <w:rFonts w:hint="eastAsia" w:ascii="仿宋_GB2312" w:hAnsi="Microsoft YaHei UI" w:eastAsia="仿宋_GB2312"/>
          <w:color w:val="auto"/>
          <w:spacing w:val="8"/>
          <w:sz w:val="32"/>
          <w:szCs w:val="32"/>
          <w:shd w:val="clear" w:color="auto" w:fill="FFFFFF"/>
        </w:rPr>
        <w:t>坚持第九版防控方案，落实二十条优化措施，执行国家卫健委发布《关于进一步优化落实新冠肺炎疫情防控措施的通知》的要求</w:t>
      </w:r>
      <w:r>
        <w:rPr>
          <w:rFonts w:hint="eastAsia" w:ascii="仿宋_GB2312" w:eastAsia="仿宋_GB2312"/>
          <w:color w:val="auto"/>
          <w:sz w:val="32"/>
          <w:szCs w:val="32"/>
        </w:rPr>
        <w:t>。</w:t>
      </w:r>
      <w:r>
        <w:rPr>
          <w:rFonts w:hint="eastAsia" w:ascii="仿宋_GB2312" w:hAnsi="Microsoft YaHei UI" w:eastAsia="仿宋_GB2312"/>
          <w:color w:val="auto"/>
          <w:spacing w:val="8"/>
          <w:sz w:val="32"/>
          <w:szCs w:val="32"/>
          <w:shd w:val="clear" w:color="auto" w:fill="FFFFFF"/>
        </w:rPr>
        <w:t>抓严抓实抓细各项防控措施，</w:t>
      </w:r>
      <w:r>
        <w:rPr>
          <w:rFonts w:hint="eastAsia" w:ascii="仿宋_GB2312" w:eastAsia="仿宋_GB2312"/>
          <w:color w:val="auto"/>
          <w:sz w:val="32"/>
          <w:szCs w:val="32"/>
        </w:rPr>
        <w:t>强化疫情防控政策宣传，</w:t>
      </w:r>
      <w:r>
        <w:rPr>
          <w:rFonts w:hint="eastAsia" w:ascii="仿宋_GB2312" w:hAnsi="Microsoft YaHei UI" w:eastAsia="仿宋_GB2312"/>
          <w:color w:val="auto"/>
          <w:spacing w:val="8"/>
          <w:sz w:val="32"/>
          <w:szCs w:val="32"/>
          <w:shd w:val="clear" w:color="auto" w:fill="FFFFFF"/>
        </w:rPr>
        <w:t>最大程度保护人民生命安全和身体健康，最大限度减少疫情对经济社会发展的影响。</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仿宋_GB2312" w:eastAsia="仿宋_GB2312"/>
          <w:color w:val="auto"/>
          <w:sz w:val="32"/>
          <w:szCs w:val="32"/>
        </w:rPr>
      </w:pPr>
      <w:r>
        <w:rPr>
          <w:rFonts w:hint="eastAsia" w:ascii="仿宋_GB2312" w:hAnsi="楷体" w:eastAsia="仿宋_GB2312"/>
          <w:b/>
          <w:color w:val="auto"/>
          <w:sz w:val="32"/>
          <w:szCs w:val="32"/>
        </w:rPr>
        <w:t>防汛防滑工作底线。</w:t>
      </w:r>
      <w:r>
        <w:rPr>
          <w:rFonts w:hint="eastAsia" w:ascii="仿宋_GB2312" w:eastAsia="仿宋_GB2312"/>
          <w:bCs/>
          <w:color w:val="auto"/>
          <w:spacing w:val="15"/>
          <w:sz w:val="32"/>
          <w:szCs w:val="32"/>
          <w:shd w:val="clear" w:color="auto" w:fill="FFFFFF"/>
        </w:rPr>
        <w:t>严格汛期应急值班值守工作</w:t>
      </w:r>
      <w:r>
        <w:rPr>
          <w:rFonts w:hint="eastAsia" w:ascii="仿宋_GB2312" w:eastAsia="仿宋_GB2312"/>
          <w:color w:val="auto"/>
          <w:spacing w:val="15"/>
          <w:sz w:val="32"/>
          <w:szCs w:val="32"/>
          <w:shd w:val="clear" w:color="auto" w:fill="FFFFFF"/>
        </w:rPr>
        <w:t>，落实24小时带值班制度。</w:t>
      </w:r>
      <w:r>
        <w:rPr>
          <w:rFonts w:hint="eastAsia" w:ascii="仿宋_GB2312" w:eastAsia="仿宋_GB2312"/>
          <w:bCs/>
          <w:color w:val="auto"/>
          <w:sz w:val="32"/>
          <w:szCs w:val="32"/>
          <w:shd w:val="clear" w:color="auto" w:fill="FFFFFF"/>
        </w:rPr>
        <w:t>加强信息预警，</w:t>
      </w:r>
      <w:r>
        <w:rPr>
          <w:rFonts w:hint="eastAsia" w:ascii="仿宋_GB2312" w:eastAsia="仿宋_GB2312"/>
          <w:color w:val="auto"/>
          <w:sz w:val="32"/>
          <w:szCs w:val="32"/>
          <w:shd w:val="clear" w:color="auto" w:fill="FFFFFF"/>
        </w:rPr>
        <w:t>信息发布必须到户到人到点。加强地质灾害隐患点排查巡查，落实滑坡、泥石流等77处隐患点监测责任，</w:t>
      </w:r>
      <w:r>
        <w:rPr>
          <w:rFonts w:hint="eastAsia" w:ascii="仿宋_GB2312" w:eastAsia="仿宋_GB2312"/>
          <w:color w:val="auto"/>
          <w:spacing w:val="15"/>
          <w:sz w:val="32"/>
          <w:szCs w:val="32"/>
          <w:shd w:val="clear" w:color="auto" w:fill="FFFFFF"/>
        </w:rPr>
        <w:t>结合应急预案，发挥人盯人和监控监测设备作用，及时发现隐患及时预警，果断将处于危险地带的群众提前转移到安全场所，全力确保人民群众生命安全。</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楷体" w:hAnsi="楷体" w:eastAsia="楷体"/>
          <w:color w:val="auto"/>
          <w:sz w:val="32"/>
          <w:szCs w:val="32"/>
        </w:rPr>
      </w:pPr>
      <w:r>
        <w:rPr>
          <w:rFonts w:hint="eastAsia" w:ascii="仿宋_GB2312" w:hAnsi="楷体" w:eastAsia="仿宋_GB2312"/>
          <w:b/>
          <w:color w:val="auto"/>
          <w:kern w:val="0"/>
          <w:sz w:val="32"/>
          <w:szCs w:val="32"/>
        </w:rPr>
        <w:t>生态环保工作底线。</w:t>
      </w:r>
      <w:r>
        <w:rPr>
          <w:rFonts w:hint="eastAsia" w:ascii="仿宋_GB2312" w:hAnsi="仿宋_GB2312" w:eastAsia="仿宋_GB2312" w:cs="仿宋_GB2312"/>
          <w:color w:val="auto"/>
          <w:sz w:val="32"/>
          <w:szCs w:val="32"/>
          <w:shd w:val="clear" w:color="auto" w:fill="FFFFFF"/>
        </w:rPr>
        <w:t>突出抓好境内河道及村容村貌环境综合整治。</w:t>
      </w:r>
      <w:r>
        <w:rPr>
          <w:rFonts w:hint="eastAsia" w:ascii="仿宋_GB2312" w:hAnsi="仿宋_GB2312" w:eastAsia="仿宋_GB2312" w:cs="仿宋_GB2312"/>
          <w:bCs/>
          <w:color w:val="auto"/>
          <w:sz w:val="32"/>
          <w:szCs w:val="32"/>
        </w:rPr>
        <w:t>巩固落实河长制、林长制，</w:t>
      </w:r>
      <w:r>
        <w:rPr>
          <w:rFonts w:hint="eastAsia" w:ascii="仿宋_GB2312" w:hAnsi="仿宋_GB2312" w:eastAsia="仿宋_GB2312" w:cs="仿宋_GB2312"/>
          <w:color w:val="auto"/>
          <w:sz w:val="32"/>
          <w:szCs w:val="32"/>
          <w:shd w:val="clear" w:color="auto" w:fill="FFFFFF"/>
        </w:rPr>
        <w:t>持续加大河道巡查，集中清理河道垃圾，继续打击非法捕鱼、非法偷砂采砂行为，做到发现一起，打击一起，绝不手软。</w:t>
      </w:r>
      <w:r>
        <w:rPr>
          <w:rFonts w:hint="eastAsia" w:ascii="仿宋_GB2312" w:hAnsi="仿宋_GB2312" w:eastAsia="仿宋_GB2312" w:cs="仿宋_GB2312"/>
          <w:bCs/>
          <w:color w:val="auto"/>
          <w:sz w:val="32"/>
          <w:szCs w:val="32"/>
        </w:rPr>
        <w:t>持续做好大气污染防治工作，</w:t>
      </w:r>
      <w:r>
        <w:rPr>
          <w:rFonts w:hint="eastAsia" w:ascii="仿宋_GB2312" w:hAnsi="仿宋_GB2312" w:eastAsia="仿宋_GB2312" w:cs="仿宋_GB2312"/>
          <w:color w:val="auto"/>
          <w:sz w:val="32"/>
          <w:szCs w:val="32"/>
        </w:rPr>
        <w:t>严禁烟花爆竹燃放和秸秆焚烧。</w:t>
      </w:r>
      <w:r>
        <w:rPr>
          <w:rFonts w:hint="eastAsia" w:ascii="仿宋_GB2312" w:hAnsi="仿宋_GB2312" w:eastAsia="仿宋_GB2312" w:cs="仿宋_GB2312"/>
          <w:bCs/>
          <w:color w:val="auto"/>
          <w:sz w:val="32"/>
          <w:szCs w:val="32"/>
        </w:rPr>
        <w:t>持续做好整治“两违”和农村乱占耕地建房问题</w:t>
      </w:r>
      <w:r>
        <w:rPr>
          <w:rFonts w:hint="eastAsia" w:ascii="仿宋_GB2312" w:hAnsi="仿宋_GB2312" w:eastAsia="仿宋_GB2312" w:cs="仿宋_GB2312"/>
          <w:color w:val="auto"/>
          <w:sz w:val="32"/>
          <w:szCs w:val="32"/>
        </w:rPr>
        <w:t>，以零容忍的态度坚决遏制增量。坚决守住生态保护红线、永久基本农田保护线和建设用地开发边界线。</w:t>
      </w:r>
      <w:r>
        <w:rPr>
          <w:rFonts w:hint="eastAsia" w:ascii="仿宋_GB2312" w:hAnsi="仿宋_GB2312" w:eastAsia="仿宋_GB2312" w:cs="仿宋_GB2312"/>
          <w:bCs/>
          <w:color w:val="auto"/>
          <w:sz w:val="32"/>
          <w:szCs w:val="32"/>
        </w:rPr>
        <w:t>持续做好森林抚育、封山育林工程，</w:t>
      </w:r>
      <w:r>
        <w:rPr>
          <w:rFonts w:hint="eastAsia" w:ascii="仿宋_GB2312" w:hAnsi="仿宋_GB2312" w:eastAsia="仿宋_GB2312" w:cs="仿宋_GB2312"/>
          <w:color w:val="auto"/>
          <w:sz w:val="32"/>
          <w:szCs w:val="32"/>
        </w:rPr>
        <w:t>确保森林覆盖率持续提升。</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楷体" w:eastAsia="仿宋_GB2312"/>
          <w:b/>
          <w:color w:val="auto"/>
          <w:sz w:val="32"/>
          <w:szCs w:val="32"/>
        </w:rPr>
        <w:t>安全生产工作底线。</w:t>
      </w:r>
      <w:r>
        <w:rPr>
          <w:rFonts w:hint="eastAsia" w:ascii="仿宋_GB2312" w:hAnsi="仿宋_GB2312" w:eastAsia="仿宋_GB2312" w:cs="仿宋_GB2312"/>
          <w:bCs/>
          <w:color w:val="auto"/>
          <w:sz w:val="32"/>
          <w:szCs w:val="32"/>
        </w:rPr>
        <w:t>持续开展各类安全隐患排查。</w:t>
      </w:r>
      <w:r>
        <w:rPr>
          <w:rFonts w:hint="eastAsia" w:ascii="仿宋_GB2312" w:hAnsi="仿宋_GB2312" w:eastAsia="仿宋_GB2312" w:cs="仿宋_GB2312"/>
          <w:color w:val="auto"/>
          <w:sz w:val="32"/>
          <w:szCs w:val="32"/>
        </w:rPr>
        <w:t>定期开展安全生产大排查大整治攻坚行动，坚决防范生产安全事故发生。</w:t>
      </w:r>
      <w:r>
        <w:rPr>
          <w:rFonts w:hint="eastAsia" w:ascii="仿宋_GB2312" w:hAnsi="仿宋_GB2312" w:eastAsia="仿宋_GB2312" w:cs="仿宋_GB2312"/>
          <w:bCs/>
          <w:color w:val="auto"/>
          <w:sz w:val="32"/>
          <w:szCs w:val="32"/>
        </w:rPr>
        <w:t>持续开展专项整治</w:t>
      </w:r>
      <w:r>
        <w:rPr>
          <w:rFonts w:hint="eastAsia" w:ascii="仿宋_GB2312" w:hAnsi="仿宋_GB2312" w:eastAsia="仿宋_GB2312" w:cs="仿宋_GB2312"/>
          <w:color w:val="auto"/>
          <w:sz w:val="32"/>
          <w:szCs w:val="32"/>
        </w:rPr>
        <w:t>，集中对道路交通、水上安全（防溺水）、燃油燃气、特种设备、森林防火、工地、消防、食药品等领域问题开展专项整治，集中整治存在的安全隐患，确保各领域安全状况良好。</w:t>
      </w:r>
      <w:r>
        <w:rPr>
          <w:rFonts w:hint="eastAsia" w:ascii="仿宋_GB2312" w:hAnsi="仿宋_GB2312" w:eastAsia="仿宋_GB2312" w:cs="仿宋_GB2312"/>
          <w:bCs/>
          <w:color w:val="auto"/>
          <w:sz w:val="32"/>
          <w:szCs w:val="32"/>
        </w:rPr>
        <w:t>持续开展安全生产宣传，</w:t>
      </w:r>
      <w:r>
        <w:rPr>
          <w:rFonts w:hint="eastAsia" w:ascii="仿宋_GB2312" w:hAnsi="仿宋_GB2312" w:eastAsia="仿宋_GB2312" w:cs="仿宋_GB2312"/>
          <w:color w:val="auto"/>
          <w:sz w:val="32"/>
          <w:szCs w:val="32"/>
        </w:rPr>
        <w:t>通过召开会议、悬挂条幅等形式加大宣传力度，不断</w:t>
      </w:r>
      <w:r>
        <w:rPr>
          <w:rFonts w:hint="eastAsia" w:ascii="仿宋_GB2312" w:hAnsi="仿宋_GB2312" w:eastAsia="仿宋_GB2312" w:cs="仿宋_GB2312"/>
          <w:color w:val="auto"/>
          <w:sz w:val="32"/>
          <w:szCs w:val="32"/>
          <w:lang w:eastAsia="zh-CN"/>
        </w:rPr>
        <w:t>增强</w:t>
      </w:r>
      <w:r>
        <w:rPr>
          <w:rFonts w:hint="eastAsia" w:ascii="仿宋_GB2312" w:hAnsi="仿宋_GB2312" w:eastAsia="仿宋_GB2312" w:cs="仿宋_GB2312"/>
          <w:color w:val="auto"/>
          <w:sz w:val="32"/>
          <w:szCs w:val="32"/>
        </w:rPr>
        <w:t>广大群众的安全意识，营造良好安全生产氛围。</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仿宋_GB2312" w:hAnsi="微软雅黑" w:eastAsia="仿宋_GB2312"/>
          <w:color w:val="auto"/>
          <w:sz w:val="32"/>
          <w:szCs w:val="32"/>
          <w:shd w:val="clear" w:color="auto" w:fill="FFFFFF"/>
        </w:rPr>
      </w:pPr>
      <w:r>
        <w:rPr>
          <w:rFonts w:hint="eastAsia" w:ascii="仿宋_GB2312" w:hAnsi="楷体" w:eastAsia="仿宋_GB2312"/>
          <w:b/>
          <w:color w:val="auto"/>
          <w:sz w:val="32"/>
          <w:szCs w:val="32"/>
        </w:rPr>
        <w:t>信访稳定工作底线</w:t>
      </w:r>
      <w:r>
        <w:rPr>
          <w:rFonts w:hint="eastAsia" w:ascii="仿宋_GB2312" w:eastAsia="仿宋_GB2312"/>
          <w:b/>
          <w:color w:val="auto"/>
          <w:sz w:val="32"/>
          <w:szCs w:val="32"/>
        </w:rPr>
        <w:t>。</w:t>
      </w: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shd w:val="clear" w:color="auto" w:fill="FFFFFF"/>
        </w:rPr>
        <w:t>村（社区）要对辖区内不稳定因素、矛盾纠纷进行拉网式排查，建立台账、落实责任，对排查出来的问题，以工作队和主管站所办为单位进行化解处理，切实将矛盾纠纷化解在镇、在村。力求将问题彻底解决，不留后患，确保我镇信访工作平稳。</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楷体_GB2312" w:hAnsi="楷体_GB2312" w:eastAsia="楷体_GB2312" w:cs="楷体_GB2312"/>
          <w:b/>
          <w:bCs/>
          <w:color w:val="auto"/>
          <w:sz w:val="32"/>
          <w:szCs w:val="32"/>
          <w:shd w:val="clear" w:color="auto" w:fill="FFFFFF"/>
        </w:rPr>
      </w:pPr>
      <w:r>
        <w:rPr>
          <w:rFonts w:hint="eastAsia" w:ascii="楷体_GB2312" w:hAnsi="楷体_GB2312" w:eastAsia="楷体_GB2312" w:cs="楷体_GB2312"/>
          <w:b/>
          <w:bCs/>
          <w:color w:val="auto"/>
          <w:sz w:val="32"/>
          <w:szCs w:val="32"/>
          <w:shd w:val="clear" w:color="auto" w:fill="FFFFFF"/>
        </w:rPr>
        <w:t>（三）梯次培育“五个亮点”，持续提升毛坝影响力</w:t>
      </w:r>
    </w:p>
    <w:p>
      <w:pPr>
        <w:keepNext w:val="0"/>
        <w:keepLines w:val="0"/>
        <w:pageBreakBefore w:val="0"/>
        <w:pBdr>
          <w:bottom w:val="single" w:color="FFFFFF" w:sz="4" w:space="30"/>
        </w:pBdr>
        <w:kinsoku/>
        <w:wordWrap/>
        <w:overflowPunct w:val="0"/>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一是打造观音村乡村旅游示范村。依托自然资源禀赋，建成艾草康养、观泉山庄二期、观音村民宿20家等，</w:t>
      </w:r>
      <w:r>
        <w:rPr>
          <w:rFonts w:hint="eastAsia" w:ascii="仿宋_GB2312" w:hAnsi="仿宋_GB2312" w:eastAsia="仿宋_GB2312" w:cs="仿宋_GB2312"/>
          <w:color w:val="auto"/>
          <w:kern w:val="0"/>
          <w:sz w:val="32"/>
          <w:szCs w:val="32"/>
        </w:rPr>
        <w:t>推出渔家宴、鱼火锅、柴火鱼等新品。</w:t>
      </w:r>
      <w:r>
        <w:rPr>
          <w:rFonts w:hint="eastAsia" w:ascii="仿宋_GB2312" w:hAnsi="仿宋_GB2312" w:eastAsia="仿宋_GB2312" w:cs="仿宋_GB2312"/>
          <w:color w:val="auto"/>
          <w:sz w:val="32"/>
          <w:szCs w:val="32"/>
          <w:shd w:val="clear" w:color="auto" w:fill="FFFFFF"/>
        </w:rPr>
        <w:t>二是加快培育家庭农场。鼓励和支持农户、产业大户、合作社因地因户制宜发展多元化特色产业，实行龙头企业+家庭农场+基地模式，藤结瓜成熟一个包装一个，实现村村组组都有家庭农场，户户有产品，户户能增收。三是壮大村集体经济。规范现资产式收益资金投放，收回到期且无实质带动效益的资金，盘活现有资源资产，村集体因地制宜发展链条产业。四是推进依法调处走实。针对遗留问题和缠访闹访，加大常用法律法规政策宣传培训，用现成的法律法规解决问题，解决信访不信法的问题，“老支书调解团”常驻办公，与司法所、法庭加强对接，定期召开联席会议，归纳总结阶段性多发矛盾纠纷，提出有针对性的应对措施，把矛盾解决在镇村层面，树立政府“硬”形象。五是打造乡贤文化。发挥乡贤馆牵头牵总的阵地作用，让乡贤馆成为招商引资、社会治理、宣传思想的主阵地。</w:t>
      </w:r>
    </w:p>
    <w:p>
      <w:pPr>
        <w:keepNext w:val="0"/>
        <w:keepLines w:val="0"/>
        <w:pageBreakBefore w:val="0"/>
        <w:pBdr>
          <w:bottom w:val="single" w:color="FFFFFF" w:sz="4" w:space="30"/>
        </w:pBdr>
        <w:kinsoku/>
        <w:wordWrap/>
        <w:overflowPunct w:val="0"/>
        <w:autoSpaceDN/>
        <w:bidi w:val="0"/>
        <w:snapToGrid/>
        <w:spacing w:line="560" w:lineRule="exact"/>
        <w:ind w:firstLine="643" w:firstLineChars="200"/>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 xml:space="preserve">（四）着力打造“五型政府”，树立为民服务良好形象 </w:t>
      </w:r>
    </w:p>
    <w:p>
      <w:pPr>
        <w:keepNext w:val="0"/>
        <w:keepLines w:val="0"/>
        <w:pageBreakBefore w:val="0"/>
        <w:pBdr>
          <w:bottom w:val="single" w:color="FFFFFF" w:sz="4" w:space="30"/>
        </w:pBdr>
        <w:kinsoku/>
        <w:wordWrap/>
        <w:overflowPunct w:val="0"/>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全面加强政府自身建设，进一步转变职能，树立忠诚担当、敬业奉献、实干廉洁的良好形象，努力建设组织放心、群众满意政府。</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着力建设忠诚型政府。</w:t>
      </w:r>
      <w:r>
        <w:rPr>
          <w:rFonts w:hint="eastAsia" w:ascii="仿宋_GB2312" w:hAnsi="仿宋_GB2312" w:eastAsia="仿宋_GB2312" w:cs="仿宋_GB2312"/>
          <w:color w:val="auto"/>
          <w:sz w:val="32"/>
          <w:szCs w:val="32"/>
          <w:shd w:val="clear" w:color="auto" w:fill="FFFFFF"/>
        </w:rPr>
        <w:t>突出政治建设这个前提，发挥模范带头作用，认真践行“四个意识”“四个自信”，做到“两个维护”，以积极向上的精神状态和斗志落实好县委县政府和镇党委的各项决策部署。</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着力建设学习型政府。</w:t>
      </w:r>
      <w:r>
        <w:rPr>
          <w:rFonts w:hint="eastAsia" w:ascii="仿宋_GB2312" w:hAnsi="仿宋_GB2312" w:eastAsia="仿宋_GB2312" w:cs="仿宋_GB2312"/>
          <w:color w:val="auto"/>
          <w:sz w:val="32"/>
          <w:szCs w:val="32"/>
          <w:shd w:val="clear" w:color="auto" w:fill="FFFFFF"/>
        </w:rPr>
        <w:t xml:space="preserve">树立“学则进，不学则退”思想观念，坚持把学习作为提升机关干部素质、改进工作作风、提升工作效能的有力抓手。深入学习贯彻习近平总书记系列讲话精神及上级部署要求，进一步增强理论自信和战略定力。认真学习脱贫成果巩固各项惠农政策和法律法规，增强服务群众底气。 </w:t>
      </w:r>
    </w:p>
    <w:p>
      <w:pPr>
        <w:keepNext w:val="0"/>
        <w:keepLines w:val="0"/>
        <w:pageBreakBefore w:val="0"/>
        <w:pBdr>
          <w:bottom w:val="single" w:color="FFFFFF" w:sz="4" w:space="30"/>
        </w:pBdr>
        <w:kinsoku/>
        <w:wordWrap/>
        <w:overflowPunct w:val="0"/>
        <w:autoSpaceDE w:val="0"/>
        <w:autoSpaceDN/>
        <w:bidi w:val="0"/>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shd w:val="clear" w:color="auto" w:fill="FFFFFF"/>
        </w:rPr>
        <w:t>着力建设法治型政府。</w:t>
      </w:r>
      <w:r>
        <w:rPr>
          <w:rFonts w:hint="eastAsia" w:ascii="仿宋_GB2312" w:hAnsi="仿宋_GB2312" w:eastAsia="仿宋_GB2312" w:cs="仿宋_GB2312"/>
          <w:color w:val="auto"/>
          <w:sz w:val="32"/>
          <w:szCs w:val="32"/>
        </w:rPr>
        <w:t>抓好普法宣传，依法履行行政职能，</w:t>
      </w:r>
      <w:r>
        <w:rPr>
          <w:rFonts w:hint="eastAsia" w:ascii="仿宋_GB2312" w:hAnsi="仿宋_GB2312" w:eastAsia="仿宋_GB2312" w:cs="仿宋_GB2312"/>
          <w:color w:val="auto"/>
          <w:sz w:val="32"/>
          <w:szCs w:val="32"/>
          <w:shd w:val="clear" w:color="auto" w:fill="FFFFFF"/>
        </w:rPr>
        <w:t>加大政务公开力度，坚持科学决策、民主决策、依法决策，广泛听取各方面意见包括批评意见，接受人民监督。</w:t>
      </w:r>
    </w:p>
    <w:p>
      <w:pPr>
        <w:keepNext w:val="0"/>
        <w:keepLines w:val="0"/>
        <w:pageBreakBefore w:val="0"/>
        <w:widowControl w:val="0"/>
        <w:pBdr>
          <w:bottom w:val="single" w:color="FFFFFF" w:sz="4" w:space="30"/>
        </w:pBdr>
        <w:kinsoku/>
        <w:wordWrap/>
        <w:overflowPunct w:val="0"/>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着力建设实干型政府。</w:t>
      </w:r>
      <w:r>
        <w:rPr>
          <w:rFonts w:hint="eastAsia" w:ascii="仿宋_GB2312" w:hAnsi="仿宋_GB2312" w:eastAsia="仿宋_GB2312" w:cs="仿宋_GB2312"/>
          <w:color w:val="auto"/>
          <w:sz w:val="32"/>
          <w:szCs w:val="32"/>
        </w:rPr>
        <w:t>聚焦群众普遍关心和经济社会发展的问题，积极主动担当尽责，</w:t>
      </w:r>
      <w:r>
        <w:rPr>
          <w:rFonts w:hint="eastAsia" w:ascii="仿宋_GB2312" w:hAnsi="仿宋_GB2312" w:eastAsia="仿宋_GB2312" w:cs="仿宋_GB2312"/>
          <w:color w:val="auto"/>
          <w:sz w:val="32"/>
          <w:szCs w:val="32"/>
          <w:shd w:val="clear" w:color="auto" w:fill="FFFFFF"/>
        </w:rPr>
        <w:t>干字当头，真抓实干、埋头苦干、结合实际地干，不以会议贯彻会议、以文件落实文件，不纸上谈兵，不好高骛远，对重点工作任务，铆紧各方责任、层层传导压力，不折不扣落实。</w:t>
      </w:r>
      <w:r>
        <w:rPr>
          <w:rFonts w:hint="eastAsia" w:ascii="仿宋_GB2312" w:hAnsi="仿宋_GB2312" w:eastAsia="仿宋_GB2312" w:cs="仿宋_GB2312"/>
          <w:color w:val="auto"/>
          <w:sz w:val="32"/>
          <w:szCs w:val="32"/>
        </w:rPr>
        <w:t>切实提升执行力和服务水平，</w:t>
      </w:r>
      <w:r>
        <w:rPr>
          <w:rFonts w:hint="eastAsia" w:ascii="仿宋_GB2312" w:hAnsi="仿宋_GB2312" w:eastAsia="仿宋_GB2312" w:cs="仿宋_GB2312"/>
          <w:color w:val="auto"/>
          <w:sz w:val="32"/>
          <w:szCs w:val="32"/>
          <w:shd w:val="clear" w:color="auto" w:fill="FFFFFF"/>
        </w:rPr>
        <w:t>与群众同心协力，以实干推动发展，以实干赢得未来。</w:t>
      </w:r>
    </w:p>
    <w:p>
      <w:pPr>
        <w:keepNext w:val="0"/>
        <w:keepLines w:val="0"/>
        <w:pageBreakBefore w:val="0"/>
        <w:widowControl w:val="0"/>
        <w:pBdr>
          <w:bottom w:val="single" w:color="FFFFFF" w:sz="4" w:space="30"/>
        </w:pBdr>
        <w:kinsoku/>
        <w:wordWrap/>
        <w:overflowPunct w:val="0"/>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color w:val="auto"/>
          <w:sz w:val="32"/>
          <w:szCs w:val="32"/>
        </w:rPr>
        <w:t>着力建设廉洁型政府。</w:t>
      </w:r>
      <w:r>
        <w:rPr>
          <w:rFonts w:hint="eastAsia" w:ascii="仿宋_GB2312" w:hAnsi="仿宋_GB2312" w:eastAsia="仿宋_GB2312" w:cs="仿宋_GB2312"/>
          <w:color w:val="auto"/>
          <w:sz w:val="32"/>
          <w:szCs w:val="32"/>
        </w:rPr>
        <w:t>突出作风建设，以身作则，以上率下，自觉接受监督，</w:t>
      </w:r>
      <w:r>
        <w:rPr>
          <w:rFonts w:hint="eastAsia" w:ascii="仿宋_GB2312" w:hAnsi="仿宋_GB2312" w:eastAsia="仿宋_GB2312" w:cs="仿宋_GB2312"/>
          <w:color w:val="auto"/>
          <w:sz w:val="32"/>
          <w:szCs w:val="32"/>
          <w:shd w:val="clear" w:color="auto" w:fill="FFFFFF"/>
        </w:rPr>
        <w:t>坚决贯彻落实党中央八项规定精神，</w:t>
      </w:r>
      <w:r>
        <w:rPr>
          <w:rFonts w:hint="eastAsia" w:ascii="仿宋_GB2312" w:hAnsi="仿宋_GB2312" w:eastAsia="仿宋_GB2312" w:cs="仿宋_GB2312"/>
          <w:color w:val="auto"/>
          <w:sz w:val="32"/>
          <w:szCs w:val="32"/>
        </w:rPr>
        <w:t>提倡勤俭节约，反对铺张浪费，及时解决损害群众利益的突出问题，</w:t>
      </w:r>
      <w:r>
        <w:rPr>
          <w:rFonts w:hint="eastAsia" w:ascii="仿宋_GB2312" w:hAnsi="仿宋_GB2312" w:eastAsia="仿宋_GB2312" w:cs="仿宋_GB2312"/>
          <w:color w:val="auto"/>
          <w:sz w:val="32"/>
          <w:szCs w:val="32"/>
          <w:shd w:val="clear" w:color="auto" w:fill="FFFFFF"/>
        </w:rPr>
        <w:t>持廉守正，干干净净为人民做事。</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纳入本部门</w:t>
      </w:r>
      <w:r>
        <w:rPr>
          <w:rFonts w:hint="eastAsia" w:ascii="仿宋" w:hAnsi="仿宋" w:eastAsia="仿宋" w:cs="仿宋"/>
          <w:sz w:val="32"/>
          <w:szCs w:val="32"/>
          <w:lang w:eastAsia="zh-CN"/>
        </w:rPr>
        <w:t>2022</w:t>
      </w:r>
      <w:r>
        <w:rPr>
          <w:rFonts w:hint="eastAsia" w:ascii="仿宋" w:hAnsi="仿宋" w:eastAsia="仿宋" w:cs="仿宋"/>
          <w:sz w:val="32"/>
          <w:szCs w:val="32"/>
        </w:rPr>
        <w:t>年部门预算编制范围的二级预算单位共有</w:t>
      </w:r>
      <w:r>
        <w:rPr>
          <w:rFonts w:hint="eastAsia" w:ascii="仿宋" w:hAnsi="仿宋" w:eastAsia="仿宋" w:cs="仿宋"/>
          <w:sz w:val="32"/>
          <w:szCs w:val="32"/>
          <w:lang w:val="en-US" w:eastAsia="zh-CN"/>
        </w:rPr>
        <w:t>4</w:t>
      </w:r>
      <w:r>
        <w:rPr>
          <w:rFonts w:hint="eastAsia" w:ascii="仿宋" w:hAnsi="仿宋" w:eastAsia="仿宋" w:cs="仿宋"/>
          <w:sz w:val="32"/>
          <w:szCs w:val="32"/>
        </w:rPr>
        <w:t>个，包括：</w:t>
      </w:r>
    </w:p>
    <w:tbl>
      <w:tblPr>
        <w:tblStyle w:val="3"/>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毛坝镇人民政府（本级）</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毛坝镇社会管理办公室</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毛坝镇社会保障服务站</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outlineLvl w:val="9"/>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毛坝镇经济发展办公室</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截止</w:t>
      </w:r>
      <w:bookmarkStart w:id="0" w:name="_GoBack"/>
      <w:bookmarkEnd w:id="0"/>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lang w:val="en-US" w:eastAsia="zh-CN"/>
        </w:rPr>
        <w:t>22</w:t>
      </w:r>
      <w:r>
        <w:rPr>
          <w:rFonts w:hint="eastAsia" w:ascii="仿宋" w:hAnsi="仿宋" w:eastAsia="仿宋" w:cs="仿宋"/>
          <w:color w:val="000000"/>
          <w:sz w:val="32"/>
          <w:szCs w:val="32"/>
        </w:rPr>
        <w:t>年底，本部门人员编制</w:t>
      </w:r>
      <w:r>
        <w:rPr>
          <w:rFonts w:hint="eastAsia" w:ascii="Arial" w:hAnsi="Arial" w:cs="Arial"/>
          <w:i w:val="0"/>
          <w:iCs w:val="0"/>
          <w:caps w:val="0"/>
          <w:color w:val="000000"/>
          <w:spacing w:val="0"/>
          <w:kern w:val="0"/>
          <w:sz w:val="27"/>
          <w:szCs w:val="27"/>
          <w:shd w:val="clear" w:color="auto" w:fill="FFFFFF"/>
          <w:lang w:val="en-US" w:eastAsia="zh-CN" w:bidi="ar"/>
        </w:rPr>
        <w:t>67</w:t>
      </w:r>
      <w:r>
        <w:rPr>
          <w:rFonts w:hint="eastAsia" w:ascii="仿宋" w:hAnsi="仿宋" w:eastAsia="仿宋" w:cs="仿宋"/>
          <w:color w:val="000000"/>
          <w:sz w:val="32"/>
          <w:szCs w:val="32"/>
        </w:rPr>
        <w:t>人，其中行政编制</w:t>
      </w:r>
      <w:r>
        <w:rPr>
          <w:rFonts w:hint="eastAsia" w:ascii="Arial" w:hAnsi="Arial" w:cs="Arial"/>
          <w:i w:val="0"/>
          <w:iCs w:val="0"/>
          <w:caps w:val="0"/>
          <w:color w:val="000000"/>
          <w:spacing w:val="0"/>
          <w:kern w:val="0"/>
          <w:sz w:val="27"/>
          <w:szCs w:val="27"/>
          <w:shd w:val="clear" w:color="auto" w:fill="FFFFFF"/>
          <w:lang w:val="en-US" w:eastAsia="zh-CN" w:bidi="ar"/>
        </w:rPr>
        <w:t>29</w:t>
      </w:r>
      <w:r>
        <w:rPr>
          <w:rFonts w:hint="eastAsia" w:ascii="仿宋" w:hAnsi="仿宋" w:eastAsia="仿宋" w:cs="仿宋"/>
          <w:color w:val="000000"/>
          <w:sz w:val="32"/>
          <w:szCs w:val="32"/>
        </w:rPr>
        <w:t>人、事业编制</w:t>
      </w:r>
      <w:r>
        <w:rPr>
          <w:rFonts w:hint="eastAsia" w:ascii="Arial" w:hAnsi="Arial" w:cs="Arial"/>
          <w:i w:val="0"/>
          <w:iCs w:val="0"/>
          <w:caps w:val="0"/>
          <w:color w:val="000000"/>
          <w:spacing w:val="0"/>
          <w:kern w:val="0"/>
          <w:sz w:val="27"/>
          <w:szCs w:val="27"/>
          <w:shd w:val="clear" w:color="auto" w:fill="FFFFFF"/>
          <w:lang w:val="en-US" w:eastAsia="zh-CN" w:bidi="ar"/>
        </w:rPr>
        <w:t>38</w:t>
      </w:r>
      <w:r>
        <w:rPr>
          <w:rFonts w:hint="eastAsia" w:ascii="仿宋" w:hAnsi="仿宋" w:eastAsia="仿宋" w:cs="仿宋"/>
          <w:color w:val="000000"/>
          <w:sz w:val="32"/>
          <w:szCs w:val="32"/>
        </w:rPr>
        <w:t>人；实有人员</w:t>
      </w:r>
      <w:r>
        <w:rPr>
          <w:rFonts w:hint="eastAsia" w:ascii="仿宋" w:hAnsi="仿宋" w:eastAsia="仿宋" w:cs="仿宋"/>
          <w:color w:val="000000"/>
          <w:sz w:val="32"/>
          <w:szCs w:val="32"/>
          <w:lang w:val="en-US" w:eastAsia="zh-CN"/>
        </w:rPr>
        <w:t>64</w:t>
      </w:r>
      <w:r>
        <w:rPr>
          <w:rFonts w:hint="eastAsia" w:ascii="仿宋" w:hAnsi="仿宋" w:eastAsia="仿宋" w:cs="仿宋"/>
          <w:color w:val="000000"/>
          <w:sz w:val="32"/>
          <w:szCs w:val="32"/>
        </w:rPr>
        <w:t>人，其中行政</w:t>
      </w:r>
      <w:r>
        <w:rPr>
          <w:rFonts w:hint="eastAsia" w:ascii="仿宋" w:hAnsi="仿宋" w:eastAsia="仿宋" w:cs="仿宋"/>
          <w:color w:val="000000"/>
          <w:sz w:val="32"/>
          <w:szCs w:val="32"/>
          <w:lang w:val="en-US" w:eastAsia="zh-CN"/>
        </w:rPr>
        <w:t>26</w:t>
      </w:r>
      <w:r>
        <w:rPr>
          <w:rFonts w:hint="eastAsia" w:ascii="仿宋" w:hAnsi="仿宋" w:eastAsia="仿宋" w:cs="仿宋"/>
          <w:color w:val="000000"/>
          <w:sz w:val="32"/>
          <w:szCs w:val="32"/>
        </w:rPr>
        <w:t>人、事业</w:t>
      </w:r>
      <w:r>
        <w:rPr>
          <w:rFonts w:hint="eastAsia" w:ascii="仿宋" w:hAnsi="仿宋" w:eastAsia="仿宋" w:cs="仿宋"/>
          <w:color w:val="000000"/>
          <w:sz w:val="32"/>
          <w:szCs w:val="32"/>
          <w:lang w:val="en-US" w:eastAsia="zh-CN"/>
        </w:rPr>
        <w:t>38</w:t>
      </w:r>
      <w:r>
        <w:rPr>
          <w:rFonts w:hint="eastAsia" w:ascii="仿宋" w:hAnsi="仿宋" w:eastAsia="仿宋" w:cs="仿宋"/>
          <w:color w:val="000000"/>
          <w:sz w:val="32"/>
          <w:szCs w:val="32"/>
        </w:rPr>
        <w:t>人。单位管理的离退休人员</w:t>
      </w:r>
      <w:r>
        <w:rPr>
          <w:rFonts w:hint="eastAsia" w:ascii="仿宋" w:hAnsi="仿宋" w:eastAsia="仿宋" w:cs="仿宋"/>
          <w:color w:val="000000"/>
          <w:sz w:val="32"/>
          <w:szCs w:val="32"/>
          <w:lang w:val="en-US" w:eastAsia="zh-CN"/>
        </w:rPr>
        <w:t>0</w:t>
      </w:r>
      <w:r>
        <w:rPr>
          <w:rFonts w:hint="eastAsia" w:ascii="仿宋" w:hAnsi="仿宋" w:eastAsia="仿宋" w:cs="仿宋"/>
          <w:color w:val="000000"/>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lang w:val="en-US"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年本部门预算收入</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982.05</w:t>
      </w:r>
      <w:r>
        <w:rPr>
          <w:rFonts w:hint="eastAsia" w:ascii="仿宋" w:hAnsi="仿宋" w:eastAsia="仿宋" w:cs="仿宋"/>
          <w:sz w:val="32"/>
          <w:szCs w:val="32"/>
        </w:rPr>
        <w:t>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年本部门预算收入较上年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129.39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年本部门预算支出较上年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129.39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年本部门财政拨款收入</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982.05</w:t>
      </w:r>
      <w:r>
        <w:rPr>
          <w:rFonts w:hint="eastAsia" w:ascii="仿宋" w:hAnsi="仿宋" w:eastAsia="仿宋" w:cs="仿宋"/>
          <w:sz w:val="32"/>
          <w:szCs w:val="32"/>
        </w:rPr>
        <w:t>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年本部门财政拨款收入较上年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129.39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年本部门财政拨款支出较上年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129.39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lang w:val="en-US" w:eastAsia="zh-CN"/>
        </w:rPr>
        <w:t>当年</w:t>
      </w:r>
      <w:r>
        <w:rPr>
          <w:rFonts w:hint="eastAsia" w:ascii="仿宋" w:hAnsi="仿宋" w:eastAsia="仿宋" w:cs="仿宋"/>
          <w:sz w:val="32"/>
          <w:szCs w:val="32"/>
        </w:rPr>
        <w:t>拨款规模变化情况。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年本部门当年一般公共预算拨款支出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129.39</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sz w:val="32"/>
          <w:szCs w:val="32"/>
          <w:lang w:val="en-US" w:eastAsia="zh-CN"/>
        </w:rPr>
        <w:t>功能</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年当年一般公共预算支出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3</w:t>
      </w:r>
      <w:r>
        <w:rPr>
          <w:rFonts w:hint="eastAsia" w:ascii="仿宋" w:hAnsi="仿宋" w:eastAsia="仿宋" w:cs="仿宋"/>
          <w:sz w:val="32"/>
          <w:szCs w:val="32"/>
        </w:rPr>
        <w:t>01）</w:t>
      </w:r>
      <w:r>
        <w:rPr>
          <w:rFonts w:hint="eastAsia" w:ascii="仿宋" w:hAnsi="仿宋" w:eastAsia="仿宋" w:cs="仿宋"/>
          <w:sz w:val="32"/>
          <w:szCs w:val="32"/>
          <w:lang w:val="en-US" w:eastAsia="zh-CN"/>
        </w:rPr>
        <w:t>797.5</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47.19</w:t>
      </w:r>
      <w:r>
        <w:rPr>
          <w:rFonts w:hint="eastAsia" w:ascii="仿宋" w:hAnsi="仿宋" w:eastAsia="仿宋" w:cs="仿宋"/>
          <w:sz w:val="32"/>
          <w:szCs w:val="32"/>
        </w:rPr>
        <w:t>万元，要原因是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（2080505）</w:t>
      </w:r>
      <w:r>
        <w:rPr>
          <w:rFonts w:hint="eastAsia" w:ascii="仿宋" w:hAnsi="仿宋" w:eastAsia="仿宋" w:cs="仿宋"/>
          <w:sz w:val="32"/>
          <w:szCs w:val="32"/>
          <w:lang w:val="en-US" w:eastAsia="zh-CN"/>
        </w:rPr>
        <w:t>82.17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13.53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人员增加和增资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行政单位医疗</w:t>
      </w:r>
      <w:r>
        <w:rPr>
          <w:rFonts w:hint="eastAsia" w:ascii="仿宋" w:hAnsi="仿宋" w:eastAsia="仿宋" w:cs="仿宋"/>
          <w:sz w:val="32"/>
          <w:szCs w:val="32"/>
        </w:rPr>
        <w:t>（2101101）</w:t>
      </w:r>
      <w:r>
        <w:rPr>
          <w:rFonts w:hint="eastAsia" w:ascii="仿宋" w:hAnsi="仿宋" w:eastAsia="仿宋" w:cs="仿宋"/>
          <w:sz w:val="32"/>
          <w:szCs w:val="32"/>
          <w:lang w:val="en-US" w:eastAsia="zh-CN"/>
        </w:rPr>
        <w:t>40.53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6.82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人员增加和增资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）住房公积金（2210201）</w:t>
      </w:r>
      <w:r>
        <w:rPr>
          <w:rFonts w:hint="eastAsia" w:ascii="仿宋" w:hAnsi="仿宋" w:eastAsia="仿宋" w:cs="仿宋"/>
          <w:sz w:val="32"/>
          <w:szCs w:val="32"/>
          <w:lang w:val="en-US" w:eastAsia="zh-CN"/>
        </w:rPr>
        <w:t>60.85万元，</w:t>
      </w:r>
      <w:r>
        <w:rPr>
          <w:rFonts w:hint="eastAsia" w:ascii="仿宋" w:hAnsi="仿宋" w:eastAsia="仿宋" w:cs="仿宋"/>
          <w:sz w:val="32"/>
          <w:szCs w:val="32"/>
        </w:rPr>
        <w:t>较上年增加</w:t>
      </w:r>
      <w:r>
        <w:rPr>
          <w:rFonts w:hint="eastAsia" w:ascii="仿宋" w:hAnsi="仿宋" w:eastAsia="仿宋" w:cs="仿宋"/>
          <w:sz w:val="32"/>
          <w:szCs w:val="32"/>
          <w:lang w:val="en-US" w:eastAsia="zh-CN"/>
        </w:rPr>
        <w:t>60.85</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住房公积金单位部分今年预算到镇级。</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sz w:val="32"/>
          <w:szCs w:val="32"/>
          <w:lang w:val="en-US" w:eastAsia="zh-CN"/>
        </w:rPr>
        <w:t>经济</w:t>
      </w:r>
      <w:r>
        <w:rPr>
          <w:rFonts w:hint="eastAsia" w:ascii="仿宋" w:hAnsi="仿宋" w:eastAsia="仿宋" w:cs="仿宋"/>
          <w:sz w:val="32"/>
          <w:szCs w:val="32"/>
        </w:rPr>
        <w:t>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（1）按</w:t>
      </w:r>
      <w:r>
        <w:rPr>
          <w:rFonts w:hint="eastAsia" w:ascii="仿宋" w:hAnsi="仿宋" w:eastAsia="仿宋" w:cs="仿宋"/>
          <w:sz w:val="32"/>
          <w:szCs w:val="32"/>
          <w:lang w:val="en-US" w:eastAsia="zh-CN"/>
        </w:rPr>
        <w:t>照部门预算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年本部门当年一般公共预算支出</w:t>
      </w:r>
      <w:r>
        <w:rPr>
          <w:rFonts w:hint="eastAsia" w:ascii="仿宋" w:hAnsi="仿宋" w:eastAsia="仿宋" w:cs="仿宋"/>
          <w:sz w:val="32"/>
          <w:szCs w:val="32"/>
          <w:lang w:val="en-US" w:eastAsia="zh-CN"/>
        </w:rPr>
        <w:t>982.05</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817.76</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111.08</w:t>
      </w:r>
      <w:r>
        <w:rPr>
          <w:rFonts w:hint="eastAsia" w:ascii="仿宋" w:hAnsi="仿宋" w:eastAsia="仿宋" w:cs="仿宋"/>
          <w:sz w:val="32"/>
          <w:szCs w:val="32"/>
        </w:rPr>
        <w:t>万元，要原因是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146.17</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18.04</w:t>
      </w:r>
      <w:r>
        <w:rPr>
          <w:rFonts w:hint="eastAsia" w:ascii="仿宋" w:hAnsi="仿宋" w:eastAsia="仿宋" w:cs="仿宋"/>
          <w:sz w:val="32"/>
          <w:szCs w:val="32"/>
        </w:rPr>
        <w:t>万元，原因</w:t>
      </w:r>
      <w:r>
        <w:rPr>
          <w:rFonts w:hint="eastAsia" w:ascii="仿宋" w:hAnsi="仿宋" w:eastAsia="仿宋" w:cs="仿宋"/>
          <w:sz w:val="32"/>
          <w:szCs w:val="32"/>
          <w:lang w:val="en-US" w:eastAsia="zh-CN"/>
        </w:rPr>
        <w:t>是预算口径发生变化，新增其他交通费；</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12.32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0.09</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遗属增减差额增长</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sz w:val="32"/>
          <w:szCs w:val="32"/>
          <w:lang w:val="en-US" w:eastAsia="zh-CN"/>
        </w:rPr>
        <w:t>政府预算</w:t>
      </w:r>
      <w:r>
        <w:rPr>
          <w:rFonts w:hint="eastAsia" w:ascii="仿宋" w:hAnsi="仿宋" w:eastAsia="仿宋" w:cs="仿宋"/>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年本部门当年一般公共预算支出</w:t>
      </w:r>
      <w:r>
        <w:rPr>
          <w:rFonts w:hint="eastAsia" w:ascii="仿宋" w:hAnsi="仿宋" w:eastAsia="仿宋" w:cs="仿宋"/>
          <w:sz w:val="32"/>
          <w:szCs w:val="32"/>
          <w:lang w:val="en-US" w:eastAsia="zh-CN"/>
        </w:rPr>
        <w:t>882.21</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806.81</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100.13</w:t>
      </w:r>
      <w:r>
        <w:rPr>
          <w:rFonts w:hint="eastAsia" w:ascii="仿宋" w:hAnsi="仿宋" w:eastAsia="仿宋" w:cs="仿宋"/>
          <w:sz w:val="32"/>
          <w:szCs w:val="32"/>
        </w:rPr>
        <w:t>万元，</w:t>
      </w:r>
      <w:r>
        <w:rPr>
          <w:rFonts w:hint="eastAsia" w:ascii="仿宋" w:hAnsi="仿宋" w:eastAsia="仿宋" w:cs="仿宋"/>
          <w:sz w:val="32"/>
          <w:szCs w:val="32"/>
          <w:lang w:val="en-US" w:eastAsia="zh-CN"/>
        </w:rPr>
        <w:t>主</w:t>
      </w:r>
      <w:r>
        <w:rPr>
          <w:rFonts w:hint="eastAsia" w:ascii="仿宋" w:hAnsi="仿宋" w:eastAsia="仿宋" w:cs="仿宋"/>
          <w:sz w:val="32"/>
          <w:szCs w:val="32"/>
        </w:rPr>
        <w:t>要原因是</w:t>
      </w:r>
      <w:r>
        <w:rPr>
          <w:rFonts w:hint="eastAsia" w:ascii="仿宋" w:hAnsi="仿宋" w:eastAsia="仿宋" w:cs="仿宋"/>
          <w:sz w:val="32"/>
          <w:szCs w:val="32"/>
          <w:lang w:val="en-US" w:eastAsia="zh-CN"/>
        </w:rPr>
        <w:t>新分配人员增加，经费增加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64.27</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增加20.04</w:t>
      </w:r>
      <w:r>
        <w:rPr>
          <w:rFonts w:hint="eastAsia" w:ascii="仿宋" w:hAnsi="仿宋" w:eastAsia="仿宋" w:cs="仿宋"/>
          <w:sz w:val="32"/>
          <w:szCs w:val="32"/>
        </w:rPr>
        <w:t>万元，原因</w:t>
      </w:r>
      <w:r>
        <w:rPr>
          <w:rFonts w:hint="eastAsia" w:ascii="仿宋" w:hAnsi="仿宋" w:eastAsia="仿宋" w:cs="仿宋"/>
          <w:sz w:val="32"/>
          <w:szCs w:val="32"/>
          <w:lang w:val="en-US" w:eastAsia="zh-CN"/>
        </w:rPr>
        <w:t>是预算口径发生变化</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509</w:t>
      </w:r>
      <w:r>
        <w:rPr>
          <w:rFonts w:hint="eastAsia" w:ascii="仿宋" w:hAnsi="仿宋" w:eastAsia="仿宋" w:cs="仿宋"/>
          <w:sz w:val="32"/>
          <w:szCs w:val="32"/>
        </w:rPr>
        <w:t>）</w:t>
      </w:r>
      <w:r>
        <w:rPr>
          <w:rFonts w:hint="eastAsia" w:ascii="仿宋" w:hAnsi="仿宋" w:eastAsia="仿宋" w:cs="仿宋"/>
          <w:sz w:val="32"/>
          <w:szCs w:val="32"/>
          <w:lang w:val="en-US" w:eastAsia="zh-CN"/>
        </w:rPr>
        <w:t>11.13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4.41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增加遗属补助。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val="en-US" w:eastAsia="zh-CN"/>
        </w:rPr>
        <w:t>2023</w:t>
      </w:r>
      <w:r>
        <w:rPr>
          <w:rFonts w:hint="eastAsia" w:ascii="仿宋" w:hAnsi="仿宋" w:eastAsia="仿宋" w:cs="仿宋"/>
          <w:sz w:val="32"/>
          <w:szCs w:val="32"/>
        </w:rPr>
        <w:t>年结转财政资金一般公共预算拨款支出情况。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val="en-US" w:eastAsia="zh-CN"/>
        </w:rPr>
        <w:t>2023</w:t>
      </w:r>
      <w:r>
        <w:rPr>
          <w:rFonts w:hint="eastAsia" w:ascii="仿宋" w:hAnsi="仿宋" w:eastAsia="仿宋" w:cs="仿宋"/>
          <w:sz w:val="32"/>
          <w:szCs w:val="32"/>
          <w:highlight w:val="none"/>
        </w:rPr>
        <w:t>年结转的一般公共预算拨款资金支出。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本部门无2023年结转的政府性基金预算拨款支出，</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val="en-US" w:eastAsia="zh-CN"/>
        </w:rPr>
        <w:t>2023</w:t>
      </w:r>
      <w:r>
        <w:rPr>
          <w:rFonts w:hint="eastAsia" w:ascii="仿宋" w:hAnsi="仿宋" w:eastAsia="仿宋" w:cs="仿宋"/>
          <w:b w:val="0"/>
          <w:bCs w:val="0"/>
          <w:sz w:val="32"/>
          <w:szCs w:val="32"/>
          <w:highlight w:val="none"/>
        </w:rPr>
        <w:t>年结转的国有资本经营预算拨款支出。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六、部门预算“三公”经费等预算情况说明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年本部门当年一般公共预算“三公”经费预算支出</w:t>
      </w:r>
      <w:r>
        <w:rPr>
          <w:rFonts w:hint="eastAsia" w:ascii="仿宋" w:hAnsi="仿宋" w:eastAsia="仿宋" w:cs="仿宋"/>
          <w:sz w:val="32"/>
          <w:szCs w:val="32"/>
          <w:lang w:val="en-US" w:eastAsia="zh-CN"/>
        </w:rPr>
        <w:t>7.35</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增加0.05。</w:t>
      </w:r>
      <w:r>
        <w:rPr>
          <w:rFonts w:hint="eastAsia" w:ascii="仿宋" w:hAnsi="仿宋" w:eastAsia="仿宋" w:cs="仿宋"/>
          <w:sz w:val="32"/>
          <w:szCs w:val="32"/>
        </w:rPr>
        <w:t>其中</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公务接待费3.35</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增加0.05</w:t>
      </w:r>
      <w:r>
        <w:rPr>
          <w:rFonts w:hint="eastAsia" w:ascii="仿宋" w:hAnsi="仿宋" w:eastAsia="仿宋" w:cs="仿宋"/>
          <w:sz w:val="32"/>
          <w:szCs w:val="32"/>
        </w:rPr>
        <w:t>；</w:t>
      </w:r>
      <w:r>
        <w:rPr>
          <w:rFonts w:hint="eastAsia" w:ascii="仿宋" w:hAnsi="仿宋" w:eastAsia="仿宋" w:cs="仿宋"/>
          <w:sz w:val="32"/>
          <w:szCs w:val="32"/>
          <w:lang w:val="en-US" w:eastAsia="zh-CN"/>
        </w:rPr>
        <w:t>公务用车运行费4</w:t>
      </w:r>
      <w:r>
        <w:rPr>
          <w:rFonts w:hint="eastAsia" w:ascii="仿宋" w:hAnsi="仿宋" w:eastAsia="仿宋" w:cs="仿宋"/>
          <w:sz w:val="32"/>
          <w:szCs w:val="32"/>
        </w:rPr>
        <w:t>万元，较上年</w:t>
      </w:r>
      <w:r>
        <w:rPr>
          <w:rFonts w:hint="eastAsia" w:ascii="仿宋" w:hAnsi="仿宋" w:eastAsia="仿宋" w:cs="仿宋"/>
          <w:sz w:val="32"/>
          <w:szCs w:val="32"/>
          <w:lang w:eastAsia="zh-CN"/>
        </w:rPr>
        <w:t>持</w:t>
      </w:r>
      <w:r>
        <w:rPr>
          <w:rFonts w:hint="eastAsia" w:ascii="仿宋" w:hAnsi="仿宋" w:eastAsia="仿宋" w:cs="仿宋"/>
          <w:sz w:val="32"/>
          <w:szCs w:val="32"/>
          <w:highlight w:val="none"/>
          <w:lang w:eastAsia="zh-CN"/>
        </w:rPr>
        <w:t>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年本部门当年</w:t>
      </w:r>
      <w:r>
        <w:rPr>
          <w:rFonts w:hint="eastAsia" w:ascii="仿宋" w:hAnsi="仿宋" w:eastAsia="仿宋" w:cs="仿宋"/>
          <w:sz w:val="32"/>
          <w:szCs w:val="32"/>
          <w:lang w:val="en-US" w:eastAsia="zh-CN"/>
        </w:rPr>
        <w:t>会议费</w:t>
      </w:r>
      <w:r>
        <w:rPr>
          <w:rFonts w:hint="eastAsia" w:ascii="仿宋" w:hAnsi="仿宋" w:eastAsia="仿宋" w:cs="仿宋"/>
          <w:sz w:val="32"/>
          <w:szCs w:val="32"/>
        </w:rPr>
        <w:t>预算支出</w:t>
      </w:r>
      <w:r>
        <w:rPr>
          <w:rFonts w:hint="eastAsia" w:ascii="仿宋" w:hAnsi="仿宋" w:eastAsia="仿宋" w:cs="仿宋"/>
          <w:sz w:val="32"/>
          <w:szCs w:val="32"/>
          <w:lang w:val="en-US" w:eastAsia="zh-CN"/>
        </w:rPr>
        <w:t>4</w:t>
      </w:r>
      <w:r>
        <w:rPr>
          <w:rFonts w:hint="eastAsia" w:ascii="仿宋" w:hAnsi="仿宋" w:eastAsia="仿宋" w:cs="仿宋"/>
          <w:sz w:val="32"/>
          <w:szCs w:val="32"/>
        </w:rPr>
        <w:t>万元，较上年</w:t>
      </w:r>
      <w:r>
        <w:rPr>
          <w:rFonts w:hint="eastAsia" w:ascii="仿宋" w:hAnsi="仿宋" w:eastAsia="仿宋" w:cs="仿宋"/>
          <w:sz w:val="32"/>
          <w:szCs w:val="32"/>
          <w:lang w:eastAsia="zh-CN"/>
        </w:rPr>
        <w:t>持平</w:t>
      </w:r>
      <w:r>
        <w:rPr>
          <w:rFonts w:hint="eastAsia" w:ascii="仿宋" w:hAnsi="仿宋" w:eastAsia="仿宋" w:cs="仿宋"/>
          <w:sz w:val="32"/>
          <w:szCs w:val="32"/>
        </w:rPr>
        <w:t>。</w:t>
      </w:r>
      <w:r>
        <w:rPr>
          <w:rFonts w:hint="eastAsia" w:ascii="仿宋" w:hAnsi="仿宋" w:eastAsia="仿宋" w:cs="仿宋"/>
          <w:sz w:val="32"/>
          <w:szCs w:val="32"/>
          <w:lang w:val="en-US" w:eastAsia="zh-CN"/>
        </w:rPr>
        <w:t>本部门2023年无</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及公务用车购置费经费预算。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val="en-US" w:eastAsia="zh-CN"/>
        </w:rPr>
        <w:t>2022</w:t>
      </w:r>
      <w:r>
        <w:rPr>
          <w:rFonts w:hint="eastAsia" w:ascii="仿宋" w:hAnsi="仿宋" w:eastAsia="仿宋" w:cs="仿宋"/>
          <w:sz w:val="32"/>
          <w:szCs w:val="32"/>
        </w:rPr>
        <w:t>年结转的财政拨款‘三公’经费</w:t>
      </w:r>
      <w:r>
        <w:rPr>
          <w:rFonts w:hint="eastAsia" w:ascii="仿宋" w:hAnsi="仿宋" w:eastAsia="仿宋" w:cs="仿宋"/>
          <w:sz w:val="32"/>
          <w:szCs w:val="32"/>
          <w:lang w:eastAsia="zh-CN"/>
        </w:rPr>
        <w:t>和会议费、培训费</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val="en-US" w:eastAsia="zh-CN"/>
        </w:rPr>
        <w:t>2022</w:t>
      </w:r>
      <w:r>
        <w:rPr>
          <w:rFonts w:hint="eastAsia" w:ascii="仿宋" w:hAnsi="仿宋" w:eastAsia="仿宋" w:cs="仿宋"/>
          <w:sz w:val="32"/>
          <w:szCs w:val="32"/>
        </w:rPr>
        <w:t>年底，本部门所属预算单位共有车辆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年当年本部门政府采购预算共</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万元，其中政府采购货物类预算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万元、政府采购服务类预算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万元、政府采购工程类预算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年结转的政府采购资金支出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年本部门绩效目标管理全覆盖，涉及当年一般公共预算拨款</w:t>
      </w:r>
      <w:r>
        <w:rPr>
          <w:rFonts w:hint="eastAsia" w:ascii="仿宋" w:hAnsi="仿宋" w:eastAsia="仿宋" w:cs="仿宋"/>
          <w:sz w:val="32"/>
          <w:szCs w:val="32"/>
          <w:lang w:val="en-US" w:eastAsia="zh-CN"/>
        </w:rPr>
        <w:t>982.05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年结转的财政拨款支出涉及的绩效目标管理。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机关运行经费安排说明</w:t>
      </w:r>
    </w:p>
    <w:p>
      <w:pPr>
        <w:spacing w:line="360" w:lineRule="auto"/>
        <w:ind w:firstLine="640"/>
        <w:rPr>
          <w:rFonts w:hint="eastAsia" w:ascii="仿宋" w:hAnsi="仿宋" w:eastAsia="仿宋" w:cs="仿宋"/>
          <w:sz w:val="32"/>
          <w:szCs w:val="32"/>
          <w:lang w:eastAsia="zh-CN"/>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44.83</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0.6</w:t>
      </w:r>
      <w:r>
        <w:rPr>
          <w:rFonts w:hint="eastAsia" w:ascii="仿宋" w:hAnsi="仿宋" w:eastAsia="仿宋" w:cs="仿宋"/>
          <w:sz w:val="32"/>
          <w:szCs w:val="32"/>
        </w:rPr>
        <w:t>万元</w:t>
      </w:r>
      <w:r>
        <w:rPr>
          <w:rFonts w:hint="eastAsia" w:ascii="仿宋" w:hAnsi="仿宋" w:eastAsia="仿宋" w:cs="仿宋"/>
          <w:sz w:val="32"/>
          <w:szCs w:val="32"/>
          <w:lang w:eastAsia="zh-CN"/>
        </w:rPr>
        <w:t>，基本持平。</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年结转的财政拨款机关运行经费支出。</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专业名词解释</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autoSpaceDE w:val="0"/>
        <w:spacing w:line="360" w:lineRule="auto"/>
        <w:ind w:firstLine="640"/>
        <w:rPr>
          <w:rFonts w:ascii="仿宋" w:hAnsi="仿宋" w:eastAsia="仿宋"/>
          <w:sz w:val="32"/>
          <w:szCs w:val="32"/>
        </w:rPr>
      </w:pPr>
      <w:r>
        <w:rPr>
          <w:rFonts w:hint="eastAsia" w:ascii="仿宋" w:hAnsi="仿宋" w:eastAsia="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autoSpaceDE w:val="0"/>
        <w:spacing w:line="360" w:lineRule="auto"/>
        <w:ind w:firstLine="640"/>
        <w:rPr>
          <w:rFonts w:hint="eastAsia" w:ascii="仿宋" w:hAnsi="仿宋" w:eastAsia="仿宋"/>
          <w:sz w:val="32"/>
          <w:szCs w:val="32"/>
        </w:rPr>
      </w:pPr>
      <w:r>
        <w:rPr>
          <w:rFonts w:hint="eastAsia" w:ascii="仿宋" w:hAnsi="仿宋" w:eastAsia="仿宋"/>
          <w:sz w:val="32"/>
          <w:szCs w:val="32"/>
        </w:rPr>
        <w:t>3、工资福利支出：指开支的在职职工的各类劳动报酬</w:t>
      </w:r>
      <w:r>
        <w:rPr>
          <w:rFonts w:hint="eastAsia" w:ascii="仿宋" w:hAnsi="仿宋" w:eastAsia="仿宋"/>
          <w:sz w:val="32"/>
          <w:szCs w:val="32"/>
          <w:lang w:eastAsia="zh-CN"/>
        </w:rPr>
        <w:t>，</w:t>
      </w:r>
      <w:r>
        <w:rPr>
          <w:rFonts w:hint="eastAsia" w:ascii="仿宋" w:hAnsi="仿宋" w:eastAsia="仿宋"/>
          <w:sz w:val="32"/>
          <w:szCs w:val="32"/>
        </w:rPr>
        <w:t>以及为上述人员缴纳的各类社会保险费等。</w:t>
      </w:r>
    </w:p>
    <w:p>
      <w:pPr>
        <w:autoSpaceDE w:val="0"/>
        <w:spacing w:line="360" w:lineRule="auto"/>
        <w:ind w:firstLine="640"/>
        <w:rPr>
          <w:rFonts w:hint="eastAsia" w:ascii="仿宋" w:hAnsi="仿宋" w:eastAsia="仿宋"/>
          <w:sz w:val="32"/>
          <w:szCs w:val="32"/>
        </w:rPr>
      </w:pPr>
      <w:r>
        <w:rPr>
          <w:rFonts w:hint="eastAsia" w:ascii="仿宋" w:hAnsi="仿宋" w:eastAsia="仿宋"/>
          <w:sz w:val="32"/>
          <w:szCs w:val="32"/>
        </w:rPr>
        <w:t>4、商品和服务支出：指在日常工作中购买商品和服务的支出，如：办公费、培训费等。</w:t>
      </w:r>
    </w:p>
    <w:p>
      <w:pPr>
        <w:ind w:firstLine="640"/>
        <w:rPr>
          <w:rFonts w:hint="eastAsia"/>
        </w:rPr>
      </w:pPr>
      <w:r>
        <w:rPr>
          <w:rFonts w:hint="eastAsia" w:ascii="仿宋" w:hAnsi="仿宋" w:eastAsia="仿宋"/>
          <w:sz w:val="32"/>
          <w:szCs w:val="32"/>
        </w:rPr>
        <w:t>5、对个人和家庭的补助支出：指用于对个人和家庭补助支出，如：遗属生活补助费等。</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2C335C"/>
    <w:rsid w:val="0466605A"/>
    <w:rsid w:val="04670F5E"/>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895F50"/>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4C51C52"/>
    <w:rsid w:val="385D1A98"/>
    <w:rsid w:val="38F70388"/>
    <w:rsid w:val="3A4434B4"/>
    <w:rsid w:val="3B055E9C"/>
    <w:rsid w:val="3D28036F"/>
    <w:rsid w:val="3D8407DF"/>
    <w:rsid w:val="3DFF32ED"/>
    <w:rsid w:val="3F503091"/>
    <w:rsid w:val="4008265B"/>
    <w:rsid w:val="41851E44"/>
    <w:rsid w:val="420B5D06"/>
    <w:rsid w:val="4248700C"/>
    <w:rsid w:val="448E0239"/>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7AD3FB4"/>
    <w:rsid w:val="781B6398"/>
    <w:rsid w:val="7839395D"/>
    <w:rsid w:val="788B613B"/>
    <w:rsid w:val="78935A62"/>
    <w:rsid w:val="7920167B"/>
    <w:rsid w:val="7A3E4F09"/>
    <w:rsid w:val="7BF11232"/>
    <w:rsid w:val="7C354ADD"/>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600" b="1" i="0" u="none" strike="noStrike" kern="1200" cap="all"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实有人员</c:v>
                </c:pt>
              </c:strCache>
            </c:strRef>
          </c:tx>
          <c:spPr/>
          <c:explosion val="0"/>
          <c:dPt>
            <c:idx val="0"/>
            <c:bubble3D val="0"/>
            <c:spPr>
              <a:solidFill>
                <a:schemeClr val="accent1"/>
              </a:solidFill>
              <a:ln>
                <a:noFill/>
              </a:ln>
              <a:effectLst>
                <a:outerShdw blurRad="63500" sx="102000" sy="102000" algn="ctr" rotWithShape="0">
                  <a:prstClr val="black">
                    <a:alpha val="20000"/>
                  </a:prstClr>
                </a:outerShdw>
              </a:effectLst>
            </c:spPr>
          </c:dPt>
          <c:dPt>
            <c:idx val="1"/>
            <c:bubble3D val="0"/>
            <c:spPr>
              <a:solidFill>
                <a:schemeClr val="accent2"/>
              </a:solidFill>
              <a:ln>
                <a:noFill/>
              </a:ln>
              <a:effectLst>
                <a:outerShdw blurRad="63500" sx="102000" sy="102000" algn="ctr" rotWithShape="0">
                  <a:prstClr val="black">
                    <a:alpha val="20000"/>
                  </a:prstClr>
                </a:outerShdw>
              </a:effectLst>
            </c:spPr>
          </c:dPt>
          <c:dLbls>
            <c:dLbl>
              <c:idx val="0"/>
              <c:layout>
                <c:manualLayout>
                  <c:x val="0"/>
                  <c:y val="-0.0025"/>
                </c:manualLayout>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1"/>
                        </a:solidFill>
                        <a:latin typeface="+mn-lt"/>
                        <a:ea typeface="+mn-ea"/>
                        <a:cs typeface="+mn-cs"/>
                      </a:defRPr>
                    </a:pPr>
                    <a:r>
                      <a:t>实有行政人员4</a:t>
                    </a:r>
                    <a:r>
                      <a:rPr lang="en-US" altLang="zh-CN"/>
                      <a:t>0</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1" i="0" u="none" strike="noStrike" kern="1200" spc="0" baseline="0">
                        <a:solidFill>
                          <a:schemeClr val="accent2"/>
                        </a:solidFill>
                        <a:latin typeface="+mn-lt"/>
                        <a:ea typeface="+mn-ea"/>
                        <a:cs typeface="+mn-cs"/>
                      </a:defRPr>
                    </a:pPr>
                    <a:r>
                      <a:t>实有事业人员</a:t>
                    </a:r>
                  </a:p>
                  <a:p>
                    <a:pPr defTabSz="914400">
                      <a:defRPr lang="zh-CN" sz="1000" b="1" i="0" u="none" strike="noStrike" kern="1200" spc="0" baseline="0">
                        <a:solidFill>
                          <a:schemeClr val="accent2"/>
                        </a:solidFill>
                        <a:latin typeface="+mn-lt"/>
                        <a:ea typeface="+mn-ea"/>
                        <a:cs typeface="+mn-cs"/>
                      </a:defRPr>
                    </a:pPr>
                    <a:r>
                      <a:rPr lang="en-US" altLang="zh-CN"/>
                      <a:t>60</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Sheet1!$A$2:$A$3</c15:sqref>
                  </c15:fullRef>
                </c:ext>
              </c:extLst>
              <c:f>Sheet1!$A$2:$A$3</c:f>
              <c:strCache>
                <c:ptCount val="2"/>
                <c:pt idx="0">
                  <c:v>实有行政人员</c:v>
                </c:pt>
                <c:pt idx="1">
                  <c:v>实有事业人员</c:v>
                </c:pt>
              </c:strCache>
            </c:strRef>
          </c:cat>
          <c:val>
            <c:numRef>
              <c:extLst>
                <c:ext xmlns:c15="http://schemas.microsoft.com/office/drawing/2012/chart" uri="{02D57815-91ED-43cb-92C2-25804820EDAC}">
                  <c15:fullRef>
                    <c15:sqref>Sheet1!$B$2:$B$3</c15:sqref>
                  </c15:fullRef>
                </c:ext>
              </c:extLst>
              <c:f>Sheet1!$B$2:$B$3</c:f>
              <c:numCache>
                <c:formatCode>General</c:formatCode>
                <c:ptCount val="2"/>
                <c:pt idx="0">
                  <c:v>23</c:v>
                </c:pt>
                <c:pt idx="1">
                  <c:v>32</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6953</Words>
  <Characters>7328</Characters>
  <Lines>0</Lines>
  <Paragraphs>0</Paragraphs>
  <TotalTime>11</TotalTime>
  <ScaleCrop>false</ScaleCrop>
  <LinksUpToDate>false</LinksUpToDate>
  <CharactersWithSpaces>7367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