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紫阳县行政审批服务局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2023年部门综合预算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二、2023年年度部门工作任务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1.贯彻执行中、省、市、县有关行政审批、政务服务、12345 服务热线等方面工作的决策部署。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全县行政审批制度改革工作，推进审批服务便民化。组织落实中、省、市、县行政审批事项承接、取消和下放工作；负责对县级行政许可事项、中介服务事项、公共服务事项进行清理规范、编制事项清单、对外发布并监督检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组织推进相对集中行政许可权改革。建立和完善相对集中行政许可权改革工作机制；依法履行划转的行政审批和政务服务事项审批职责，并对行政审批行为承担相应的法律责任；优化审批流程、简化审批环节、压缩审批时限，提高办事效率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4.承担政务服务管理职责。指导协调全县政务服务体系建设，拟订实施政务服务标准规范；深化“一网通办”，探索“跨异地办理”，推行审批服务“马上办、网上办、就近办、一次办”，优化提升营商环境。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5.负责县政务服务中心、县政务服务网和12345 市民服务平台建设、运行、管理工作，配合有关部门进行民意调查和查处违法、违规、违纪问题。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6.负责组织实施与县级划转行政审批服务事项相关的勘验、评审、论证、听证、公示等工作。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7.负责指导县、镇、村（社区）便民服务中心的建设、运行和管理等工作。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8.完成县委、县政府交办的其他工作。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本部门现设有政办股、市场服务审批股、投资项目审批股、城建交通审批股、社会事务审批股、涉农事务审批股，另有紫阳县政务服务中心及紫阳县社情民意诉求服务中心2个下属单位。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二、2023年度部门工作任务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三级体系覆盖融通。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审批服务清单管理。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高频事项一网通办。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帮办代办量身贴心。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热线服务提质增效。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从预算单位构成看，本部门的部门预算只包括部门本级（机关）预算，无二级预算单位。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紫阳县行政审批服务局本级（机关）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2022年底，本部门人员编制36人，其中行政编制10人、事业编制26人；实有人员29人，其中行政9人、事业20人。单位管理的离退休人员0人。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2023年本部门预算收入496.44万元，其中一般公共预算拨款收入496.44万元，2023年本部门预算收入较上年增加76.34万元，主要原因是2023年人员增加导致人员经费增长且2023年将购买服务人员工资及免费印章刻制费用均纳入预算，专项业务经费增加；2023年本部门预算支出496.44万元，其中一般公共预算拨款支出496.44万元，2023年本部门预算支出较上年增加76.34万元，主要原因是2023年人员增加导致人员类经费增长且2023年将购买服务人员工资及免费印章刻制费用均纳入预算，项目支出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财政拨款收入496.44万元，其中一般公共预算拨款收入496.44万元，2023年本部门财政拨款收入较上年增加76.34万元，主要原因是2023年人员增加导致人员经费增长且2023年将购买服务人员工资及免费印章刻制费用均纳入预算，专项业务经费增加；2023年本部门财政拨款支出496.44万元，其中一般公共预算拨款支出496.44万元，2023年本部门财政拨款支出较上年增加76.34万元，主要原因是2023年人员增加导致人员经费增长且2023年将购买服务人员工资及免费印章刻制费用均纳入预算，专项业务经费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2023年本部门当年一般公共预算拨款支出496.44万元，较上年增加76.34万元，主要原因是2023年人员增加导致人员经费增长且2023年将购买服务人员工资及免费印章刻制费用均纳入预算，专项业务经费增加。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本部门2023年当年一般公共预算支出496.44万元，其中：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行政运行（2010601）74.23万元，较上年增加74.23万元，原因是2023年科目进行了细化调整；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政务公开审批（2010306）203.46万元，较上年减少149.57万元，主要原因是科目调整；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（3）事业运行（2010650）143.65万元，较上年增加143.65万元，原因是2023年科目进行了细化调整；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（4）机关事业单位基本养老保险缴费支出（2080505）33.41万元，较上年增加4.84万元，主要原因是人员和工资变动；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（5）行政单位医疗（2101101）16.44万元，较上年增加2.45万元，主要原因是人员和工资变动；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（6）住房公积金（2210201）25.24万元，较上年增加0.73万元，主要原因是人员和工资变动。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2023年本部门当年一般公共预算支出496.44万元，其中：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工资福利支出（301）304.48万元，较上年增加48.64万元，原因是人员变动相关支出增加；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商品和服务支出（302）191.95万元，较上年增加27.69万元，原因是专项业务经费支出增加；</w:t>
      </w:r>
    </w:p>
    <w:p>
      <w:pPr>
        <w:numPr>
          <w:ilvl w:val="0"/>
          <w:numId w:val="4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2023年本部门当年一般公共预算支出496.44万元，其中：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机关工资福利支出（501）304.48万元，较上年增加48.64万元，原因是人员变动相关支出增加；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机关商品和服务支出（502）191.95万元，较上年增加27.69万元，原因是专项业务经费支出增加；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本部门无2022年结转的一般公共预算拨款资金支出。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6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6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本部门无2022年结转的政府性基金预算拨款支出。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部门当年一般公共预算“三公”经费预算支出1.51万元，较上年增加（减少）0万元（0%）。其中：因公出国（境）经费0万元，较上年增加（减少）0万元（0%），主要原因是2022年和2023年，本部门无因公出国（境）经费预算；公务接待费1.51万元，较上年增加（减少）0万元（0%）；公务用车运行费0万元，较上年增加（减少）0万元（0%），主要原因是2022年和2023年，本部门无公务用车运行经费预算；公务用车购置费0万元，较上年增加（减少）0万元（0%），主要原因是2022年和2023年，本部门无公务用车购置经费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部门当年会议费预算支出0万元，较上年增加（减少）0万元（0%），主要原因是2022年和2023年，本部门无会议费预算；培训费0万元，较上年增加（减少）0万元（0%），主要原因是2022年和2023年，本部门无培训费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本部门无2022年结转的财政拨款‘三公’经费和会议费、培训费支出。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截止2022年底，本部门所属预算单位共有车辆0辆，单价20万元以上的设备0台（套）。2023年当年部门预算安排购置车辆0辆；安排购置单价20万元以上的设备0台（套）。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本部门无2022年结转的财政拨款支出资产购置。</w:t>
      </w:r>
    </w:p>
    <w:p>
      <w:pPr>
        <w:numPr>
          <w:ilvl w:val="0"/>
          <w:numId w:val="7"/>
        </w:numPr>
        <w:spacing w:line="360" w:lineRule="auto"/>
        <w:ind w:firstLine="48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2023年当年本部门政府采购预算共20万元，其中政府采购货物类预算0万元、政府采购服务类预算20万元、政府采购工程类预算0万元（详见公开报表中的政府采购表）。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本部门无2022年结转的政府采购资金支出。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2023年本部门绩效目标管理全覆盖，涉及当年一般公共预算拨款496.44万元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本部门无2022年结转的财政拨款支出涉及的绩效目标管理。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本部门当年机关运行经费预算安排16.63万元，较上年减少20.03万元，主要原因是上年度将公务交通补贴列入公用经费支出中，本年度已调整。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本部门无2022年结转的财政拨款机关运行经费支出。</w:t>
      </w:r>
    </w:p>
    <w:p>
      <w:pPr>
        <w:spacing w:line="360" w:lineRule="auto"/>
        <w:ind w:left="96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2.“三公经费”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2E388941"/>
    <w:multiLevelType w:val="singleLevel"/>
    <w:tmpl w:val="2E388941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5D0701"/>
    <w:rsid w:val="00B23433"/>
    <w:rsid w:val="00D70262"/>
    <w:rsid w:val="018F2D13"/>
    <w:rsid w:val="02953D9A"/>
    <w:rsid w:val="03791D26"/>
    <w:rsid w:val="0466605A"/>
    <w:rsid w:val="04F35073"/>
    <w:rsid w:val="061D2748"/>
    <w:rsid w:val="06D7231D"/>
    <w:rsid w:val="070D7564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1FDC0FD5"/>
    <w:rsid w:val="20FE50B8"/>
    <w:rsid w:val="21051C3C"/>
    <w:rsid w:val="210F400E"/>
    <w:rsid w:val="21696045"/>
    <w:rsid w:val="223C3D93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E086143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EFC4363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36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事业人员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26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1362293"/>
        <c:axId val="932171125"/>
      </c:barChart>
      <c:catAx>
        <c:axId val="27136229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2171125"/>
        <c:crosses val="autoZero"/>
        <c:auto val="1"/>
        <c:lblAlgn val="ctr"/>
        <c:lblOffset val="100"/>
        <c:noMultiLvlLbl val="0"/>
      </c:catAx>
      <c:valAx>
        <c:axId val="93217112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136229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3500</Words>
  <Characters>3927</Characters>
  <Lines>28</Lines>
  <Paragraphs>8</Paragraphs>
  <TotalTime>3</TotalTime>
  <ScaleCrop>false</ScaleCrop>
  <LinksUpToDate>false</LinksUpToDate>
  <CharactersWithSpaces>3957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2023-05-04T03:36:00Z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