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560" w:lineRule="exact"/>
        <w:ind w:firstLine="640"/>
        <w:jc w:val="center"/>
        <w:rPr>
          <w:rFonts w:ascii="黑体" w:hAnsi="黑体" w:eastAsia="黑体" w:cs="黑体"/>
          <w:sz w:val="32"/>
          <w:szCs w:val="32"/>
        </w:rPr>
      </w:pPr>
      <w:r>
        <w:rPr>
          <w:rFonts w:hint="eastAsia" w:ascii="黑体" w:hAnsi="黑体" w:eastAsia="黑体" w:cs="黑体"/>
          <w:sz w:val="32"/>
          <w:szCs w:val="32"/>
        </w:rPr>
        <w:t>中共紫阳县委机构编制委员会办公室</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1.贯彻执行党和国家行政管理体制改革、机构改革和机构编制管理的方针政策和法律法规；研究行政管理体制改革重大问题并提出政策建议；拟订全县机构编制管理政策、制度并监督实施。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拟订并组织实施全县各级行政管理体制、事业单位管理体制和机构改革的总体方案；负责全县党政机关，人大、政协机构，各民主党派和群众团体及县属事业单位机构改革和机构编制管理工作；指导全县各级行政管理体制、事业单位管理体制、机构改革和机构编制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3.拟订全县行政编制和事业编制分配方案；开展机构编制实名制管理。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按照管理权限，审批、审核县级机关机构设置、职能配置、人员编制、领导职数等事项；负责县级议事协调机构设立或调整的审核工作；承办双重领导以及市级部门领导为主的机构有关机构编制事宜；协调县级机关各部门之间和县级机关各部门与各镇之间职责分工。</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5.推进全县事业单位管理体制改革，组织实施事业单位分类改革；拟订全县相关领域事业单位编制标准；按照管理权限，审批、审核全县事业单位的机构设置、职能配置、经费形式、人员编制、领导职数等事项。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6.组织开展全县事业单位履职评估和事业单位法人治理结构建设工作。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7.负责全县党政群机关统一社会信用代码赋码工作，组织实施党政群机关统一社会信用代码管理。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8.建立健全事业单位法人登记管理制度，依法对全县事业单位进行登记管理、监督检查和行政处罚。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9.监督检查机构编制管理法律法规、政策、制度的执行情况以及各部门、各单位对机构改革方案和机构编制事项执行落实情况；负责受理违反机构编制管理规定问题的举报，会同有关部门查处机构编制违法违纪行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10.负责全县党政群机关及事业单位标牌的管理工作；负责党政群机关和事业单位政务和公益机构域名注册管理工作。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11.负责全县机构编制统计工作；按照相关规定办理机关、事业单位使用编制和领导职数的审批手续；负责机构编制信息化建设工作。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12.承办县委、县委机构编制委员会交办的其他任务。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本部门现设有政办股、编制股、督查股3个内设股室，另有县事业单位登记中心1个下属事业单位。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（一）凝心聚力抓好机构改革。</w:t>
      </w:r>
      <w:r>
        <w:rPr>
          <w:rFonts w:hint="eastAsia" w:ascii="仿宋_GB2312" w:hAnsi="仿宋_GB2312" w:eastAsia="仿宋_GB2312" w:cs="仿宋_GB2312"/>
          <w:sz w:val="32"/>
          <w:szCs w:val="32"/>
        </w:rPr>
        <w:t>中共中央、国务院印发的《党和国家机构改革方案》公布，改革的任务已经全部明晰。作为改革的实施者，要自觉把思想和行动统一到党中央决策部署上来，坚决落实党中央重大改革部署。提前谋划，广泛开展改革前调研论证，梳理各部门职责交叉分散、体制不顺、多头管理等问题，做到底数清、情况明，以改革破解体制机制难题；做好规定动作，确保机构上下对应运行顺畅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凝聚改革合力，向各方面宣传好改革，解读好政策，争取各方支持配合；跟紧上级步伐，加强沟通联系，为我县机构改革提供有力指导、争取政策支持，不折不扣落实各项改革任务。</w:t>
      </w:r>
    </w:p>
    <w:p>
      <w:pPr>
        <w:pStyle w:val="2"/>
        <w:spacing w:after="0"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（二）聚焦重点服务县域发展。</w:t>
      </w:r>
      <w:r>
        <w:rPr>
          <w:rFonts w:hint="eastAsia" w:ascii="仿宋_GB2312" w:hAnsi="仿宋_GB2312" w:eastAsia="仿宋_GB2312" w:cs="仿宋_GB2312"/>
          <w:sz w:val="32"/>
          <w:szCs w:val="32"/>
        </w:rPr>
        <w:t>根据党和县域发展需要，同向配置机构编制资源，加强重点领域、关键环节编制保障，做到倾斜一线、夯实基层，保障民生、促进发展。聚焦“国之大者”，在乡村振兴、绿色发展、民主法治等方面；紧扣县委部署，在项目建设、优化营商环境、特色产业发展等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心系民生福祉，在教育、健康、社保等方面；坚持党的集中统一领导，在党建、意识形态、统战、党风廉政等方面，管好用活机构编制资源，发挥编制资源使用效益。</w:t>
      </w:r>
    </w:p>
    <w:p>
      <w:pPr>
        <w:pStyle w:val="2"/>
        <w:spacing w:after="0"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（三）全面准确调整权责清单。</w:t>
      </w:r>
      <w:r>
        <w:rPr>
          <w:rFonts w:hint="eastAsia" w:ascii="仿宋_GB2312" w:hAnsi="仿宋_GB2312" w:eastAsia="仿宋_GB2312" w:cs="仿宋_GB2312"/>
          <w:sz w:val="32"/>
          <w:szCs w:val="32"/>
        </w:rPr>
        <w:t>按照“职权法定”原则，以“三定”规定、法律法规、上级简政放权、本级政府对有关职权的调整划分，对现有权责事项进行全面梳理、清理、调整，确保各部门职权法定、依据充分、主体明确，促进政府权责清晰、运行高效、方便群众办事。</w:t>
      </w:r>
    </w:p>
    <w:p>
      <w:pPr>
        <w:spacing w:line="560" w:lineRule="exact"/>
        <w:ind w:firstLine="640"/>
      </w:pPr>
      <w:r>
        <w:rPr>
          <w:rFonts w:hint="eastAsia" w:ascii="楷体_GB2312" w:hAnsi="楷体_GB2312" w:eastAsia="楷体_GB2312" w:cs="楷体_GB2312"/>
          <w:sz w:val="32"/>
          <w:szCs w:val="32"/>
        </w:rPr>
        <w:t>（四）学习推广乡镇社会治理创新试点经验。</w:t>
      </w:r>
      <w:r>
        <w:rPr>
          <w:rFonts w:hint="eastAsia" w:ascii="仿宋_GB2312" w:hAnsi="仿宋_GB2312" w:eastAsia="仿宋_GB2312" w:cs="仿宋_GB2312"/>
          <w:sz w:val="32"/>
          <w:szCs w:val="32"/>
        </w:rPr>
        <w:t>主动学习试点县乡镇社会治理创新改革经验，谋划我县乡镇社会治理体制机制调整方案。进一步创新基层社会治理体制、完善乡镇职能体系、整合优化乡镇机构设置、构建富有活力的用编用人制度，理顺乡镇与县级政府部门权责关系，提升乡镇社会治理水平。</w:t>
      </w:r>
    </w:p>
    <w:p>
      <w:pPr>
        <w:pStyle w:val="3"/>
        <w:spacing w:line="560" w:lineRule="exact"/>
        <w:ind w:firstLine="640"/>
        <w:rPr>
          <w:rFonts w:ascii="仿宋_GB2312" w:hAnsi="仿宋_GB2312" w:eastAsia="仿宋_GB2312" w:cs="仿宋_GB2312"/>
        </w:rPr>
      </w:pPr>
      <w:r>
        <w:rPr>
          <w:rFonts w:hint="eastAsia" w:ascii="楷体_GB2312" w:hAnsi="楷体_GB2312" w:eastAsia="楷体_GB2312" w:cs="楷体_GB2312"/>
        </w:rPr>
        <w:t>（五）持续用力加强监督检查。</w:t>
      </w:r>
      <w:r>
        <w:rPr>
          <w:rFonts w:hint="eastAsia" w:ascii="仿宋_GB2312" w:hAnsi="仿宋_GB2312" w:eastAsia="仿宋_GB2312" w:cs="仿宋_GB2312"/>
        </w:rPr>
        <w:t>持续强有力的举措、多方面的合力维护机构编制严肃性、权威性。加强机构编制法规政策宣传，树牢法治意识；协同开展巡查审计，严查机构编制违规问题；适时开展县级部门机构编制执行情况和使用效益评估；加大事业单位登记管理行政执法力度，敢于亮剑，用好一项行政处罚和两项行政检查；深化事业单位履职评估工作，促进事业单位发挥社会效益。</w:t>
      </w:r>
    </w:p>
    <w:p>
      <w:pPr>
        <w:pStyle w:val="2"/>
        <w:spacing w:after="0"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（六）精益求精优化登记服务。</w:t>
      </w:r>
      <w:r>
        <w:rPr>
          <w:rFonts w:hint="eastAsia" w:ascii="仿宋_GB2312" w:hAnsi="仿宋_GB2312" w:eastAsia="仿宋_GB2312" w:cs="仿宋_GB2312"/>
          <w:sz w:val="32"/>
          <w:szCs w:val="32"/>
        </w:rPr>
        <w:t>按照“简政放权、放管结合、优化服务”的要求，推动事业单位登记管理提质增效。坚持依法合规、统一规范、公益为民、公开公正、便捷高效服务原则和事业单位合法权益保护原则，切实提高事业单位登记管理“依法行政”的法治意识、“在岗尽责”的责任意识，“一切为民”的服务意识，确保登记管理事项“零失误，零差错，零缺陷”。</w:t>
      </w:r>
    </w:p>
    <w:p>
      <w:pPr>
        <w:pStyle w:val="2"/>
        <w:spacing w:after="0"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（七）真抓实干做好日常管理。</w:t>
      </w:r>
      <w:r>
        <w:rPr>
          <w:rFonts w:hint="eastAsia" w:ascii="仿宋_GB2312" w:hAnsi="仿宋_GB2312" w:eastAsia="仿宋_GB2312" w:cs="仿宋_GB2312"/>
          <w:sz w:val="32"/>
          <w:szCs w:val="32"/>
        </w:rPr>
        <w:t>落实并不断完善配套制度，发挥制度助力事业单位机构编制管理、人才引进、实名制、控编、用编等方面优势。强化数据统计分析，为机构编制决策提供第一手资料。着手收集、整理机构编制政策、部门单位机构编制沿革档案，实现电子化管理。</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从预算单位构成看，本部门的部门预算只包括部门本级（机关）预算，无二级预算单位：</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521"/>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521" w:type="dxa"/>
          </w:tcPr>
          <w:p>
            <w:pPr>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1664" w:type="dxa"/>
          </w:tcPr>
          <w:p>
            <w:pPr>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521" w:type="dxa"/>
          </w:tcPr>
          <w:p>
            <w:pPr>
              <w:spacing w:line="560" w:lineRule="exact"/>
              <w:ind w:firstLine="0" w:firstLineChars="0"/>
              <w:rPr>
                <w:rFonts w:ascii="仿宋" w:hAnsi="仿宋" w:eastAsia="仿宋" w:cs="仿宋"/>
                <w:sz w:val="32"/>
                <w:szCs w:val="32"/>
              </w:rPr>
            </w:pPr>
            <w:r>
              <w:rPr>
                <w:rFonts w:hint="eastAsia" w:ascii="仿宋" w:hAnsi="仿宋" w:eastAsia="仿宋" w:cs="仿宋"/>
                <w:sz w:val="32"/>
                <w:szCs w:val="32"/>
              </w:rPr>
              <w:t>中共紫阳县委机构编制委员会办公室</w:t>
            </w:r>
          </w:p>
        </w:tc>
        <w:tc>
          <w:tcPr>
            <w:tcW w:w="1664" w:type="dxa"/>
          </w:tcPr>
          <w:p>
            <w:pPr>
              <w:spacing w:line="560" w:lineRule="exact"/>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24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截止2022年底，本部门人员编制18人，其中行政编制10人、事业编制8人；实有人员11人，其中行政7人、事业4人。单位管理的离退休人员1人。</w:t>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按照综合预算的原则，本部门所有收入和支出均纳入部门预算管理。2023年本部门预算收入152.92万元，其中一般公共预算拨款收入152.92万元，2022年本部门预算收入较上年增加30.25万元，主要</w:t>
      </w:r>
      <w:r>
        <w:rPr>
          <w:rFonts w:hint="eastAsia" w:ascii="仿宋_GB2312" w:hAnsi="仿宋_GB2312" w:eastAsia="仿宋_GB2312" w:cs="仿宋_GB2312"/>
          <w:color w:val="000000" w:themeColor="text1"/>
          <w:sz w:val="32"/>
          <w:szCs w:val="32"/>
          <w14:textFill>
            <w14:solidFill>
              <w14:schemeClr w14:val="tx1"/>
            </w14:solidFill>
          </w14:textFill>
        </w:rPr>
        <w:t>原因是人员增加、工资晋级晋档，</w:t>
      </w:r>
      <w:r>
        <w:rPr>
          <w:rFonts w:hint="eastAsia" w:ascii="仿宋_GB2312" w:hAnsi="仿宋_GB2312" w:eastAsia="仿宋_GB2312" w:cs="仿宋_GB2312"/>
          <w:sz w:val="32"/>
          <w:szCs w:val="32"/>
        </w:rPr>
        <w:t>工资福利经费增加；2022年本部门预算支出152.92万元，其中一般公共服务支出122.45万元、社会保障和就业支出13.55万元，卫生健康支出6.68万元、住房保障支出10.23万元，2023年本部门预算支出较上年增加30.25万元，主要</w:t>
      </w:r>
      <w:r>
        <w:rPr>
          <w:rFonts w:hint="eastAsia" w:ascii="仿宋_GB2312" w:hAnsi="仿宋_GB2312" w:eastAsia="仿宋_GB2312" w:cs="仿宋_GB2312"/>
          <w:color w:val="000000" w:themeColor="text1"/>
          <w:sz w:val="32"/>
          <w:szCs w:val="32"/>
          <w14:textFill>
            <w14:solidFill>
              <w14:schemeClr w14:val="tx1"/>
            </w14:solidFill>
          </w14:textFill>
        </w:rPr>
        <w:t>原因是人员增加、工资晋级晋档，</w:t>
      </w:r>
      <w:r>
        <w:rPr>
          <w:rFonts w:hint="eastAsia" w:ascii="仿宋_GB2312" w:hAnsi="仿宋_GB2312" w:eastAsia="仿宋_GB2312" w:cs="仿宋_GB2312"/>
          <w:sz w:val="32"/>
          <w:szCs w:val="32"/>
        </w:rPr>
        <w:t>工资福利经费增加。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2023年本部门财政拨款收入152.92万元，其中一般公共预算拨款收入152.92万元，2022年本部门财政拨款收入较上年增加30.25万元，主要</w:t>
      </w:r>
      <w:r>
        <w:rPr>
          <w:rFonts w:hint="eastAsia" w:ascii="仿宋_GB2312" w:hAnsi="仿宋_GB2312" w:eastAsia="仿宋_GB2312" w:cs="仿宋_GB2312"/>
          <w:color w:val="000000" w:themeColor="text1"/>
          <w:sz w:val="32"/>
          <w:szCs w:val="32"/>
          <w14:textFill>
            <w14:solidFill>
              <w14:schemeClr w14:val="tx1"/>
            </w14:solidFill>
          </w14:textFill>
        </w:rPr>
        <w:t>原因是人员增加、工资晋级晋档，</w:t>
      </w:r>
      <w:r>
        <w:rPr>
          <w:rFonts w:hint="eastAsia" w:ascii="仿宋_GB2312" w:hAnsi="仿宋_GB2312" w:eastAsia="仿宋_GB2312" w:cs="仿宋_GB2312"/>
          <w:sz w:val="32"/>
          <w:szCs w:val="32"/>
        </w:rPr>
        <w:t>工资福利经费增加；2023年本部门财政拨款支出152.92万元，其中一般公共服务支出122.45万元、社会保障和就业支出13.55万元，卫生健康支出6.68万元、住房保障支出10.23万元，2023年本部门预算支出较上年增加30.25万元，主要</w:t>
      </w:r>
      <w:r>
        <w:rPr>
          <w:rFonts w:hint="eastAsia" w:ascii="仿宋_GB2312" w:hAnsi="仿宋_GB2312" w:eastAsia="仿宋_GB2312" w:cs="仿宋_GB2312"/>
          <w:color w:val="000000" w:themeColor="text1"/>
          <w:sz w:val="32"/>
          <w:szCs w:val="32"/>
          <w14:textFill>
            <w14:solidFill>
              <w14:schemeClr w14:val="tx1"/>
            </w14:solidFill>
          </w14:textFill>
        </w:rPr>
        <w:t>原因是人员增加、工资晋级晋档，</w:t>
      </w:r>
      <w:r>
        <w:rPr>
          <w:rFonts w:hint="eastAsia" w:ascii="仿宋_GB2312" w:hAnsi="仿宋_GB2312" w:eastAsia="仿宋_GB2312" w:cs="仿宋_GB2312"/>
          <w:sz w:val="32"/>
          <w:szCs w:val="32"/>
        </w:rPr>
        <w:t>工资福利经费增加。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1、一般公共预算当年拨款规模变化情况。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2023年本部门当年一般公共预算拨款支出152.92万元，较上年增加30.25万元，</w:t>
      </w:r>
      <w:r>
        <w:rPr>
          <w:rFonts w:hint="eastAsia" w:ascii="仿宋_GB2312" w:hAnsi="仿宋_GB2312" w:eastAsia="仿宋_GB2312" w:cs="仿宋_GB2312"/>
          <w:sz w:val="32"/>
          <w:szCs w:val="32"/>
        </w:rPr>
        <w:t>主要</w:t>
      </w:r>
      <w:r>
        <w:rPr>
          <w:rFonts w:hint="eastAsia" w:ascii="仿宋_GB2312" w:hAnsi="仿宋_GB2312" w:eastAsia="仿宋_GB2312" w:cs="仿宋_GB2312"/>
          <w:color w:val="000000" w:themeColor="text1"/>
          <w:sz w:val="32"/>
          <w:szCs w:val="32"/>
          <w14:textFill>
            <w14:solidFill>
              <w14:schemeClr w14:val="tx1"/>
            </w14:solidFill>
          </w14:textFill>
        </w:rPr>
        <w:t>原因是人员增加、工资晋级晋档，</w:t>
      </w:r>
      <w:r>
        <w:rPr>
          <w:rFonts w:hint="eastAsia" w:ascii="仿宋_GB2312" w:hAnsi="仿宋_GB2312" w:eastAsia="仿宋_GB2312" w:cs="仿宋_GB2312"/>
          <w:sz w:val="32"/>
          <w:szCs w:val="32"/>
        </w:rPr>
        <w:t>工资福利经费增加。</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本部门2023年当年一般公共预算支出152.91万元，其中：</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（1）行政运行（2013101）95.3万元，较上年增加6.16万元，原因是人员增加、工资晋级晋档，</w:t>
      </w:r>
      <w:r>
        <w:rPr>
          <w:rFonts w:hint="eastAsia" w:ascii="仿宋_GB2312" w:hAnsi="仿宋_GB2312" w:eastAsia="仿宋_GB2312" w:cs="仿宋_GB2312"/>
          <w:sz w:val="32"/>
          <w:szCs w:val="32"/>
        </w:rPr>
        <w:t>工资福利经费增加</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（2）事业运行（2013150）27.06万元，较上年增加27.16万元，原因是统计口径变化；</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（3）其他党委办公厅（室）及相关机构事务支出（2013199）0.09万元，较上年减少9.67万元，原因是预算统计口径变化；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（4）机关事业单位基本养老保险缴费支出（2080505）13.55万，较上年增加3.11万元，原因是人员减少；</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（5）行政单位医疗（2101101）6.68万，较上年增加1.56万元，原因是</w:t>
      </w:r>
      <w:r>
        <w:rPr>
          <w:rFonts w:hint="eastAsia" w:ascii="仿宋_GB2312" w:hAnsi="仿宋_GB2312" w:eastAsia="仿宋_GB2312" w:cs="仿宋_GB2312"/>
          <w:color w:val="000000" w:themeColor="text1"/>
          <w:sz w:val="32"/>
          <w:szCs w:val="32"/>
          <w14:textFill>
            <w14:solidFill>
              <w14:schemeClr w14:val="tx1"/>
            </w14:solidFill>
          </w14:textFill>
        </w:rPr>
        <w:t>人员增加，</w:t>
      </w:r>
      <w:r>
        <w:rPr>
          <w:rFonts w:hint="eastAsia" w:ascii="仿宋_GB2312" w:hAnsi="仿宋_GB2312" w:eastAsia="仿宋_GB2312" w:cs="仿宋_GB2312"/>
          <w:sz w:val="32"/>
          <w:szCs w:val="32"/>
        </w:rPr>
        <w:t>工资福利经费增加；</w:t>
      </w:r>
    </w:p>
    <w:p>
      <w:pPr>
        <w:spacing w:line="560" w:lineRule="exact"/>
        <w:ind w:firstLine="640"/>
      </w:pPr>
      <w:r>
        <w:rPr>
          <w:rFonts w:hint="eastAsia" w:ascii="仿宋_GB2312" w:hAnsi="仿宋_GB2312" w:eastAsia="仿宋_GB2312" w:cs="仿宋_GB2312"/>
          <w:sz w:val="32"/>
          <w:szCs w:val="32"/>
        </w:rPr>
        <w:t>（6）住房公积金（2210201）10.23万，较上年增加2.02万元，原因是</w:t>
      </w:r>
      <w:r>
        <w:rPr>
          <w:rFonts w:hint="eastAsia" w:ascii="仿宋_GB2312" w:hAnsi="仿宋_GB2312" w:eastAsia="仿宋_GB2312" w:cs="仿宋_GB2312"/>
          <w:color w:val="000000" w:themeColor="text1"/>
          <w:sz w:val="32"/>
          <w:szCs w:val="32"/>
          <w14:textFill>
            <w14:solidFill>
              <w14:schemeClr w14:val="tx1"/>
            </w14:solidFill>
          </w14:textFill>
        </w:rPr>
        <w:t>人员增加，</w:t>
      </w:r>
      <w:r>
        <w:rPr>
          <w:rFonts w:hint="eastAsia" w:ascii="仿宋_GB2312" w:hAnsi="仿宋_GB2312" w:eastAsia="仿宋_GB2312" w:cs="仿宋_GB2312"/>
          <w:sz w:val="32"/>
          <w:szCs w:val="32"/>
        </w:rPr>
        <w:t>工资福利经费增加；</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2023年本部门当年一般公共预算支出152.91万元，其中：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工资福利支出（301）123.07万元，较上年增加30.51万元，原因是人员增加，工资晋级晋档；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商品和服务支出（302）29.75万元，较上年减少0.18万元，原因是压缩办公经费；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对个人和家庭的补助支出（303）0.09万元，较上年持平。</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2023年本部门当年一般公共预算支出137.91万元，其中：</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机关工资福利支出（501）123.07较上年增加30.51万元，原因是人员增加，工资晋级晋档；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商品和服务支出（502）14.75万元，较上年减少0.18万元，原因是压缩办公经费；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对个人和家庭的补助支出（509）0.09万元，较上年持平。</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六、部门预算“三公”经费等预算情况说明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（1）2023年本部门当年一般公共预算“三公”经费预算支出0.59万元，较上年减少0.06万元（9%），</w:t>
      </w:r>
      <w:r>
        <w:rPr>
          <w:rFonts w:hint="eastAsia" w:ascii="仿宋_GB2312" w:hAnsi="仿宋_GB2312" w:eastAsia="仿宋_GB2312" w:cs="仿宋_GB2312"/>
          <w:sz w:val="32"/>
          <w:szCs w:val="32"/>
        </w:rPr>
        <w:t>减少的主要原因是公务接待人次减少、公务接待费用减少</w:t>
      </w:r>
      <w:r>
        <w:rPr>
          <w:rFonts w:hint="eastAsia" w:ascii="仿宋" w:hAnsi="仿宋" w:eastAsia="仿宋" w:cs="仿宋"/>
          <w:sz w:val="32"/>
          <w:szCs w:val="32"/>
        </w:rPr>
        <w:t>。</w:t>
      </w:r>
      <w:r>
        <w:rPr>
          <w:rFonts w:hint="eastAsia" w:ascii="仿宋_GB2312" w:hAnsi="仿宋_GB2312" w:eastAsia="仿宋_GB2312" w:cs="仿宋_GB2312"/>
          <w:sz w:val="32"/>
          <w:szCs w:val="32"/>
        </w:rPr>
        <w:t>其中：因公出国（境）经费0万元，较上年持平；公务接待费0.59万元，较上年减少0.06万元（9%），减少的主要原因是公务接待人次减少、公务接待费用减少；公务用车运行费0万元，较上年持平；公务用车购置费0万元，较上年持平。</w:t>
      </w:r>
    </w:p>
    <w:p>
      <w:pPr>
        <w:spacing w:line="560" w:lineRule="exact"/>
        <w:ind w:firstLine="640"/>
        <w:rPr>
          <w:rFonts w:ascii="仿宋_GB2312" w:hAnsi="仿宋_GB2312" w:eastAsia="仿宋_GB2312" w:cs="仿宋_GB2312"/>
          <w:sz w:val="32"/>
          <w:szCs w:val="32"/>
        </w:rPr>
      </w:pPr>
      <w:r>
        <w:rPr>
          <w:rFonts w:hint="eastAsia" w:ascii="仿宋" w:hAnsi="仿宋" w:eastAsia="仿宋" w:cs="仿宋"/>
          <w:sz w:val="32"/>
          <w:szCs w:val="32"/>
        </w:rPr>
        <w:t>（2）</w:t>
      </w:r>
      <w:r>
        <w:rPr>
          <w:rFonts w:hint="eastAsia" w:ascii="仿宋_GB2312" w:hAnsi="仿宋_GB2312" w:eastAsia="仿宋_GB2312" w:cs="仿宋_GB2312"/>
          <w:sz w:val="32"/>
          <w:szCs w:val="32"/>
        </w:rPr>
        <w:t>2023年本部门当年会议费预算支出0万元，同上年持平。培训费0万元，同上年持平。</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本部门无2021年结转的财政拨款‘三公’经费和会议费、培训费支出。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七、部门国有资产占有使用及资产购置情况说明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截止2022年底，本部门所属预算单位共有车辆0辆，单价20万元以上的设备0台（套）。2023年当年部门预算安排购置车辆0辆；安排购置单价20万元以上的设备0台（套）。</w:t>
      </w:r>
    </w:p>
    <w:p>
      <w:pPr>
        <w:spacing w:line="56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本部门2023年无政府采购预算，并已公开空表。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2023年本部门绩效目标管理全覆盖，涉及当年一般公共预算拨款152.92万元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当年政府性基金预算拨款0万元，当年国有资本经营预算拨款0万元（详见公开报表中的绩效目标表）。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本部门当年机关运行经费预算安排14.75万元，较上年减少0.18万元，主要原因是预算统计口径变化。</w:t>
      </w:r>
    </w:p>
    <w:p>
      <w:pPr>
        <w:pStyle w:val="2"/>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2.“三公经费”</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474277"/>
    <w:rsid w:val="0090699A"/>
    <w:rsid w:val="00D70262"/>
    <w:rsid w:val="018F2D13"/>
    <w:rsid w:val="02953D9A"/>
    <w:rsid w:val="03791D26"/>
    <w:rsid w:val="0466605A"/>
    <w:rsid w:val="04F35073"/>
    <w:rsid w:val="053A3164"/>
    <w:rsid w:val="061D2748"/>
    <w:rsid w:val="06D7231D"/>
    <w:rsid w:val="075D6C6A"/>
    <w:rsid w:val="0773304F"/>
    <w:rsid w:val="089B0238"/>
    <w:rsid w:val="089D1D43"/>
    <w:rsid w:val="08F8136C"/>
    <w:rsid w:val="0A653AEA"/>
    <w:rsid w:val="0AAB1747"/>
    <w:rsid w:val="0B473936"/>
    <w:rsid w:val="0B820553"/>
    <w:rsid w:val="0B8A1B09"/>
    <w:rsid w:val="0C805687"/>
    <w:rsid w:val="0D053BAB"/>
    <w:rsid w:val="0D594F94"/>
    <w:rsid w:val="0E1F698E"/>
    <w:rsid w:val="0F3D38EF"/>
    <w:rsid w:val="0FA9052D"/>
    <w:rsid w:val="10163FB4"/>
    <w:rsid w:val="10A536CA"/>
    <w:rsid w:val="12B55B02"/>
    <w:rsid w:val="13DD192D"/>
    <w:rsid w:val="147F7E6C"/>
    <w:rsid w:val="14C85364"/>
    <w:rsid w:val="14FA613E"/>
    <w:rsid w:val="15053ED9"/>
    <w:rsid w:val="15BA67E3"/>
    <w:rsid w:val="15EB6487"/>
    <w:rsid w:val="166918D6"/>
    <w:rsid w:val="16EB0762"/>
    <w:rsid w:val="176724C1"/>
    <w:rsid w:val="17712A16"/>
    <w:rsid w:val="18AF7F70"/>
    <w:rsid w:val="1A431FF4"/>
    <w:rsid w:val="1B746107"/>
    <w:rsid w:val="1CBA6C0D"/>
    <w:rsid w:val="1CD64124"/>
    <w:rsid w:val="1E0072C5"/>
    <w:rsid w:val="1E1E7AD2"/>
    <w:rsid w:val="1ED0381D"/>
    <w:rsid w:val="1F604DBB"/>
    <w:rsid w:val="20FE50B8"/>
    <w:rsid w:val="210F400E"/>
    <w:rsid w:val="21B07EE9"/>
    <w:rsid w:val="229A281A"/>
    <w:rsid w:val="2383657E"/>
    <w:rsid w:val="23F45765"/>
    <w:rsid w:val="242E73FF"/>
    <w:rsid w:val="246C5345"/>
    <w:rsid w:val="24AB40AF"/>
    <w:rsid w:val="24FC6952"/>
    <w:rsid w:val="26CC76FD"/>
    <w:rsid w:val="26EE3450"/>
    <w:rsid w:val="272308AF"/>
    <w:rsid w:val="28064C78"/>
    <w:rsid w:val="2864072E"/>
    <w:rsid w:val="2A3E38E1"/>
    <w:rsid w:val="2BF2458F"/>
    <w:rsid w:val="2F3B562F"/>
    <w:rsid w:val="2FC8494E"/>
    <w:rsid w:val="314B37FB"/>
    <w:rsid w:val="31B733F7"/>
    <w:rsid w:val="36E25286"/>
    <w:rsid w:val="385D1A98"/>
    <w:rsid w:val="38F70388"/>
    <w:rsid w:val="3A4434B4"/>
    <w:rsid w:val="3B055E9C"/>
    <w:rsid w:val="3CB639DA"/>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9155047"/>
    <w:rsid w:val="4AF55130"/>
    <w:rsid w:val="4E9904C8"/>
    <w:rsid w:val="4FB64197"/>
    <w:rsid w:val="50572E30"/>
    <w:rsid w:val="51AA26CF"/>
    <w:rsid w:val="51AA5E26"/>
    <w:rsid w:val="52324C02"/>
    <w:rsid w:val="52666914"/>
    <w:rsid w:val="52B56EDD"/>
    <w:rsid w:val="52C33D66"/>
    <w:rsid w:val="52C93A96"/>
    <w:rsid w:val="531A3416"/>
    <w:rsid w:val="538C5F53"/>
    <w:rsid w:val="54474AB6"/>
    <w:rsid w:val="55760C1C"/>
    <w:rsid w:val="5582405A"/>
    <w:rsid w:val="56051C6B"/>
    <w:rsid w:val="563F4648"/>
    <w:rsid w:val="57C07DEE"/>
    <w:rsid w:val="58FE3115"/>
    <w:rsid w:val="592D7B67"/>
    <w:rsid w:val="59D947AF"/>
    <w:rsid w:val="59F96CB8"/>
    <w:rsid w:val="5ABA77FD"/>
    <w:rsid w:val="5BD23E00"/>
    <w:rsid w:val="5BF47018"/>
    <w:rsid w:val="5C653576"/>
    <w:rsid w:val="5D902A97"/>
    <w:rsid w:val="5E5C14C1"/>
    <w:rsid w:val="5E8A59E3"/>
    <w:rsid w:val="5F40510E"/>
    <w:rsid w:val="5F635E4B"/>
    <w:rsid w:val="60404B5F"/>
    <w:rsid w:val="6134696F"/>
    <w:rsid w:val="61EE3D1B"/>
    <w:rsid w:val="62460F4D"/>
    <w:rsid w:val="62A365B5"/>
    <w:rsid w:val="62F45876"/>
    <w:rsid w:val="65B7439B"/>
    <w:rsid w:val="66607F61"/>
    <w:rsid w:val="67606C1C"/>
    <w:rsid w:val="676942F4"/>
    <w:rsid w:val="67C972D1"/>
    <w:rsid w:val="68EA113C"/>
    <w:rsid w:val="699E67D8"/>
    <w:rsid w:val="69B23FEC"/>
    <w:rsid w:val="69E141D5"/>
    <w:rsid w:val="69F87A79"/>
    <w:rsid w:val="6C540332"/>
    <w:rsid w:val="6C6B0957"/>
    <w:rsid w:val="6D800432"/>
    <w:rsid w:val="6DBE3A60"/>
    <w:rsid w:val="6E8A04A9"/>
    <w:rsid w:val="6ED208E1"/>
    <w:rsid w:val="6F3075D5"/>
    <w:rsid w:val="6F5403ED"/>
    <w:rsid w:val="70377A4E"/>
    <w:rsid w:val="71902C0D"/>
    <w:rsid w:val="71A236EE"/>
    <w:rsid w:val="73197E5C"/>
    <w:rsid w:val="73305461"/>
    <w:rsid w:val="73843559"/>
    <w:rsid w:val="73CF42D2"/>
    <w:rsid w:val="74933140"/>
    <w:rsid w:val="75AC088F"/>
    <w:rsid w:val="76590D5F"/>
    <w:rsid w:val="77AD3FB4"/>
    <w:rsid w:val="781B6398"/>
    <w:rsid w:val="7839395D"/>
    <w:rsid w:val="788B613B"/>
    <w:rsid w:val="78935A62"/>
    <w:rsid w:val="78941235"/>
    <w:rsid w:val="7920167B"/>
    <w:rsid w:val="7A3E4F09"/>
    <w:rsid w:val="7AB931D5"/>
    <w:rsid w:val="7BF11232"/>
    <w:rsid w:val="7C09018C"/>
    <w:rsid w:val="7CD1739B"/>
    <w:rsid w:val="7CE442E1"/>
    <w:rsid w:val="7CEE0D2E"/>
    <w:rsid w:val="7CF76871"/>
    <w:rsid w:val="7D804F3A"/>
    <w:rsid w:val="7DF509C8"/>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next w:val="3"/>
    <w:unhideWhenUsed/>
    <w:qFormat/>
    <w:uiPriority w:val="99"/>
    <w:pPr>
      <w:spacing w:after="120"/>
    </w:pPr>
    <w:rPr>
      <w:sz w:val="16"/>
      <w:szCs w:val="16"/>
    </w:rPr>
  </w:style>
  <w:style w:type="paragraph" w:styleId="3">
    <w:name w:val="Body Text"/>
    <w:basedOn w:val="1"/>
    <w:qFormat/>
    <w:uiPriority w:val="1"/>
    <w:rPr>
      <w:sz w:val="32"/>
      <w:szCs w:val="32"/>
    </w:rPr>
  </w:style>
  <w:style w:type="paragraph" w:styleId="4">
    <w:name w:val="footer"/>
    <w:basedOn w:val="1"/>
    <w:link w:val="9"/>
    <w:uiPriority w:val="0"/>
    <w:pPr>
      <w:tabs>
        <w:tab w:val="center" w:pos="4153"/>
        <w:tab w:val="right" w:pos="8306"/>
      </w:tabs>
      <w:snapToGrid w:val="0"/>
      <w:spacing w:line="240" w:lineRule="atLeast"/>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4677</Words>
  <Characters>5052</Characters>
  <Lines>37</Lines>
  <Paragraphs>10</Paragraphs>
  <TotalTime>2</TotalTime>
  <ScaleCrop>false</ScaleCrop>
  <LinksUpToDate>false</LinksUpToDate>
  <CharactersWithSpaces>5126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2023-05-04T03:36:55Z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