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紫阳县医疗保障局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紫阳县医疗保障局是县政府工作部门，为正科级。贯彻落实党中央、国务院、</w:t>
      </w:r>
      <w:r>
        <w:rPr>
          <w:rFonts w:ascii="仿宋" w:hAnsi="仿宋" w:eastAsia="仿宋" w:cs="仿宋"/>
          <w:sz w:val="32"/>
          <w:szCs w:val="32"/>
        </w:rPr>
        <w:t>省、市医疗保障法律法规、方针和政策</w:t>
      </w:r>
      <w:r>
        <w:rPr>
          <w:rFonts w:hint="eastAsia" w:ascii="仿宋" w:hAnsi="仿宋" w:eastAsia="仿宋" w:cs="仿宋"/>
          <w:sz w:val="32"/>
          <w:szCs w:val="32"/>
        </w:rPr>
        <w:t>和部署。</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县医疗保障局应完善全县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县卫生健康局、县医疗保障局等部门在医疗、医保、医药等方面加强制度、政策衔接，建立沟通协商机制，协同推进改革，提高医疗资源使用效率和医疗保障水平。</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本部门现设有6个股室：政策法规股、政办股、财务股、参保信息股、待遇审核股。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360" w:lineRule="auto"/>
        <w:ind w:firstLine="640"/>
        <w:rPr>
          <w:rFonts w:ascii="仿宋" w:hAnsi="仿宋" w:eastAsia="仿宋" w:cs="仿宋"/>
          <w:sz w:val="32"/>
          <w:szCs w:val="32"/>
        </w:rPr>
      </w:pPr>
      <w:r>
        <w:rPr>
          <w:rFonts w:ascii="仿宋" w:hAnsi="仿宋" w:eastAsia="仿宋" w:cs="仿宋"/>
          <w:sz w:val="32"/>
          <w:szCs w:val="32"/>
        </w:rPr>
        <w:t>（一）贯彻执行中、省、市医疗保障法律法规、方针和政策；起草制定业务管理办法，经批准后负责组织实施；</w:t>
      </w:r>
    </w:p>
    <w:p>
      <w:pPr>
        <w:spacing w:line="360" w:lineRule="auto"/>
        <w:ind w:firstLine="640"/>
        <w:rPr>
          <w:rFonts w:ascii="仿宋" w:hAnsi="仿宋" w:eastAsia="仿宋" w:cs="仿宋"/>
          <w:sz w:val="32"/>
          <w:szCs w:val="32"/>
        </w:rPr>
      </w:pPr>
      <w:r>
        <w:rPr>
          <w:rFonts w:ascii="仿宋" w:hAnsi="仿宋" w:eastAsia="仿宋" w:cs="仿宋"/>
          <w:sz w:val="32"/>
          <w:szCs w:val="32"/>
        </w:rPr>
        <w:t>（二）承担全县医疗保险、生育保险、医疗救助</w:t>
      </w:r>
      <w:r>
        <w:rPr>
          <w:rFonts w:hint="eastAsia" w:ascii="仿宋" w:hAnsi="仿宋" w:eastAsia="仿宋" w:cs="仿宋"/>
          <w:sz w:val="32"/>
          <w:szCs w:val="32"/>
          <w:lang w:eastAsia="zh-CN"/>
        </w:rPr>
        <w:t>及其他</w:t>
      </w:r>
      <w:r>
        <w:rPr>
          <w:rFonts w:ascii="仿宋" w:hAnsi="仿宋" w:eastAsia="仿宋" w:cs="仿宋"/>
          <w:sz w:val="32"/>
          <w:szCs w:val="32"/>
        </w:rPr>
        <w:t>补充保险的政策宣传、参保扩面、业务经办工作；负责参保人员登记、转移接续、异地就医、个人账户、信息查询工作；</w:t>
      </w:r>
    </w:p>
    <w:p>
      <w:pPr>
        <w:spacing w:line="360" w:lineRule="auto"/>
        <w:ind w:firstLine="640"/>
        <w:rPr>
          <w:rFonts w:ascii="仿宋" w:hAnsi="仿宋" w:eastAsia="仿宋" w:cs="仿宋"/>
          <w:sz w:val="32"/>
          <w:szCs w:val="32"/>
        </w:rPr>
      </w:pPr>
      <w:r>
        <w:rPr>
          <w:rFonts w:ascii="仿宋" w:hAnsi="仿宋" w:eastAsia="仿宋" w:cs="仿宋"/>
          <w:sz w:val="32"/>
          <w:szCs w:val="32"/>
        </w:rPr>
        <w:t>（三）承担全县参保人员待遇审核结算、慢性病认定结算工作；</w:t>
      </w:r>
    </w:p>
    <w:p>
      <w:pPr>
        <w:spacing w:line="360" w:lineRule="auto"/>
        <w:ind w:firstLine="640"/>
        <w:rPr>
          <w:rFonts w:ascii="仿宋" w:hAnsi="仿宋" w:eastAsia="仿宋" w:cs="仿宋"/>
          <w:sz w:val="32"/>
          <w:szCs w:val="32"/>
        </w:rPr>
      </w:pPr>
      <w:r>
        <w:rPr>
          <w:rFonts w:ascii="仿宋" w:hAnsi="仿宋" w:eastAsia="仿宋" w:cs="仿宋"/>
          <w:sz w:val="32"/>
          <w:szCs w:val="32"/>
        </w:rPr>
        <w:t>（四）承担全县两定机构日常管理工作；</w:t>
      </w:r>
    </w:p>
    <w:p>
      <w:pPr>
        <w:spacing w:line="360" w:lineRule="auto"/>
        <w:ind w:firstLine="640"/>
        <w:rPr>
          <w:rFonts w:ascii="仿宋" w:hAnsi="仿宋" w:eastAsia="仿宋" w:cs="仿宋"/>
          <w:sz w:val="32"/>
          <w:szCs w:val="32"/>
        </w:rPr>
      </w:pPr>
      <w:r>
        <w:rPr>
          <w:rFonts w:ascii="仿宋" w:hAnsi="仿宋" w:eastAsia="仿宋" w:cs="仿宋"/>
          <w:sz w:val="32"/>
          <w:szCs w:val="32"/>
        </w:rPr>
        <w:t>（五）承担全县医疗保障基金预决算、运行分析、会计报表、待遇拨付、会计凭证工作；</w:t>
      </w:r>
    </w:p>
    <w:p>
      <w:pPr>
        <w:spacing w:line="360" w:lineRule="auto"/>
        <w:ind w:firstLine="640"/>
        <w:rPr>
          <w:rFonts w:ascii="仿宋" w:hAnsi="仿宋" w:eastAsia="仿宋" w:cs="仿宋"/>
          <w:sz w:val="32"/>
          <w:szCs w:val="32"/>
        </w:rPr>
      </w:pPr>
      <w:r>
        <w:rPr>
          <w:rFonts w:ascii="仿宋" w:hAnsi="仿宋" w:eastAsia="仿宋" w:cs="仿宋"/>
          <w:sz w:val="32"/>
          <w:szCs w:val="32"/>
        </w:rPr>
        <w:t>（六）承担全县医疗保险、生育保险、医疗救助</w:t>
      </w:r>
      <w:r>
        <w:rPr>
          <w:rFonts w:hint="eastAsia" w:ascii="仿宋" w:hAnsi="仿宋" w:eastAsia="仿宋" w:cs="仿宋"/>
          <w:sz w:val="32"/>
          <w:szCs w:val="32"/>
          <w:lang w:eastAsia="zh-CN"/>
        </w:rPr>
        <w:t>及其他</w:t>
      </w:r>
      <w:r>
        <w:rPr>
          <w:rFonts w:ascii="仿宋" w:hAnsi="仿宋" w:eastAsia="仿宋" w:cs="仿宋"/>
          <w:sz w:val="32"/>
          <w:szCs w:val="32"/>
        </w:rPr>
        <w:t>补充保险的稽核内审、信息管理工作；</w:t>
      </w:r>
    </w:p>
    <w:p>
      <w:pPr>
        <w:spacing w:line="360" w:lineRule="auto"/>
        <w:ind w:firstLine="640"/>
        <w:rPr>
          <w:rFonts w:ascii="仿宋" w:hAnsi="仿宋" w:eastAsia="仿宋" w:cs="仿宋"/>
          <w:sz w:val="32"/>
          <w:szCs w:val="32"/>
        </w:rPr>
      </w:pPr>
      <w:r>
        <w:rPr>
          <w:rFonts w:ascii="仿宋" w:hAnsi="仿宋" w:eastAsia="仿宋" w:cs="仿宋"/>
          <w:sz w:val="32"/>
          <w:szCs w:val="32"/>
        </w:rPr>
        <w:t>（七）承担医疗保障信息管理工作；承担全县医疗保障信息系统及相关系统软件的运行、管护工作；</w:t>
      </w:r>
    </w:p>
    <w:p>
      <w:pPr>
        <w:spacing w:line="360" w:lineRule="auto"/>
        <w:ind w:firstLine="640"/>
        <w:rPr>
          <w:rFonts w:ascii="仿宋" w:hAnsi="仿宋" w:eastAsia="仿宋" w:cs="仿宋"/>
          <w:sz w:val="32"/>
          <w:szCs w:val="32"/>
        </w:rPr>
      </w:pPr>
      <w:r>
        <w:rPr>
          <w:rFonts w:ascii="仿宋" w:hAnsi="仿宋" w:eastAsia="仿宋" w:cs="仿宋"/>
          <w:sz w:val="32"/>
          <w:szCs w:val="32"/>
        </w:rPr>
        <w:t>（八）承办县</w:t>
      </w:r>
      <w:r>
        <w:rPr>
          <w:rFonts w:hint="eastAsia" w:ascii="仿宋" w:hAnsi="仿宋" w:eastAsia="仿宋" w:cs="仿宋"/>
          <w:sz w:val="32"/>
          <w:szCs w:val="32"/>
        </w:rPr>
        <w:t>委县政府</w:t>
      </w:r>
      <w:r>
        <w:rPr>
          <w:rFonts w:ascii="仿宋" w:hAnsi="仿宋" w:eastAsia="仿宋" w:cs="仿宋"/>
          <w:sz w:val="32"/>
          <w:szCs w:val="32"/>
        </w:rPr>
        <w:t>交办的其他工作。</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从预算单位构成看，本部门的部门预算是医疗保障局本级单位，下未设置二级单位。</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紫阳县医疗保障局本级（机关）</w:t>
            </w:r>
          </w:p>
        </w:tc>
        <w:tc>
          <w:tcPr>
            <w:tcW w:w="2087" w:type="dxa"/>
          </w:tcPr>
          <w:p>
            <w:pPr>
              <w:spacing w:line="360" w:lineRule="auto"/>
              <w:ind w:firstLine="960" w:firstLineChars="3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无</w:t>
            </w:r>
          </w:p>
        </w:tc>
      </w:tr>
    </w:tbl>
    <w:p>
      <w:pPr>
        <w:spacing w:line="360" w:lineRule="auto"/>
        <w:ind w:firstLine="640"/>
        <w:rPr>
          <w:rFonts w:ascii="仿宋" w:hAnsi="仿宋" w:eastAsia="仿宋" w:cs="仿宋"/>
          <w:sz w:val="32"/>
          <w:szCs w:val="32"/>
        </w:rPr>
      </w:pPr>
    </w:p>
    <w:p>
      <w:pPr>
        <w:numPr>
          <w:ilvl w:val="0"/>
          <w:numId w:val="1"/>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 2022年底，本部门人员编制 25 人，其中行政编制 5 人、事业编制 20 人；实有人员 25 人，其中行政 6 人、事业 19 人。单位管理的离退休人员 3 人。</w:t>
      </w:r>
    </w:p>
    <w:p>
      <w:pPr>
        <w:spacing w:line="360" w:lineRule="auto"/>
        <w:ind w:firstLine="480"/>
        <w:rPr>
          <w:rFonts w:ascii="仿宋" w:hAnsi="仿宋" w:eastAsia="仿宋" w:cs="仿宋"/>
          <w:b/>
          <w:bCs/>
          <w:sz w:val="32"/>
          <w:szCs w:val="32"/>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0" w:firstLineChars="0"/>
        <w:rPr>
          <w:rFonts w:ascii="仿宋" w:hAnsi="仿宋" w:eastAsia="仿宋" w:cs="仿宋"/>
          <w:b/>
          <w:bCs/>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500.95万元，其中一般公共预算拨款收入500.95万元、政府性基金拨款收入0万元，2023年本部门预算收入较上年增加218.1万元，主要原因是今年预算含三类人群参加城乡居民医保个人缴费补贴；2023年本部门预算支出500.95万元，其中一般公共预算拨款支出500.95万元、政府性基金拨款支出0万元，2023年本部门预算支出较上年增加218.1万元，主要原因是今年预算含三类人群参加城乡居民医保个人缴费补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500.95万元，其中一般公共预算拨款收入500.95万元、政府性基金拨款收入0万元，2023年本部门财政拨款收入较上年增加218.1万元，主要原因是今年预算含三类人群参加城乡居民医保个人缴费补贴；2023年本部门财政拨款支出500.95万元，其中一般公共预算拨款支出500.95万元、政府性基金拨款支出0万元，2023年本部门财政拨款支出较上年增加218.1万元，主要原因是今年预算含三类人群参加城乡居民医保个人缴费补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2023年本部门当年一般公共预算拨款支出500.95万元，较上年增加218.1万元，主要原因是今年预算含三类人群参加城乡居民医保个人缴费补贴。</w:t>
      </w:r>
    </w:p>
    <w:tbl>
      <w:tblPr>
        <w:tblStyle w:val="4"/>
        <w:tblW w:w="9685" w:type="dxa"/>
        <w:tblInd w:w="0" w:type="dxa"/>
        <w:tblLayout w:type="fixed"/>
        <w:tblCellMar>
          <w:top w:w="0" w:type="dxa"/>
          <w:left w:w="0" w:type="dxa"/>
          <w:bottom w:w="0" w:type="dxa"/>
          <w:right w:w="0" w:type="dxa"/>
        </w:tblCellMar>
      </w:tblPr>
      <w:tblGrid>
        <w:gridCol w:w="3854"/>
        <w:gridCol w:w="1943"/>
        <w:gridCol w:w="1625"/>
        <w:gridCol w:w="2263"/>
      </w:tblGrid>
      <w:tr>
        <w:tblPrEx>
          <w:tblCellMar>
            <w:top w:w="0" w:type="dxa"/>
            <w:left w:w="0" w:type="dxa"/>
            <w:bottom w:w="0" w:type="dxa"/>
            <w:right w:w="0" w:type="dxa"/>
          </w:tblCellMar>
        </w:tblPrEx>
        <w:trPr>
          <w:trHeight w:val="312" w:hRule="atLeast"/>
        </w:trPr>
        <w:tc>
          <w:tcPr>
            <w:tcW w:w="9685" w:type="dxa"/>
            <w:gridSpan w:val="4"/>
            <w:tcBorders>
              <w:top w:val="nil"/>
              <w:left w:val="nil"/>
              <w:bottom w:val="nil"/>
              <w:right w:val="nil"/>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一般公共预算拨款支出与上年对比增减变化情况对比表</w:t>
            </w:r>
          </w:p>
        </w:tc>
      </w:tr>
      <w:tr>
        <w:tblPrEx>
          <w:tblCellMar>
            <w:top w:w="0" w:type="dxa"/>
            <w:left w:w="0" w:type="dxa"/>
            <w:bottom w:w="0" w:type="dxa"/>
            <w:right w:w="0" w:type="dxa"/>
          </w:tblCellMar>
        </w:tblPrEx>
        <w:trPr>
          <w:trHeight w:val="312" w:hRule="atLeast"/>
        </w:trPr>
        <w:tc>
          <w:tcPr>
            <w:tcW w:w="3854" w:type="dxa"/>
            <w:tcBorders>
              <w:top w:val="nil"/>
              <w:left w:val="nil"/>
              <w:bottom w:val="nil"/>
              <w:right w:val="nil"/>
            </w:tcBorders>
            <w:shd w:val="clear" w:color="auto" w:fill="auto"/>
            <w:tcMar>
              <w:top w:w="12" w:type="dxa"/>
              <w:left w:w="12" w:type="dxa"/>
              <w:right w:w="12" w:type="dxa"/>
            </w:tcMar>
            <w:vAlign w:val="center"/>
          </w:tcPr>
          <w:p>
            <w:pPr>
              <w:ind w:firstLine="480"/>
              <w:jc w:val="center"/>
              <w:rPr>
                <w:rFonts w:ascii="宋体" w:hAnsi="宋体" w:cs="宋体"/>
                <w:color w:val="000000"/>
              </w:rPr>
            </w:pPr>
          </w:p>
        </w:tc>
        <w:tc>
          <w:tcPr>
            <w:tcW w:w="1943" w:type="dxa"/>
            <w:tcBorders>
              <w:top w:val="nil"/>
              <w:left w:val="nil"/>
              <w:bottom w:val="nil"/>
              <w:right w:val="nil"/>
            </w:tcBorders>
            <w:shd w:val="clear" w:color="auto" w:fill="auto"/>
            <w:tcMar>
              <w:top w:w="12" w:type="dxa"/>
              <w:left w:w="12" w:type="dxa"/>
              <w:right w:w="12" w:type="dxa"/>
            </w:tcMar>
            <w:vAlign w:val="center"/>
          </w:tcPr>
          <w:p>
            <w:pPr>
              <w:ind w:firstLine="480"/>
              <w:jc w:val="center"/>
              <w:rPr>
                <w:rFonts w:ascii="宋体" w:hAnsi="宋体" w:cs="宋体"/>
                <w:color w:val="000000"/>
              </w:rPr>
            </w:pPr>
          </w:p>
        </w:tc>
        <w:tc>
          <w:tcPr>
            <w:tcW w:w="1625" w:type="dxa"/>
            <w:tcBorders>
              <w:top w:val="nil"/>
              <w:left w:val="nil"/>
              <w:bottom w:val="nil"/>
              <w:right w:val="nil"/>
            </w:tcBorders>
            <w:shd w:val="clear" w:color="auto" w:fill="auto"/>
            <w:tcMar>
              <w:top w:w="12" w:type="dxa"/>
              <w:left w:w="12" w:type="dxa"/>
              <w:right w:w="12" w:type="dxa"/>
            </w:tcMar>
            <w:vAlign w:val="center"/>
          </w:tcPr>
          <w:p>
            <w:pPr>
              <w:ind w:firstLine="480"/>
              <w:jc w:val="center"/>
              <w:rPr>
                <w:rFonts w:ascii="宋体" w:hAnsi="宋体" w:cs="宋体"/>
                <w:color w:val="000000"/>
              </w:rPr>
            </w:pPr>
          </w:p>
        </w:tc>
        <w:tc>
          <w:tcPr>
            <w:tcW w:w="2263" w:type="dxa"/>
            <w:tcBorders>
              <w:top w:val="nil"/>
              <w:left w:val="nil"/>
              <w:bottom w:val="nil"/>
              <w:right w:val="nil"/>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单位：万元</w:t>
            </w:r>
          </w:p>
        </w:tc>
      </w:tr>
      <w:tr>
        <w:tblPrEx>
          <w:tblCellMar>
            <w:top w:w="0" w:type="dxa"/>
            <w:left w:w="0" w:type="dxa"/>
            <w:bottom w:w="0" w:type="dxa"/>
            <w:right w:w="0" w:type="dxa"/>
          </w:tblCellMar>
        </w:tblPrEx>
        <w:trPr>
          <w:trHeight w:val="312" w:hRule="atLeast"/>
        </w:trPr>
        <w:tc>
          <w:tcPr>
            <w:tcW w:w="3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项目</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本年</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上年</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增减</w:t>
            </w:r>
          </w:p>
        </w:tc>
      </w:tr>
      <w:tr>
        <w:tblPrEx>
          <w:tblCellMar>
            <w:top w:w="0" w:type="dxa"/>
            <w:left w:w="0" w:type="dxa"/>
            <w:bottom w:w="0" w:type="dxa"/>
            <w:right w:w="0" w:type="dxa"/>
          </w:tblCellMar>
        </w:tblPrEx>
        <w:trPr>
          <w:trHeight w:val="408" w:hRule="atLeast"/>
        </w:trPr>
        <w:tc>
          <w:tcPr>
            <w:tcW w:w="3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一般公共预算拨款支出</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640"/>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500.95</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282.85</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80"/>
              <w:jc w:val="center"/>
              <w:textAlignment w:val="center"/>
              <w:rPr>
                <w:rFonts w:ascii="宋体" w:hAnsi="宋体" w:cs="宋体"/>
                <w:color w:val="000000"/>
              </w:rPr>
            </w:pPr>
            <w:r>
              <w:rPr>
                <w:rFonts w:hint="eastAsia" w:ascii="宋体" w:hAnsi="宋体" w:cs="宋体"/>
                <w:color w:val="000000"/>
                <w:kern w:val="0"/>
                <w:lang w:bidi="ar"/>
              </w:rPr>
              <w:t>218.1</w:t>
            </w:r>
          </w:p>
        </w:tc>
      </w:tr>
    </w:tbl>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本部门2023年当年一般公共预算支出500.95万元，其中：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（1）机关事业单位基本养老保险缴费支出（2080505）32.16万元，较上年增加 5.71 万元，原因是人员增多，养老保险配套增加。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（2）行政单位医疗（2101101）15.82 万元，较上年增加 2.87 万元，原因是人员增多，医疗保险配套增加。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（3）行政运行（2101501）119.75 万元，较上年减少 101.15 万元，原因是事业单位运行单独核算，人员经费减少。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（4）事业运行（2101550）148.76万元，较上年增加148.76万元，原因是事业单位运行单独核算，人员经费增加。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（5）“三类人群”参保资助（2130506）160.26万元，较上年增加160.26万元，主要原因是今年预算含三类人群参加城乡居民医保个人缴费补贴。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（6）住房公积金（2210201）24.2 万元，较上年增加 1.65 万元，原因是人员增多，住房公积金配套增加。</w:t>
      </w:r>
    </w:p>
    <w:tbl>
      <w:tblPr>
        <w:tblStyle w:val="4"/>
        <w:tblW w:w="7645" w:type="dxa"/>
        <w:tblInd w:w="0" w:type="dxa"/>
        <w:tblLayout w:type="fixed"/>
        <w:tblCellMar>
          <w:top w:w="0" w:type="dxa"/>
          <w:left w:w="0" w:type="dxa"/>
          <w:bottom w:w="0" w:type="dxa"/>
          <w:right w:w="0" w:type="dxa"/>
        </w:tblCellMar>
      </w:tblPr>
      <w:tblGrid>
        <w:gridCol w:w="1283"/>
        <w:gridCol w:w="2840"/>
        <w:gridCol w:w="1080"/>
        <w:gridCol w:w="1176"/>
        <w:gridCol w:w="1266"/>
      </w:tblGrid>
      <w:tr>
        <w:tblPrEx>
          <w:tblCellMar>
            <w:top w:w="0" w:type="dxa"/>
            <w:left w:w="0" w:type="dxa"/>
            <w:bottom w:w="0" w:type="dxa"/>
            <w:right w:w="0" w:type="dxa"/>
          </w:tblCellMar>
        </w:tblPrEx>
        <w:trPr>
          <w:trHeight w:val="48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2"/>
              <w:jc w:val="center"/>
              <w:textAlignment w:val="center"/>
              <w:rPr>
                <w:rFonts w:ascii="Arial" w:hAnsi="Arial" w:cs="Arial"/>
                <w:b/>
                <w:color w:val="000000"/>
                <w:sz w:val="20"/>
                <w:szCs w:val="20"/>
              </w:rPr>
            </w:pPr>
            <w:r>
              <w:rPr>
                <w:rFonts w:ascii="Arial" w:hAnsi="Arial" w:cs="Arial"/>
                <w:b/>
                <w:color w:val="000000"/>
                <w:kern w:val="0"/>
                <w:sz w:val="20"/>
                <w:szCs w:val="20"/>
                <w:lang w:bidi="ar"/>
              </w:rPr>
              <w:t>功能科目编码</w:t>
            </w:r>
          </w:p>
        </w:tc>
        <w:tc>
          <w:tcPr>
            <w:tcW w:w="2840"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2"/>
              <w:jc w:val="center"/>
              <w:textAlignment w:val="center"/>
              <w:rPr>
                <w:rFonts w:ascii="Arial" w:hAnsi="Arial" w:cs="Arial"/>
                <w:b/>
                <w:color w:val="000000"/>
                <w:sz w:val="20"/>
                <w:szCs w:val="20"/>
              </w:rPr>
            </w:pPr>
            <w:r>
              <w:rPr>
                <w:rFonts w:ascii="Arial" w:hAnsi="Arial" w:cs="Arial"/>
                <w:b/>
                <w:color w:val="000000"/>
                <w:kern w:val="0"/>
                <w:sz w:val="20"/>
                <w:szCs w:val="20"/>
                <w:lang w:bidi="ar"/>
              </w:rPr>
              <w:t>功能科目名称</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合计</w:t>
            </w:r>
          </w:p>
        </w:tc>
      </w:tr>
      <w:tr>
        <w:tblPrEx>
          <w:tblCellMar>
            <w:top w:w="0" w:type="dxa"/>
            <w:left w:w="0" w:type="dxa"/>
            <w:bottom w:w="0" w:type="dxa"/>
            <w:right w:w="0" w:type="dxa"/>
          </w:tblCellMar>
        </w:tblPrEx>
        <w:trPr>
          <w:trHeight w:val="264"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402"/>
              <w:jc w:val="center"/>
              <w:rPr>
                <w:rFonts w:ascii="Arial" w:hAnsi="Arial" w:cs="Arial"/>
                <w:b/>
                <w:color w:val="000000"/>
                <w:sz w:val="20"/>
                <w:szCs w:val="20"/>
              </w:rPr>
            </w:pPr>
          </w:p>
        </w:tc>
        <w:tc>
          <w:tcPr>
            <w:tcW w:w="284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ind w:firstLine="402"/>
              <w:jc w:val="center"/>
              <w:rPr>
                <w:rFonts w:ascii="Arial" w:hAnsi="Arial" w:cs="Arial"/>
                <w:b/>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本年</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上年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增减</w:t>
            </w:r>
          </w:p>
        </w:tc>
      </w:tr>
      <w:tr>
        <w:tblPrEx>
          <w:tblCellMar>
            <w:top w:w="0" w:type="dxa"/>
            <w:left w:w="0" w:type="dxa"/>
            <w:bottom w:w="0" w:type="dxa"/>
            <w:right w:w="0" w:type="dxa"/>
          </w:tblCellMar>
        </w:tblPrEx>
        <w:trPr>
          <w:trHeight w:val="26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400"/>
              <w:jc w:val="left"/>
              <w:rPr>
                <w:rFonts w:ascii="Arial" w:hAnsi="Arial" w:cs="Arial"/>
                <w:color w:val="000000"/>
                <w:sz w:val="20"/>
                <w:szCs w:val="20"/>
              </w:rPr>
            </w:pP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500.9</w:t>
            </w:r>
            <w:r>
              <w:rPr>
                <w:rFonts w:hint="eastAsia" w:ascii="Arial" w:hAnsi="Arial" w:cs="Arial"/>
                <w:color w:val="000000"/>
                <w:kern w:val="0"/>
                <w:sz w:val="20"/>
                <w:szCs w:val="20"/>
                <w:lang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282.85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218.11</w:t>
            </w:r>
          </w:p>
        </w:tc>
      </w:tr>
      <w:tr>
        <w:tblPrEx>
          <w:tblCellMar>
            <w:top w:w="0" w:type="dxa"/>
            <w:left w:w="0" w:type="dxa"/>
            <w:bottom w:w="0" w:type="dxa"/>
            <w:right w:w="0" w:type="dxa"/>
          </w:tblCellMar>
        </w:tblPrEx>
        <w:trPr>
          <w:trHeight w:val="48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208</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32.1</w:t>
            </w:r>
            <w:r>
              <w:rPr>
                <w:rFonts w:hint="eastAsia" w:ascii="Arial" w:hAnsi="Arial" w:cs="Arial"/>
                <w:color w:val="000000"/>
                <w:kern w:val="0"/>
                <w:sz w:val="20"/>
                <w:szCs w:val="20"/>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26.45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5.</w:t>
            </w:r>
            <w:r>
              <w:rPr>
                <w:rFonts w:hint="eastAsia" w:ascii="Arial" w:hAnsi="Arial" w:cs="Arial"/>
                <w:color w:val="000000"/>
                <w:kern w:val="0"/>
                <w:sz w:val="20"/>
                <w:szCs w:val="20"/>
                <w:lang w:bidi="ar"/>
              </w:rPr>
              <w:t>71</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20805</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32.1</w:t>
            </w:r>
            <w:r>
              <w:rPr>
                <w:rFonts w:hint="eastAsia" w:ascii="Arial" w:hAnsi="Arial" w:cs="Arial"/>
                <w:color w:val="000000"/>
                <w:kern w:val="0"/>
                <w:sz w:val="20"/>
                <w:szCs w:val="20"/>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26.45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5.</w:t>
            </w:r>
            <w:r>
              <w:rPr>
                <w:rFonts w:hint="eastAsia" w:ascii="Arial" w:hAnsi="Arial" w:cs="Arial"/>
                <w:color w:val="000000"/>
                <w:kern w:val="0"/>
                <w:sz w:val="20"/>
                <w:szCs w:val="20"/>
                <w:lang w:bidi="ar"/>
              </w:rPr>
              <w:t>71</w:t>
            </w:r>
          </w:p>
        </w:tc>
      </w:tr>
      <w:tr>
        <w:tblPrEx>
          <w:tblCellMar>
            <w:top w:w="0" w:type="dxa"/>
            <w:left w:w="0" w:type="dxa"/>
            <w:bottom w:w="0" w:type="dxa"/>
            <w:right w:w="0" w:type="dxa"/>
          </w:tblCellMar>
        </w:tblPrEx>
        <w:trPr>
          <w:trHeight w:val="72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2080505</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32.1</w:t>
            </w:r>
            <w:r>
              <w:rPr>
                <w:rFonts w:hint="eastAsia" w:ascii="Arial" w:hAnsi="Arial" w:cs="Arial"/>
                <w:color w:val="000000"/>
                <w:kern w:val="0"/>
                <w:sz w:val="20"/>
                <w:szCs w:val="20"/>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26.45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5.</w:t>
            </w:r>
            <w:r>
              <w:rPr>
                <w:rFonts w:hint="eastAsia" w:ascii="Arial" w:hAnsi="Arial" w:cs="Arial"/>
                <w:color w:val="000000"/>
                <w:kern w:val="0"/>
                <w:sz w:val="20"/>
                <w:szCs w:val="20"/>
                <w:lang w:bidi="ar"/>
              </w:rPr>
              <w:t>71</w:t>
            </w:r>
          </w:p>
        </w:tc>
      </w:tr>
      <w:tr>
        <w:tblPrEx>
          <w:tblCellMar>
            <w:top w:w="0" w:type="dxa"/>
            <w:left w:w="0" w:type="dxa"/>
            <w:bottom w:w="0" w:type="dxa"/>
            <w:right w:w="0" w:type="dxa"/>
          </w:tblCellMar>
        </w:tblPrEx>
        <w:trPr>
          <w:trHeight w:val="26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210</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284.33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233.85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50.48</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21011</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15.82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12.95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2.87</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2101101</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行政单位医疗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15.82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12.95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2.87</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21015</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医疗保障管理事务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268.51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220.9</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47.61</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2101501</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119.75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220.9</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-101.15</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2101550</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148.76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148.76</w:t>
            </w:r>
          </w:p>
        </w:tc>
      </w:tr>
      <w:tr>
        <w:tblPrEx>
          <w:tblCellMar>
            <w:top w:w="0" w:type="dxa"/>
            <w:left w:w="0" w:type="dxa"/>
            <w:bottom w:w="0" w:type="dxa"/>
            <w:right w:w="0" w:type="dxa"/>
          </w:tblCellMar>
        </w:tblPrEx>
        <w:trPr>
          <w:trHeight w:val="26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213</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160.26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160.26</w:t>
            </w:r>
          </w:p>
        </w:tc>
      </w:tr>
      <w:tr>
        <w:tblPrEx>
          <w:tblCellMar>
            <w:top w:w="0" w:type="dxa"/>
            <w:left w:w="0" w:type="dxa"/>
            <w:bottom w:w="0" w:type="dxa"/>
            <w:right w:w="0" w:type="dxa"/>
          </w:tblCellMar>
        </w:tblPrEx>
        <w:trPr>
          <w:trHeight w:val="48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21305</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巩固脱贫衔接乡村振兴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160.26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160.26</w:t>
            </w:r>
          </w:p>
        </w:tc>
      </w:tr>
      <w:tr>
        <w:tblPrEx>
          <w:tblCellMar>
            <w:top w:w="0" w:type="dxa"/>
            <w:left w:w="0" w:type="dxa"/>
            <w:bottom w:w="0" w:type="dxa"/>
            <w:right w:w="0" w:type="dxa"/>
          </w:tblCellMar>
        </w:tblPrEx>
        <w:trPr>
          <w:trHeight w:val="48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2130506</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“三类人群”参保资助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160.26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160.26</w:t>
            </w:r>
          </w:p>
        </w:tc>
      </w:tr>
      <w:tr>
        <w:tblPrEx>
          <w:tblCellMar>
            <w:top w:w="0" w:type="dxa"/>
            <w:left w:w="0" w:type="dxa"/>
            <w:bottom w:w="0" w:type="dxa"/>
            <w:right w:w="0" w:type="dxa"/>
          </w:tblCellMar>
        </w:tblPrEx>
        <w:trPr>
          <w:trHeight w:val="26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Arial" w:hAnsi="Arial" w:cs="Arial"/>
                <w:color w:val="000000"/>
                <w:sz w:val="20"/>
                <w:szCs w:val="20"/>
              </w:rPr>
            </w:pPr>
            <w:r>
              <w:rPr>
                <w:rFonts w:ascii="Arial" w:hAnsi="Arial" w:cs="Arial"/>
                <w:color w:val="000000"/>
                <w:kern w:val="0"/>
                <w:sz w:val="20"/>
                <w:szCs w:val="20"/>
                <w:lang w:bidi="ar"/>
              </w:rPr>
              <w:t>221</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24.20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22.55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1.65</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22102</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24.20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22.55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1.65</w:t>
            </w:r>
          </w:p>
        </w:tc>
      </w:tr>
      <w:tr>
        <w:tblPrEx>
          <w:tblCellMar>
            <w:top w:w="0" w:type="dxa"/>
            <w:left w:w="0" w:type="dxa"/>
            <w:bottom w:w="0" w:type="dxa"/>
            <w:right w:w="0" w:type="dxa"/>
          </w:tblCellMar>
        </w:tblPrEx>
        <w:trPr>
          <w:trHeight w:val="504"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　　　　2210201</w:t>
            </w:r>
          </w:p>
        </w:tc>
        <w:tc>
          <w:tcPr>
            <w:tcW w:w="28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right"/>
              <w:textAlignment w:val="center"/>
              <w:rPr>
                <w:rFonts w:ascii="Arial" w:hAnsi="Arial" w:cs="Arial"/>
                <w:color w:val="000000"/>
                <w:sz w:val="20"/>
                <w:szCs w:val="20"/>
              </w:rPr>
            </w:pPr>
            <w:r>
              <w:rPr>
                <w:rFonts w:ascii="Arial" w:hAnsi="Arial" w:cs="Arial"/>
                <w:color w:val="000000"/>
                <w:kern w:val="0"/>
                <w:sz w:val="20"/>
                <w:szCs w:val="20"/>
                <w:lang w:bidi="ar"/>
              </w:rPr>
              <w:t>24.20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22.55</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right"/>
              <w:textAlignment w:val="bottom"/>
              <w:rPr>
                <w:rFonts w:ascii="Arial" w:hAnsi="Arial" w:cs="Arial"/>
                <w:color w:val="000000"/>
                <w:sz w:val="20"/>
                <w:szCs w:val="20"/>
              </w:rPr>
            </w:pPr>
            <w:r>
              <w:rPr>
                <w:rFonts w:ascii="Arial" w:hAnsi="Arial" w:cs="Arial"/>
                <w:color w:val="000000"/>
                <w:kern w:val="0"/>
                <w:sz w:val="20"/>
                <w:szCs w:val="20"/>
                <w:lang w:bidi="ar"/>
              </w:rPr>
              <w:t>1.65</w:t>
            </w:r>
          </w:p>
        </w:tc>
      </w:tr>
    </w:tbl>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示例：2023年本部门当年一般公共预算支出500.95万元，其中：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工资福利支出（301）292.02万元，较上年增加55.43万元，原因是人员增加，职级变动，人员经费增加；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商品和服务支出（302）47.91万元，较上年增加2.41万元，原因是人员增加，公用经费增加；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对个人和家庭的补助支出（303）161.02万元，较上年增加160.26万元，原因是今年预算含三类人群参加城乡居民医保个人缴费补贴；</w:t>
      </w:r>
    </w:p>
    <w:tbl>
      <w:tblPr>
        <w:tblStyle w:val="4"/>
        <w:tblW w:w="7705" w:type="dxa"/>
        <w:tblInd w:w="0" w:type="dxa"/>
        <w:tblLayout w:type="fixed"/>
        <w:tblCellMar>
          <w:top w:w="0" w:type="dxa"/>
          <w:left w:w="0" w:type="dxa"/>
          <w:bottom w:w="0" w:type="dxa"/>
          <w:right w:w="0" w:type="dxa"/>
        </w:tblCellMar>
      </w:tblPr>
      <w:tblGrid>
        <w:gridCol w:w="1704"/>
        <w:gridCol w:w="2265"/>
        <w:gridCol w:w="1116"/>
        <w:gridCol w:w="1116"/>
        <w:gridCol w:w="1504"/>
      </w:tblGrid>
      <w:tr>
        <w:tblPrEx>
          <w:tblCellMar>
            <w:top w:w="0" w:type="dxa"/>
            <w:left w:w="0" w:type="dxa"/>
            <w:bottom w:w="0" w:type="dxa"/>
            <w:right w:w="0" w:type="dxa"/>
          </w:tblCellMar>
        </w:tblPrEx>
        <w:trPr>
          <w:trHeight w:val="500" w:hRule="atLeast"/>
        </w:trPr>
        <w:tc>
          <w:tcPr>
            <w:tcW w:w="7705" w:type="dxa"/>
            <w:gridSpan w:val="5"/>
            <w:tcBorders>
              <w:top w:val="nil"/>
              <w:left w:val="nil"/>
              <w:bottom w:val="nil"/>
              <w:right w:val="nil"/>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2023</w:t>
            </w:r>
            <w:r>
              <w:rPr>
                <w:rFonts w:hint="eastAsia" w:ascii="宋体" w:hAnsi="宋体" w:cs="宋体"/>
                <w:color w:val="000000"/>
                <w:kern w:val="0"/>
                <w:sz w:val="20"/>
                <w:szCs w:val="20"/>
                <w:lang w:bidi="ar"/>
              </w:rPr>
              <w:t>年部门综合预算一般公共预算支出与上年支出明细对比表</w:t>
            </w:r>
          </w:p>
        </w:tc>
      </w:tr>
      <w:tr>
        <w:tblPrEx>
          <w:tblCellMar>
            <w:top w:w="0" w:type="dxa"/>
            <w:left w:w="0" w:type="dxa"/>
            <w:bottom w:w="0" w:type="dxa"/>
            <w:right w:w="0" w:type="dxa"/>
          </w:tblCellMar>
        </w:tblPrEx>
        <w:trPr>
          <w:trHeight w:val="500" w:hRule="atLeast"/>
        </w:trPr>
        <w:tc>
          <w:tcPr>
            <w:tcW w:w="17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c>
          <w:tcPr>
            <w:tcW w:w="4497" w:type="dxa"/>
            <w:gridSpan w:val="3"/>
            <w:tcBorders>
              <w:top w:val="nil"/>
              <w:left w:val="nil"/>
              <w:bottom w:val="nil"/>
              <w:right w:val="nil"/>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（按支出经济分类科目）</w:t>
            </w:r>
          </w:p>
        </w:tc>
        <w:tc>
          <w:tcPr>
            <w:tcW w:w="15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r>
      <w:tr>
        <w:tblPrEx>
          <w:tblCellMar>
            <w:top w:w="0" w:type="dxa"/>
            <w:left w:w="0" w:type="dxa"/>
            <w:bottom w:w="0" w:type="dxa"/>
            <w:right w:w="0" w:type="dxa"/>
          </w:tblCellMar>
        </w:tblPrEx>
        <w:trPr>
          <w:trHeight w:val="500" w:hRule="atLeast"/>
        </w:trPr>
        <w:tc>
          <w:tcPr>
            <w:tcW w:w="17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c>
          <w:tcPr>
            <w:tcW w:w="2265"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1116"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Arial" w:hAnsi="Arial" w:cs="Arial"/>
                <w:color w:val="000000"/>
                <w:sz w:val="20"/>
                <w:szCs w:val="20"/>
              </w:rPr>
            </w:pPr>
          </w:p>
        </w:tc>
        <w:tc>
          <w:tcPr>
            <w:tcW w:w="1116"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Arial" w:hAnsi="Arial" w:cs="Arial"/>
                <w:color w:val="000000"/>
                <w:sz w:val="20"/>
                <w:szCs w:val="20"/>
              </w:rPr>
            </w:pPr>
          </w:p>
        </w:tc>
        <w:tc>
          <w:tcPr>
            <w:tcW w:w="1504" w:type="dxa"/>
            <w:tcBorders>
              <w:top w:val="nil"/>
              <w:left w:val="nil"/>
              <w:bottom w:val="nil"/>
              <w:right w:val="nil"/>
            </w:tcBorders>
            <w:shd w:val="clear" w:color="auto" w:fill="auto"/>
            <w:tcMar>
              <w:top w:w="12" w:type="dxa"/>
              <w:left w:w="12" w:type="dxa"/>
              <w:right w:w="12" w:type="dxa"/>
            </w:tcMar>
            <w:vAlign w:val="bottom"/>
          </w:tcPr>
          <w:p>
            <w:pPr>
              <w:widowControl/>
              <w:ind w:firstLine="400"/>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00" w:hRule="atLeast"/>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功能科目编码</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功能科目名称</w:t>
            </w:r>
          </w:p>
        </w:tc>
        <w:tc>
          <w:tcPr>
            <w:tcW w:w="37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合计</w:t>
            </w:r>
          </w:p>
        </w:tc>
      </w:tr>
      <w:tr>
        <w:tblPrEx>
          <w:tblCellMar>
            <w:top w:w="0" w:type="dxa"/>
            <w:left w:w="0" w:type="dxa"/>
            <w:bottom w:w="0" w:type="dxa"/>
            <w:right w:w="0" w:type="dxa"/>
          </w:tblCellMar>
        </w:tblPrEx>
        <w:trPr>
          <w:trHeight w:val="500"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本年</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上年</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增减</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301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工资福利支出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292.0</w:t>
            </w:r>
            <w:r>
              <w:rPr>
                <w:rFonts w:hint="eastAsia" w:ascii="Arial" w:hAnsi="Arial" w:cs="Arial"/>
                <w:color w:val="000000"/>
                <w:kern w:val="0"/>
                <w:sz w:val="20"/>
                <w:szCs w:val="20"/>
                <w:lang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236.59</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55.4</w:t>
            </w:r>
            <w:r>
              <w:rPr>
                <w:rFonts w:hint="eastAsia" w:ascii="Arial" w:hAnsi="Arial" w:cs="Arial"/>
                <w:color w:val="000000"/>
                <w:kern w:val="0"/>
                <w:sz w:val="20"/>
                <w:szCs w:val="20"/>
                <w:lang w:bidi="ar"/>
              </w:rPr>
              <w:t>3</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302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商品和服务支出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47.91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45.5</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2.41</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303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left"/>
              <w:textAlignment w:val="center"/>
              <w:rPr>
                <w:rFonts w:ascii="Arial" w:hAnsi="Arial" w:cs="Arial"/>
                <w:color w:val="000000"/>
                <w:sz w:val="20"/>
                <w:szCs w:val="20"/>
              </w:rPr>
            </w:pPr>
            <w:r>
              <w:rPr>
                <w:rFonts w:ascii="Arial" w:hAnsi="Arial" w:cs="Arial"/>
                <w:color w:val="000000"/>
                <w:kern w:val="0"/>
                <w:sz w:val="20"/>
                <w:szCs w:val="20"/>
                <w:lang w:bidi="ar"/>
              </w:rPr>
              <w:t>对个人和家庭的补助</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161.02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0.76</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160.26</w:t>
            </w:r>
          </w:p>
        </w:tc>
      </w:tr>
    </w:tbl>
    <w:p>
      <w:p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2023年本部门当年一般公共预算支出500.95万元，其中：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机关工资福利支出（501））292.02万元，较上年增加55.43万元，原因是人员增加，职级变动，人员经费增加；   机关商品和服务支出（502）47.91万元，较上年增加2.41万元，原因是人员增加，公用经费增加；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对个人和家庭的补助支出（509）161.02万元，较上年增加160.26万元，原因是今年预算含三类人群参加城乡居民医保个人缴费补贴；</w:t>
      </w:r>
    </w:p>
    <w:p>
      <w:pPr>
        <w:spacing w:line="360" w:lineRule="auto"/>
        <w:ind w:firstLine="640"/>
        <w:rPr>
          <w:rFonts w:ascii="仿宋" w:hAnsi="仿宋" w:eastAsia="仿宋" w:cs="仿宋"/>
          <w:sz w:val="32"/>
          <w:szCs w:val="32"/>
        </w:rPr>
      </w:pPr>
    </w:p>
    <w:tbl>
      <w:tblPr>
        <w:tblStyle w:val="4"/>
        <w:tblW w:w="7744" w:type="dxa"/>
        <w:tblInd w:w="0" w:type="dxa"/>
        <w:tblLayout w:type="fixed"/>
        <w:tblCellMar>
          <w:top w:w="0" w:type="dxa"/>
          <w:left w:w="0" w:type="dxa"/>
          <w:bottom w:w="0" w:type="dxa"/>
          <w:right w:w="0" w:type="dxa"/>
        </w:tblCellMar>
      </w:tblPr>
      <w:tblGrid>
        <w:gridCol w:w="1704"/>
        <w:gridCol w:w="2304"/>
        <w:gridCol w:w="1116"/>
        <w:gridCol w:w="1116"/>
        <w:gridCol w:w="1504"/>
      </w:tblGrid>
      <w:tr>
        <w:tblPrEx>
          <w:tblCellMar>
            <w:top w:w="0" w:type="dxa"/>
            <w:left w:w="0" w:type="dxa"/>
            <w:bottom w:w="0" w:type="dxa"/>
            <w:right w:w="0" w:type="dxa"/>
          </w:tblCellMar>
        </w:tblPrEx>
        <w:trPr>
          <w:trHeight w:val="500" w:hRule="atLeast"/>
        </w:trPr>
        <w:tc>
          <w:tcPr>
            <w:tcW w:w="7744" w:type="dxa"/>
            <w:gridSpan w:val="5"/>
            <w:tcBorders>
              <w:top w:val="nil"/>
              <w:left w:val="nil"/>
              <w:bottom w:val="nil"/>
              <w:right w:val="nil"/>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2023</w:t>
            </w:r>
            <w:r>
              <w:rPr>
                <w:rFonts w:hint="eastAsia" w:ascii="宋体" w:hAnsi="宋体" w:cs="宋体"/>
                <w:color w:val="000000"/>
                <w:kern w:val="0"/>
                <w:sz w:val="20"/>
                <w:szCs w:val="20"/>
                <w:lang w:bidi="ar"/>
              </w:rPr>
              <w:t>年部门综合预算一般公共预算支出与上年支出明细对比表</w:t>
            </w:r>
          </w:p>
        </w:tc>
      </w:tr>
      <w:tr>
        <w:tblPrEx>
          <w:tblCellMar>
            <w:top w:w="0" w:type="dxa"/>
            <w:left w:w="0" w:type="dxa"/>
            <w:bottom w:w="0" w:type="dxa"/>
            <w:right w:w="0" w:type="dxa"/>
          </w:tblCellMar>
        </w:tblPrEx>
        <w:trPr>
          <w:trHeight w:val="500" w:hRule="atLeast"/>
        </w:trPr>
        <w:tc>
          <w:tcPr>
            <w:tcW w:w="17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c>
          <w:tcPr>
            <w:tcW w:w="4536" w:type="dxa"/>
            <w:gridSpan w:val="3"/>
            <w:tcBorders>
              <w:top w:val="nil"/>
              <w:left w:val="nil"/>
              <w:bottom w:val="nil"/>
              <w:right w:val="nil"/>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（按政府预算经济分类科目）</w:t>
            </w:r>
          </w:p>
        </w:tc>
        <w:tc>
          <w:tcPr>
            <w:tcW w:w="15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r>
      <w:tr>
        <w:tblPrEx>
          <w:tblCellMar>
            <w:top w:w="0" w:type="dxa"/>
            <w:left w:w="0" w:type="dxa"/>
            <w:bottom w:w="0" w:type="dxa"/>
            <w:right w:w="0" w:type="dxa"/>
          </w:tblCellMar>
        </w:tblPrEx>
        <w:trPr>
          <w:trHeight w:val="500" w:hRule="atLeast"/>
        </w:trPr>
        <w:tc>
          <w:tcPr>
            <w:tcW w:w="1704" w:type="dxa"/>
            <w:tcBorders>
              <w:top w:val="nil"/>
              <w:left w:val="nil"/>
              <w:bottom w:val="nil"/>
              <w:right w:val="nil"/>
            </w:tcBorders>
            <w:shd w:val="clear" w:color="auto" w:fill="auto"/>
            <w:tcMar>
              <w:top w:w="12" w:type="dxa"/>
              <w:left w:w="12" w:type="dxa"/>
              <w:right w:w="12" w:type="dxa"/>
            </w:tcMar>
            <w:vAlign w:val="bottom"/>
          </w:tcPr>
          <w:p>
            <w:pPr>
              <w:ind w:firstLine="400"/>
              <w:rPr>
                <w:rFonts w:ascii="Arial" w:hAnsi="Arial" w:cs="Arial"/>
                <w:color w:val="000000"/>
                <w:sz w:val="20"/>
                <w:szCs w:val="20"/>
              </w:rPr>
            </w:pPr>
          </w:p>
        </w:tc>
        <w:tc>
          <w:tcPr>
            <w:tcW w:w="2304"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1116"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Arial" w:hAnsi="Arial" w:cs="Arial"/>
                <w:color w:val="000000"/>
                <w:sz w:val="20"/>
                <w:szCs w:val="20"/>
              </w:rPr>
            </w:pPr>
          </w:p>
        </w:tc>
        <w:tc>
          <w:tcPr>
            <w:tcW w:w="1116" w:type="dxa"/>
            <w:tcBorders>
              <w:top w:val="nil"/>
              <w:left w:val="nil"/>
              <w:bottom w:val="nil"/>
              <w:right w:val="nil"/>
            </w:tcBorders>
            <w:shd w:val="clear" w:color="auto" w:fill="auto"/>
            <w:tcMar>
              <w:top w:w="12" w:type="dxa"/>
              <w:left w:w="12" w:type="dxa"/>
              <w:right w:w="12" w:type="dxa"/>
            </w:tcMar>
            <w:vAlign w:val="bottom"/>
          </w:tcPr>
          <w:p>
            <w:pPr>
              <w:ind w:firstLine="400"/>
              <w:jc w:val="center"/>
              <w:rPr>
                <w:rFonts w:ascii="Arial" w:hAnsi="Arial" w:cs="Arial"/>
                <w:color w:val="000000"/>
                <w:sz w:val="20"/>
                <w:szCs w:val="20"/>
              </w:rPr>
            </w:pPr>
          </w:p>
        </w:tc>
        <w:tc>
          <w:tcPr>
            <w:tcW w:w="1504" w:type="dxa"/>
            <w:tcBorders>
              <w:top w:val="nil"/>
              <w:left w:val="nil"/>
              <w:bottom w:val="nil"/>
              <w:right w:val="nil"/>
            </w:tcBorders>
            <w:shd w:val="clear" w:color="auto" w:fill="auto"/>
            <w:tcMar>
              <w:top w:w="12" w:type="dxa"/>
              <w:left w:w="12" w:type="dxa"/>
              <w:right w:w="12" w:type="dxa"/>
            </w:tcMar>
            <w:vAlign w:val="bottom"/>
          </w:tcPr>
          <w:p>
            <w:pPr>
              <w:widowControl/>
              <w:ind w:firstLine="400"/>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00" w:hRule="atLeast"/>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功能科目编码</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功能科目名称</w:t>
            </w:r>
          </w:p>
        </w:tc>
        <w:tc>
          <w:tcPr>
            <w:tcW w:w="37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合计</w:t>
            </w:r>
          </w:p>
        </w:tc>
      </w:tr>
      <w:tr>
        <w:tblPrEx>
          <w:tblCellMar>
            <w:top w:w="0" w:type="dxa"/>
            <w:left w:w="0" w:type="dxa"/>
            <w:bottom w:w="0" w:type="dxa"/>
            <w:right w:w="0" w:type="dxa"/>
          </w:tblCellMar>
        </w:tblPrEx>
        <w:trPr>
          <w:trHeight w:val="500"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ind w:firstLine="400"/>
              <w:jc w:val="center"/>
              <w:rPr>
                <w:rFonts w:ascii="宋体" w:hAnsi="宋体" w:cs="宋体"/>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本年</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上年</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增减</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501</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机关工资福利支出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292.0</w:t>
            </w:r>
            <w:r>
              <w:rPr>
                <w:rFonts w:hint="eastAsia" w:ascii="Arial" w:hAnsi="Arial" w:cs="Arial"/>
                <w:color w:val="000000"/>
                <w:kern w:val="0"/>
                <w:sz w:val="20"/>
                <w:szCs w:val="20"/>
                <w:lang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236.59</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55.4</w:t>
            </w:r>
            <w:r>
              <w:rPr>
                <w:rFonts w:hint="eastAsia" w:ascii="Arial" w:hAnsi="Arial" w:cs="Arial"/>
                <w:color w:val="000000"/>
                <w:kern w:val="0"/>
                <w:sz w:val="20"/>
                <w:szCs w:val="20"/>
                <w:lang w:bidi="ar"/>
              </w:rPr>
              <w:t>3</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502</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机关商品和服务支出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47.91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45.5</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2.41</w:t>
            </w:r>
          </w:p>
        </w:tc>
      </w:tr>
      <w:tr>
        <w:tblPrEx>
          <w:tblCellMar>
            <w:top w:w="0" w:type="dxa"/>
            <w:left w:w="0" w:type="dxa"/>
            <w:bottom w:w="0" w:type="dxa"/>
            <w:right w:w="0" w:type="dxa"/>
          </w:tblCellMar>
        </w:tblPrEx>
        <w:trPr>
          <w:trHeight w:val="4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509</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对个人和家庭的补助支出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161.02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0.76</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ind w:firstLine="400"/>
              <w:jc w:val="center"/>
              <w:textAlignment w:val="bottom"/>
              <w:rPr>
                <w:rFonts w:ascii="Arial" w:hAnsi="Arial" w:cs="Arial"/>
                <w:color w:val="000000"/>
                <w:sz w:val="20"/>
                <w:szCs w:val="20"/>
              </w:rPr>
            </w:pPr>
            <w:r>
              <w:rPr>
                <w:rFonts w:ascii="Arial" w:hAnsi="Arial" w:cs="Arial"/>
                <w:color w:val="000000"/>
                <w:kern w:val="0"/>
                <w:sz w:val="20"/>
                <w:szCs w:val="20"/>
                <w:lang w:bidi="ar"/>
              </w:rPr>
              <w:t>160.26</w:t>
            </w: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p>
    <w:p>
      <w:pPr>
        <w:spacing w:line="360" w:lineRule="auto"/>
        <w:ind w:firstLine="643"/>
        <w:rPr>
          <w:rFonts w:ascii="仿宋" w:hAnsi="仿宋" w:eastAsia="仿宋" w:cs="仿宋"/>
          <w:b/>
          <w:bCs/>
          <w:sz w:val="32"/>
          <w:szCs w:val="32"/>
        </w:rPr>
      </w:pP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color w:val="FF0000"/>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5.35万元，较上年增加0万元，与上年预算持平。其中：因公出国（境）经费0万元，主要原因是本单位无因公出国（境）项目；公务接待费4万元，较上年增加0万元（0%），严格落实“八项规定”，与上年预算持平；公务用车运行费4万元，较上年增加0万元（0%），主要原因是压减车辆运维费，与上年预算持平；公务用车购置费0万元，较上年增加0万元（0%），主要原因是本单位未购置车辆。</w:t>
      </w:r>
    </w:p>
    <w:p>
      <w:pPr>
        <w:spacing w:line="360" w:lineRule="auto"/>
        <w:ind w:firstLine="640"/>
        <w:rPr>
          <w:rFonts w:ascii="黑体" w:hAnsi="黑体" w:eastAsia="黑体" w:cs="黑体"/>
          <w:sz w:val="32"/>
          <w:szCs w:val="32"/>
        </w:rPr>
      </w:pPr>
      <w:r>
        <w:rPr>
          <w:rFonts w:hint="eastAsia" w:ascii="仿宋" w:hAnsi="仿宋" w:eastAsia="仿宋" w:cs="仿宋"/>
          <w:sz w:val="32"/>
          <w:szCs w:val="32"/>
        </w:rPr>
        <w:t>（2）2023年本部门当年会议费预算支出0.64万元，较上年增加0.64万元（100%），增加的主要原因是年度目标任务增加，会议事项增加。培训费0.16万元，较上年增加0.16万元（100%），增加的主要原因是年度目标任务增加，业务培训事项增加。</w:t>
      </w:r>
    </w:p>
    <w:p>
      <w:pPr>
        <w:ind w:firstLine="0" w:firstLineChars="0"/>
        <w:jc w:val="center"/>
        <w:rPr>
          <w:rFonts w:ascii="黑体" w:hAnsi="黑体" w:eastAsia="黑体" w:cs="黑体"/>
          <w:sz w:val="32"/>
          <w:szCs w:val="32"/>
        </w:rPr>
      </w:pP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4"/>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78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8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2023年医保政策业务培训</w:t>
            </w:r>
          </w:p>
        </w:tc>
        <w:tc>
          <w:tcPr>
            <w:tcW w:w="2438" w:type="dxa"/>
          </w:tcPr>
          <w:p>
            <w:pPr>
              <w:spacing w:line="360" w:lineRule="auto"/>
              <w:ind w:firstLine="220"/>
              <w:rPr>
                <w:rFonts w:ascii="仿宋_GB2312" w:hAnsi="仿宋_GB2312" w:eastAsia="仿宋_GB2312" w:cs="仿宋_GB2312"/>
                <w:sz w:val="15"/>
                <w:szCs w:val="15"/>
              </w:rPr>
            </w:pPr>
            <w:r>
              <w:rPr>
                <w:rFonts w:hint="eastAsia" w:ascii="仿宋_GB2312" w:hAnsi="仿宋_GB2312" w:eastAsia="仿宋_GB2312" w:cs="仿宋_GB2312"/>
                <w:sz w:val="11"/>
                <w:szCs w:val="11"/>
              </w:rPr>
              <w:t>202X年3月17日-3月17日</w:t>
            </w:r>
          </w:p>
        </w:tc>
        <w:tc>
          <w:tcPr>
            <w:tcW w:w="78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200</w:t>
            </w:r>
          </w:p>
        </w:tc>
        <w:tc>
          <w:tcPr>
            <w:tcW w:w="896"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0.64</w:t>
            </w:r>
          </w:p>
        </w:tc>
        <w:tc>
          <w:tcPr>
            <w:tcW w:w="796" w:type="dxa"/>
          </w:tcPr>
          <w:p>
            <w:pPr>
              <w:spacing w:line="360" w:lineRule="auto"/>
              <w:ind w:firstLine="300"/>
              <w:rPr>
                <w:rFonts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2</w:t>
            </w:r>
          </w:p>
        </w:tc>
        <w:tc>
          <w:tcPr>
            <w:tcW w:w="203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医保业务研讨会</w:t>
            </w:r>
          </w:p>
        </w:tc>
        <w:tc>
          <w:tcPr>
            <w:tcW w:w="2438"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2023年4月15日</w:t>
            </w:r>
          </w:p>
        </w:tc>
        <w:tc>
          <w:tcPr>
            <w:tcW w:w="78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40人</w:t>
            </w:r>
          </w:p>
        </w:tc>
        <w:tc>
          <w:tcPr>
            <w:tcW w:w="896"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0.16</w:t>
            </w:r>
          </w:p>
        </w:tc>
        <w:tc>
          <w:tcPr>
            <w:tcW w:w="796" w:type="dxa"/>
          </w:tcPr>
          <w:p>
            <w:pPr>
              <w:spacing w:line="360" w:lineRule="auto"/>
              <w:ind w:firstLine="300"/>
              <w:rPr>
                <w:rFonts w:ascii="仿宋_GB2312" w:hAnsi="仿宋_GB2312" w:eastAsia="仿宋_GB2312" w:cs="仿宋_GB2312"/>
                <w:sz w:val="15"/>
                <w:szCs w:val="15"/>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截止2022年底，本部门所属预算单位共有车辆1辆，单价20万元以上的设备0台（套）。2023年当年部门预算安排购置车辆0辆；安排购置单价20万元以上的设备0台（套）。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4"/>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2023年本部门绩效目标管理全覆盖，涉及当年一般公共预算拨款500.95万元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本部门当年机关运行经费预算安排47.91万元，较上年增加2.41万元，原因是人员增加，公用经费增加。本部门无2022年结转的财政拨款机关运行经费支出。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2.“三公”经费，指政府部门人员因公出国</w:t>
      </w:r>
      <w:r>
        <w:rPr>
          <w:rFonts w:hint="eastAsia" w:ascii="仿宋" w:hAnsi="仿宋" w:eastAsia="仿宋" w:cs="仿宋"/>
          <w:sz w:val="32"/>
          <w:szCs w:val="32"/>
          <w:lang w:eastAsia="zh-CN"/>
        </w:rPr>
        <w:t>（</w:t>
      </w:r>
      <w:r>
        <w:rPr>
          <w:rFonts w:hint="eastAsia" w:ascii="仿宋" w:hAnsi="仿宋" w:eastAsia="仿宋" w:cs="仿宋"/>
          <w:sz w:val="32"/>
          <w:szCs w:val="32"/>
        </w:rPr>
        <w:t>境</w:t>
      </w:r>
      <w:r>
        <w:rPr>
          <w:rFonts w:hint="eastAsia" w:ascii="仿宋" w:hAnsi="仿宋" w:eastAsia="仿宋" w:cs="仿宋"/>
          <w:sz w:val="32"/>
          <w:szCs w:val="32"/>
          <w:lang w:eastAsia="zh-CN"/>
        </w:rPr>
        <w:t>）</w:t>
      </w:r>
      <w:r>
        <w:rPr>
          <w:rFonts w:hint="eastAsia" w:ascii="仿宋" w:hAnsi="仿宋" w:eastAsia="仿宋" w:cs="仿宋"/>
          <w:sz w:val="32"/>
          <w:szCs w:val="32"/>
        </w:rPr>
        <w:t>费用、公务用车购置和运行维护费、公务接待费。其中，因公出国</w:t>
      </w:r>
      <w:r>
        <w:rPr>
          <w:rFonts w:hint="eastAsia" w:ascii="仿宋" w:hAnsi="仿宋" w:eastAsia="仿宋" w:cs="仿宋"/>
          <w:sz w:val="32"/>
          <w:szCs w:val="32"/>
          <w:lang w:eastAsia="zh-CN"/>
        </w:rPr>
        <w:t>（</w:t>
      </w:r>
      <w:r>
        <w:rPr>
          <w:rFonts w:hint="eastAsia" w:ascii="仿宋" w:hAnsi="仿宋" w:eastAsia="仿宋" w:cs="仿宋"/>
          <w:sz w:val="32"/>
          <w:szCs w:val="32"/>
        </w:rPr>
        <w:t>境</w:t>
      </w:r>
      <w:r>
        <w:rPr>
          <w:rFonts w:hint="eastAsia" w:ascii="仿宋" w:hAnsi="仿宋" w:eastAsia="仿宋" w:cs="仿宋"/>
          <w:sz w:val="32"/>
          <w:szCs w:val="32"/>
          <w:lang w:eastAsia="zh-CN"/>
        </w:rPr>
        <w:t>）</w:t>
      </w:r>
      <w:r>
        <w:rPr>
          <w:rFonts w:hint="eastAsia" w:ascii="仿宋" w:hAnsi="仿宋" w:eastAsia="仿宋" w:cs="仿宋"/>
          <w:sz w:val="32"/>
          <w:szCs w:val="32"/>
        </w:rPr>
        <w:t>费反映单位公务出国</w:t>
      </w:r>
      <w:r>
        <w:rPr>
          <w:rFonts w:hint="eastAsia" w:ascii="仿宋" w:hAnsi="仿宋" w:eastAsia="仿宋" w:cs="仿宋"/>
          <w:sz w:val="32"/>
          <w:szCs w:val="32"/>
          <w:lang w:eastAsia="zh-CN"/>
        </w:rPr>
        <w:t>（</w:t>
      </w:r>
      <w:r>
        <w:rPr>
          <w:rFonts w:hint="eastAsia" w:ascii="仿宋" w:hAnsi="仿宋" w:eastAsia="仿宋" w:cs="仿宋"/>
          <w:sz w:val="32"/>
          <w:szCs w:val="32"/>
        </w:rPr>
        <w:t>境</w:t>
      </w:r>
      <w:r>
        <w:rPr>
          <w:rFonts w:hint="eastAsia" w:ascii="仿宋" w:hAnsi="仿宋" w:eastAsia="仿宋" w:cs="仿宋"/>
          <w:sz w:val="32"/>
          <w:szCs w:val="32"/>
          <w:lang w:eastAsia="zh-CN"/>
        </w:rPr>
        <w:t>）</w:t>
      </w:r>
      <w:r>
        <w:rPr>
          <w:rFonts w:hint="eastAsia" w:ascii="仿宋" w:hAnsi="仿宋" w:eastAsia="仿宋" w:cs="仿宋"/>
          <w:sz w:val="32"/>
          <w:szCs w:val="32"/>
        </w:rPr>
        <w:t>的国际旅费、国外城市间交通费、食宿费等支出；公务用车购置及运行费反映单位公务用车车辆购置支出</w:t>
      </w:r>
      <w:r>
        <w:rPr>
          <w:rFonts w:hint="eastAsia" w:ascii="仿宋" w:hAnsi="仿宋" w:eastAsia="仿宋" w:cs="仿宋"/>
          <w:sz w:val="32"/>
          <w:szCs w:val="32"/>
          <w:lang w:eastAsia="zh-CN"/>
        </w:rPr>
        <w:t>（</w:t>
      </w:r>
      <w:r>
        <w:rPr>
          <w:rFonts w:hint="eastAsia" w:ascii="仿宋" w:hAnsi="仿宋" w:eastAsia="仿宋" w:cs="仿宋"/>
          <w:sz w:val="32"/>
          <w:szCs w:val="32"/>
        </w:rPr>
        <w:t>含车辆购置税</w:t>
      </w:r>
      <w:r>
        <w:rPr>
          <w:rFonts w:hint="eastAsia" w:ascii="仿宋" w:hAnsi="仿宋" w:eastAsia="仿宋" w:cs="仿宋"/>
          <w:sz w:val="32"/>
          <w:szCs w:val="32"/>
          <w:lang w:eastAsia="zh-CN"/>
        </w:rPr>
        <w:t>）</w:t>
      </w:r>
      <w:r>
        <w:rPr>
          <w:rFonts w:hint="eastAsia" w:ascii="仿宋" w:hAnsi="仿宋" w:eastAsia="仿宋" w:cs="仿宋"/>
          <w:sz w:val="32"/>
          <w:szCs w:val="32"/>
        </w:rPr>
        <w:t>，以及燃料费、维修费、保险费等支出；公务接待费反映单位按规定开支的各类公务接待支出。</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2">
    <w:nsid w:val="4CC131CB"/>
    <w:multiLevelType w:val="singleLevel"/>
    <w:tmpl w:val="4CC131CB"/>
    <w:lvl w:ilvl="0" w:tentative="0">
      <w:start w:val="4"/>
      <w:numFmt w:val="chineseCounting"/>
      <w:suff w:val="nothing"/>
      <w:lvlText w:val="%1、"/>
      <w:lvlJc w:val="left"/>
      <w:rPr>
        <w:rFonts w:hint="eastAsia"/>
      </w:rPr>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F188A"/>
    <w:rsid w:val="00D70262"/>
    <w:rsid w:val="00D85A1E"/>
    <w:rsid w:val="018F2D13"/>
    <w:rsid w:val="02953D9A"/>
    <w:rsid w:val="03791D26"/>
    <w:rsid w:val="0466605A"/>
    <w:rsid w:val="04F35073"/>
    <w:rsid w:val="061D2748"/>
    <w:rsid w:val="06D7231D"/>
    <w:rsid w:val="075D6C6A"/>
    <w:rsid w:val="0773304F"/>
    <w:rsid w:val="089D1D43"/>
    <w:rsid w:val="0A653AEA"/>
    <w:rsid w:val="0A6543A7"/>
    <w:rsid w:val="0AAB1747"/>
    <w:rsid w:val="0B473936"/>
    <w:rsid w:val="0B820553"/>
    <w:rsid w:val="0B8A1B09"/>
    <w:rsid w:val="0C805687"/>
    <w:rsid w:val="0D053BAB"/>
    <w:rsid w:val="0D594F94"/>
    <w:rsid w:val="0D830A14"/>
    <w:rsid w:val="0E1F698E"/>
    <w:rsid w:val="0FA9052D"/>
    <w:rsid w:val="10163FB4"/>
    <w:rsid w:val="104555DF"/>
    <w:rsid w:val="10A536CA"/>
    <w:rsid w:val="12713A9D"/>
    <w:rsid w:val="12B55B02"/>
    <w:rsid w:val="130A1A4C"/>
    <w:rsid w:val="13682F40"/>
    <w:rsid w:val="13DD192D"/>
    <w:rsid w:val="147F7E6C"/>
    <w:rsid w:val="14C85364"/>
    <w:rsid w:val="14FA613E"/>
    <w:rsid w:val="15053ED9"/>
    <w:rsid w:val="15BA67E3"/>
    <w:rsid w:val="15EB6487"/>
    <w:rsid w:val="166918D6"/>
    <w:rsid w:val="176724C1"/>
    <w:rsid w:val="18AF7F70"/>
    <w:rsid w:val="1A431FF4"/>
    <w:rsid w:val="1B746107"/>
    <w:rsid w:val="1C4435F6"/>
    <w:rsid w:val="1CD64124"/>
    <w:rsid w:val="1E0072C5"/>
    <w:rsid w:val="1E1E7AD2"/>
    <w:rsid w:val="1ED0381D"/>
    <w:rsid w:val="20FE50B8"/>
    <w:rsid w:val="210F400E"/>
    <w:rsid w:val="229A281A"/>
    <w:rsid w:val="2383657E"/>
    <w:rsid w:val="23D65BD3"/>
    <w:rsid w:val="23F45765"/>
    <w:rsid w:val="242E73FF"/>
    <w:rsid w:val="246C5345"/>
    <w:rsid w:val="24AB40AF"/>
    <w:rsid w:val="24FC6952"/>
    <w:rsid w:val="26CC76FD"/>
    <w:rsid w:val="272308AF"/>
    <w:rsid w:val="28064C78"/>
    <w:rsid w:val="2864072E"/>
    <w:rsid w:val="2A3E38E1"/>
    <w:rsid w:val="2BF2458F"/>
    <w:rsid w:val="2D6C68F8"/>
    <w:rsid w:val="2F3B562F"/>
    <w:rsid w:val="2FC8494E"/>
    <w:rsid w:val="30D9699B"/>
    <w:rsid w:val="310F24B9"/>
    <w:rsid w:val="314B37FB"/>
    <w:rsid w:val="31B733F7"/>
    <w:rsid w:val="34BD083E"/>
    <w:rsid w:val="35E67628"/>
    <w:rsid w:val="37F77668"/>
    <w:rsid w:val="385D1A98"/>
    <w:rsid w:val="38F70388"/>
    <w:rsid w:val="3A4434B4"/>
    <w:rsid w:val="3B055E9C"/>
    <w:rsid w:val="3D187937"/>
    <w:rsid w:val="3D28036F"/>
    <w:rsid w:val="3D4D3E25"/>
    <w:rsid w:val="3D8407DF"/>
    <w:rsid w:val="3DFF32ED"/>
    <w:rsid w:val="3E97321B"/>
    <w:rsid w:val="3F503091"/>
    <w:rsid w:val="4008265B"/>
    <w:rsid w:val="41851E44"/>
    <w:rsid w:val="420B5D06"/>
    <w:rsid w:val="4248700C"/>
    <w:rsid w:val="465670F7"/>
    <w:rsid w:val="471D22FA"/>
    <w:rsid w:val="472B48D8"/>
    <w:rsid w:val="4741375D"/>
    <w:rsid w:val="47983691"/>
    <w:rsid w:val="47C702DF"/>
    <w:rsid w:val="48422B9F"/>
    <w:rsid w:val="488947B6"/>
    <w:rsid w:val="49A22F37"/>
    <w:rsid w:val="4D673D86"/>
    <w:rsid w:val="4DBE5A3B"/>
    <w:rsid w:val="4E523EF7"/>
    <w:rsid w:val="4E5B14AC"/>
    <w:rsid w:val="4EAE4CEE"/>
    <w:rsid w:val="4FB64197"/>
    <w:rsid w:val="50572E30"/>
    <w:rsid w:val="51AA26CF"/>
    <w:rsid w:val="51AA5E26"/>
    <w:rsid w:val="52324C02"/>
    <w:rsid w:val="52C93A96"/>
    <w:rsid w:val="531A3416"/>
    <w:rsid w:val="538C5F53"/>
    <w:rsid w:val="54474AB6"/>
    <w:rsid w:val="5582405A"/>
    <w:rsid w:val="56051C6B"/>
    <w:rsid w:val="563F4648"/>
    <w:rsid w:val="57AC6AC5"/>
    <w:rsid w:val="57C07DEE"/>
    <w:rsid w:val="58FE3115"/>
    <w:rsid w:val="592D7B67"/>
    <w:rsid w:val="59D947AF"/>
    <w:rsid w:val="59F96CB8"/>
    <w:rsid w:val="5A535D7A"/>
    <w:rsid w:val="5BD23E00"/>
    <w:rsid w:val="5BF47018"/>
    <w:rsid w:val="5C653576"/>
    <w:rsid w:val="5E5C14C1"/>
    <w:rsid w:val="5F635E4B"/>
    <w:rsid w:val="60404B5F"/>
    <w:rsid w:val="6134696F"/>
    <w:rsid w:val="61EE3D1B"/>
    <w:rsid w:val="62460F4D"/>
    <w:rsid w:val="62A03CFC"/>
    <w:rsid w:val="62A365B5"/>
    <w:rsid w:val="65B7439B"/>
    <w:rsid w:val="66607F61"/>
    <w:rsid w:val="67606C1C"/>
    <w:rsid w:val="676942F4"/>
    <w:rsid w:val="68734079"/>
    <w:rsid w:val="68EA113C"/>
    <w:rsid w:val="699E67D8"/>
    <w:rsid w:val="69B23FEC"/>
    <w:rsid w:val="69E141D5"/>
    <w:rsid w:val="69F87A79"/>
    <w:rsid w:val="6B5A0185"/>
    <w:rsid w:val="6C540332"/>
    <w:rsid w:val="6C924C9C"/>
    <w:rsid w:val="6DBE3A60"/>
    <w:rsid w:val="6E8A04A9"/>
    <w:rsid w:val="6F3075D5"/>
    <w:rsid w:val="6F5403ED"/>
    <w:rsid w:val="6F5D0F7F"/>
    <w:rsid w:val="706C2CBA"/>
    <w:rsid w:val="70900C2A"/>
    <w:rsid w:val="709F234C"/>
    <w:rsid w:val="71A236EE"/>
    <w:rsid w:val="71FF0470"/>
    <w:rsid w:val="73843559"/>
    <w:rsid w:val="73F15728"/>
    <w:rsid w:val="74577F92"/>
    <w:rsid w:val="75AC088F"/>
    <w:rsid w:val="76590D5F"/>
    <w:rsid w:val="77AD3FB4"/>
    <w:rsid w:val="781B6398"/>
    <w:rsid w:val="7839395D"/>
    <w:rsid w:val="788B613B"/>
    <w:rsid w:val="78935A62"/>
    <w:rsid w:val="7920167B"/>
    <w:rsid w:val="7A3E4F09"/>
    <w:rsid w:val="7A8E379D"/>
    <w:rsid w:val="7BF11232"/>
    <w:rsid w:val="7C78205D"/>
    <w:rsid w:val="7CE442E1"/>
    <w:rsid w:val="7CEE0D2E"/>
    <w:rsid w:val="7CF76871"/>
    <w:rsid w:val="7D804F3A"/>
    <w:rsid w:val="7E19454A"/>
    <w:rsid w:val="7E2B2CA4"/>
    <w:rsid w:val="7E791462"/>
    <w:rsid w:val="7EEF6A9A"/>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ykj\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工作表.xls]Sheet1'!$A$2</c:f>
              <c:strCache>
                <c:ptCount val="1"/>
                <c:pt idx="0">
                  <c:v>编制人数</c:v>
                </c:pt>
              </c:strCache>
            </c:strRef>
          </c:tx>
          <c:spPr>
            <a:solidFill>
              <a:schemeClr val="accent1"/>
            </a:solidFill>
            <a:ln>
              <a:noFill/>
            </a:ln>
            <a:effectLst/>
          </c:spPr>
          <c:invertIfNegative val="0"/>
          <c:dLbls>
            <c:delete val="1"/>
          </c:dLbls>
          <c:cat>
            <c:strRef>
              <c:f>'[新建 XLS 工作表.xls]Sheet1'!$B$1:$C$1</c:f>
              <c:strCache>
                <c:ptCount val="2"/>
                <c:pt idx="0">
                  <c:v>行政</c:v>
                </c:pt>
                <c:pt idx="1">
                  <c:v>事业</c:v>
                </c:pt>
              </c:strCache>
            </c:strRef>
          </c:cat>
          <c:val>
            <c:numRef>
              <c:f>'[新建 XLS 工作表.xls]Sheet1'!$B$2:$C$2</c:f>
              <c:numCache>
                <c:formatCode>General</c:formatCode>
                <c:ptCount val="2"/>
                <c:pt idx="0">
                  <c:v>5</c:v>
                </c:pt>
                <c:pt idx="1">
                  <c:v>20</c:v>
                </c:pt>
              </c:numCache>
            </c:numRef>
          </c:val>
        </c:ser>
        <c:ser>
          <c:idx val="1"/>
          <c:order val="1"/>
          <c:tx>
            <c:strRef>
              <c:f>'[新建 XLS 工作表.xls]Sheet1'!$A$3</c:f>
              <c:strCache>
                <c:ptCount val="1"/>
                <c:pt idx="0">
                  <c:v>实有人数</c:v>
                </c:pt>
              </c:strCache>
            </c:strRef>
          </c:tx>
          <c:spPr>
            <a:solidFill>
              <a:schemeClr val="accent2"/>
            </a:solidFill>
            <a:ln>
              <a:noFill/>
            </a:ln>
            <a:effectLst/>
          </c:spPr>
          <c:invertIfNegative val="0"/>
          <c:dLbls>
            <c:delete val="1"/>
          </c:dLbls>
          <c:cat>
            <c:strRef>
              <c:f>'[新建 XLS 工作表.xls]Sheet1'!$B$1:$C$1</c:f>
              <c:strCache>
                <c:ptCount val="2"/>
                <c:pt idx="0">
                  <c:v>行政</c:v>
                </c:pt>
                <c:pt idx="1">
                  <c:v>事业</c:v>
                </c:pt>
              </c:strCache>
            </c:strRef>
          </c:cat>
          <c:val>
            <c:numRef>
              <c:f>'[新建 XLS 工作表.xls]Sheet1'!$B$3:$C$3</c:f>
              <c:numCache>
                <c:formatCode>General</c:formatCode>
                <c:ptCount val="2"/>
                <c:pt idx="0">
                  <c:v>6</c:v>
                </c:pt>
                <c:pt idx="1">
                  <c:v>19</c:v>
                </c:pt>
              </c:numCache>
            </c:numRef>
          </c:val>
        </c:ser>
        <c:dLbls>
          <c:showLegendKey val="0"/>
          <c:showVal val="0"/>
          <c:showCatName val="0"/>
          <c:showSerName val="0"/>
          <c:showPercent val="0"/>
          <c:showBubbleSize val="0"/>
        </c:dLbls>
        <c:gapWidth val="219"/>
        <c:overlap val="-27"/>
        <c:axId val="138392190"/>
        <c:axId val="385769847"/>
      </c:barChart>
      <c:catAx>
        <c:axId val="13839219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769847"/>
        <c:crosses val="autoZero"/>
        <c:auto val="1"/>
        <c:lblAlgn val="ctr"/>
        <c:lblOffset val="100"/>
        <c:noMultiLvlLbl val="0"/>
      </c:catAx>
      <c:valAx>
        <c:axId val="385769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3921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3994</Words>
  <Characters>4741</Characters>
  <Lines>36</Lines>
  <Paragraphs>10</Paragraphs>
  <TotalTime>7</TotalTime>
  <ScaleCrop>false</ScaleCrop>
  <LinksUpToDate>false</LinksUpToDate>
  <CharactersWithSpaces>4827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