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紫阳县红十字协会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2023年部门综合预算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二、2023年年度部门工作任务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1、宣传、贯彻《中华人民共和国红十字会法》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执行《中国红十字会章程》，组织落实中国红十字会工作的方针、政策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指导全县各基层红十字会工作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推动全县红十字会运动的发展。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2、开展救灾的准备工作，为救灾和救助常年开展社会募捐，在上级红十字会的统一下，争取、接受国内外组织和个人的捐赠。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3、在自然灾害和突发事件中，对伤病人员和其他受害者进行救助；开展卫生救护的宣传和普及工作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开展群众性初级卫生救护知识培训。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4、在上级红十字会的统一组织领导下，开展骨髓、器官、遗体自愿捐献的宣传、组织和有关资料数据的储存、检索工作，参与、推动无偿献血和艾滋病防治工作。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5、依据中国红十字会章程吸收会员和志愿者，发展组织。组织会员和志愿者开展人道领域内的社区服务和社会公益性活动。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6、受中国红十字会总会委派，参与国际人道主义救助工作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开展与国际、国内红十字会的合作与交流工作。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7、开展有益于青少年身心健康，弘扬人道主义精神的红十字青少年活动。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8、宣传日内瓦公约及其附加议定书、红十字与红新月运动基本原则，并依照有关规定开展工作。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9、依照红十字会宗旨开展其他人道主义服务活动。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10、完成县委、县政府和上级红会交办的其他工作。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本部门现设只有办公室，无其他内设机构。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二、2023年度部门工作任务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是县红十字会推进改革的关键之年，改革任务十分艰巨，做好2023年的工作十分关键，全体党员干部要围绕中心，服务大局，立足主责主业，在县委县政府的坚强领导和上级红十字会的指导下，扎实做好各项工作，全面完成既定改革任务，推动红十字事业高质量发展。</w:t>
      </w:r>
    </w:p>
    <w:p>
      <w:pPr>
        <w:spacing w:line="600" w:lineRule="exact"/>
        <w:ind w:firstLine="643"/>
        <w:rPr>
          <w:rFonts w:ascii="黑体" w:hAnsi="黑体" w:eastAsia="仿宋" w:cs="黑体"/>
          <w:b/>
          <w:bCs/>
          <w:sz w:val="32"/>
          <w:szCs w:val="32"/>
        </w:rPr>
      </w:pPr>
      <w:r>
        <w:rPr>
          <w:rFonts w:hint="eastAsia" w:ascii="黑体" w:hAnsi="黑体" w:eastAsia="仿宋" w:cs="黑体"/>
          <w:b/>
          <w:bCs/>
          <w:sz w:val="32"/>
          <w:szCs w:val="32"/>
        </w:rPr>
        <w:t>（一）年度目标任务暨重点业务工作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自身建设，健全完善红十字会组织管理体系。按照中共紫阳县委办公室印发《紫阳县红十字会改革方案》的要求扎实推进工作，深入学习调研，以镇为主体组建基层红十字会组织，试点建立社区红十字服务站。筹备9月底前召开紫阳县红十字会第一届会员代表大会，选举产生理事会、监事会，建立完善红十字会组织管理体系。按照有关要求成立紫阳县红十字会党组织，健全内设机构，理顺管理体制和监督机制。</w:t>
      </w:r>
    </w:p>
    <w:p>
      <w:pPr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加强会员和志愿者队伍建设，提升服务能力和水平。制定和完善红十字会会员管理办法，不断发展团体会员和个人会员，根据实际需要招募志愿者，不断壮大志愿者队伍，建立志愿服务组织管理机制。</w:t>
      </w:r>
    </w:p>
    <w:p>
      <w:pPr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持续深入开展“博爱送万家”活动，深入做好调查研究。分类建立救助群体信息台账，加强与镇村互联互通，建立资源共享信息平台，对重点群体实行动态管理，使真正需要被关爱的群体得到关爱，实现精准帮扶救助。</w:t>
      </w:r>
    </w:p>
    <w:p>
      <w:pPr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做好教育培训工作，推进生命关爱体系建设和健康行动。积极开展应急救护培训进社区、进学校、进农村、进企业，在全县较大的集中安置点每季度安排一期健康、安全知识讲座或自救互救知识培训，年度组织一期志愿服务者的相关培训，在初高中学校组织一期健康教育，年度总结表彰优秀会员和志愿者，优秀红十字青少年。</w:t>
      </w:r>
    </w:p>
    <w:p>
      <w:pPr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积极做好备灾救灾工作，加强与相关部门的信息互通，制定完善应急救援预案，主动融入政府防灾减灾救灾工作体系，建立人道救助管理体系，加大筹资力度，确保在出现重大自然灾害的情况下，对受灾人员的人道救助救援能快速跟进。</w:t>
      </w:r>
    </w:p>
    <w:p>
      <w:pPr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（二）加强党建党风廉政建设和意识形态工作</w:t>
      </w:r>
    </w:p>
    <w:p>
      <w:pPr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以加强党的建设统揽红十字会工作全局，一是按照红十字会改革方案要求，筹备组建县红十字会党组织，加强党对红十字工作的全面领导。强化党员干部对习近平新时代中国特色社会主义思想的学习，切实增强“四个意识”，坚定“四个自信”，坚决做到“两个维护”，加强党的政治建设，发挥党组织的政治核心作用；二是扎实开展党员干部的经常性教育工作，建立完善红十字会各项规章制度，健全内部监督机制，落实好“三重一大”、领导干部报告个人有关事项、领导干部违规收送礼金等党规党纪，抓好干部作风建设，筑牢思想防线，切实履职尽责，不断提升行政效能；三是做好意识形态工作，加强党员干部学习教育，引导干部从思想上、行动上始终同党中央保持高度一致，不折不扣的落实好中省市县委的决策部署。</w:t>
      </w:r>
    </w:p>
    <w:p>
      <w:pPr>
        <w:spacing w:line="60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（三）全力做好驻村帮扶工作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县委县政府的部署安排，全力做好包联瓦庙镇新民村工作，落实第一书记和工作队员驻村帮扶，重点围绕村级年度目标任务制定帮扶方案，指导村支部制定工作措施，充分调动村两委班子成员抓发展的工作积极性，以村支部自身建设为统揽，持之以恒抓主导产业发展，坚持不懈抓新民风建设，深入细致抓人居环境改善。一是指导村两委做好产业发展规划，在现有的基础上稳步推进大黄产业发展；二是积极组织建好村级集体经济组织，发挥龙头带动引领作用，让更多老百姓从中受益；三是引导党员群众转变观念，克服等靠要的思想，倡导文明新风尚；四是牢固树立为广大人民群众服务的思想，扎实开展我为群众办实事，不断提升广大人民群众的满意度和知晓率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tabs>
          <w:tab w:val="left" w:pos="11426"/>
        </w:tabs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纳入本部门2023年部门预算编制范围的二级预算单位共有0个.包括：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紫阳县红十字会本级（机关）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截止2022年底，本部门人员编制4人，其中行政编制0人、事业编制4人；实有人员4人，其中行政0人、事业4人。单位管理的离退休人员0人。</w:t>
      </w:r>
    </w:p>
    <w:p>
      <w:pPr>
        <w:spacing w:line="360" w:lineRule="auto"/>
        <w:ind w:firstLine="480"/>
        <w:jc w:val="center"/>
      </w:pPr>
      <w:r>
        <w:rPr>
          <w:rFonts w:hint="eastAsia"/>
        </w:rPr>
        <w:t xml:space="preserve">    </w:t>
      </w:r>
    </w:p>
    <w:p>
      <w:pPr>
        <w:spacing w:line="360" w:lineRule="auto"/>
        <w:ind w:firstLine="480"/>
        <w:jc w:val="center"/>
      </w:pPr>
      <w:r>
        <w:drawing>
          <wp:inline distT="0" distB="0" distL="114300" distR="114300">
            <wp:extent cx="4505325" cy="27432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2023年本部门预算收入68.61万元，其中一般公共预算拨款收入68.61万元，2023年本部门预算收入较上年增加36.07万元，主要原因是人员增加、人员正常调资及增加基础性绩效增核部分；2023年本部门预算支出38.61万元，其中一般公共预算拨款支出68.61万元，2023年本部门预算支出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36.07万元，主要原因是人员增加、人员正常调资及增加基础性绩效增核部分。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财政拨款收入68.61万元，其中一般公共预算拨款收入68.61万元，2023年本部门财政拨款收入较上年增加36.07万元，主要原因是人员增加、人员正常调资及增加基础性绩效增核部分；2023年本部门财政拨款支出68.61万元，其中一般公共预算拨款支出68.61万元，2023年本部门财政拨款支出较上年增加36.07万元，主要原因是人员增加、人员正常调资及增加基础性绩效增核部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2023年本部门当年一般公共预算拨款支出68.61万元，较上年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36.07万元，主要原因是人员增加、人员正常调资及增加基础性绩效增核部分。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本部门2023年当年一般公共预算支出68.61万元，其中：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机关事业单位基本养老保险缴费支出（2080505）5.92万元，较上年增加3.69万元，原因是人员增加及人员正常调资使得缴费基数增加。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（2）行政运行（2081601）17.09万元，较上年减少10.25万元，原因是2人人员编制由行政编制改为事业编制，支出科目调整；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（3）事业运行（2081650）38.27万元，较上年增加38.27万元，原因是2人人员编制由行政编制改为事业编制，支出科目调整；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（4）事业单位医疗（2101102）2.91万元，较上年增加1.82万元，原因是人员增加及人员正常调资使得缴费基数增加；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（5）住房公积金（2210201）4.42万元，较上年增加2.54万元，原因是人员增加及人员正常调资使得缴费基数增加；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2023年本部门当年一般公共预算支出68.61万元，其中：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工资福利支出（301）53.29万元，较上年增加33.45万元，原因是人员增加、人员正常调资及增加基础性绩效增核部分；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商品和服务支出（302）15.32万元，较上年增加2.62万元，原因是人员增加，公用经费及项目专项经费增加；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2023年本部门当年一般公共预算支出68.61万元，其中：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机关工资福利支出（501）53.29万元，较上年增加33.45万元，原因是人员增加、人员正常调资、增加基础性绩效增核部分及支出科目调整；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机关商品和服务支出（502）15.32万元，较上年增加2.62万元，原因是人员增加，公用经费及项目专项经费增加和支出科目调整；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本部门无2022年结转的国有资本经营预算拨款支出。</w:t>
      </w:r>
    </w:p>
    <w:p>
      <w:pPr>
        <w:numPr>
          <w:ilvl w:val="0"/>
          <w:numId w:val="6"/>
        </w:num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其他说明情况</w:t>
      </w:r>
    </w:p>
    <w:p>
      <w:pPr>
        <w:spacing w:line="360" w:lineRule="auto"/>
        <w:ind w:firstLine="480"/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部门当年一般公共预算“三公”经费预算支出0.22万元，较上年增加0.11万元（50%），增加的主要原因是考虑到接待上级部门和各地红十字会到我会考察、交流、指导的批次增加。其中：因公出国（境）经费0万元，本年无预算；公务接待费0.22万元，较上年增加0.11万元（50%），增加的主要原因是考虑到接待上级部门和各地红十字会到我会考察、交流、指导的批次增加；公务用车运行费0万元，本年无预算；公务用车购置费0万元，本年无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（2）2023年本部门当年会议费预算支出0万元，本年无预算。培训费0万元，本年无预算。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本部门无2022年结转的财政拨款‘三公’经费和会议费、培训费支出。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2022年底，本部门所属预算单位共有车辆0辆，单价20万元以上的设备0台（套）。2023年当年部门预算安排购置车辆0辆；安排购置单价20万元以上的设备0台（套）。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本部门无2022年结转的财政拨款支出资产购置。</w:t>
      </w:r>
    </w:p>
    <w:p>
      <w:pPr>
        <w:numPr>
          <w:ilvl w:val="0"/>
          <w:numId w:val="7"/>
        </w:numPr>
        <w:spacing w:line="360" w:lineRule="auto"/>
        <w:ind w:firstLine="48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本部门无2022年结转的政府采购资金支出。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2023年本部门绩效目标管理全覆盖，涉及当年一般公共预算拨款68.61万元。（详见公开报表中的绩效目标表）。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本部门无2022年结转的财政拨款支出涉及的绩效目标管理。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本部门当年机关运行经费预算安排2.38万元，较上年减少1.19元，主要原因是因人员增加。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本部门无2022年结转的财政拨款机关运行经费支出。</w:t>
      </w:r>
    </w:p>
    <w:p>
      <w:pPr>
        <w:spacing w:line="360" w:lineRule="auto"/>
        <w:ind w:left="96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ascii="仿宋" w:hAnsi="仿宋" w:eastAsia="仿宋" w:cs="仿宋"/>
          <w:sz w:val="32"/>
          <w:szCs w:val="32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095BFB"/>
    <w:multiLevelType w:val="singleLevel"/>
    <w:tmpl w:val="A7095BF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179DB57"/>
    <w:multiLevelType w:val="singleLevel"/>
    <w:tmpl w:val="2179DB57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5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300E0F"/>
    <w:rsid w:val="00B953F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B905AD5"/>
    <w:rsid w:val="1CD64124"/>
    <w:rsid w:val="1E0072C5"/>
    <w:rsid w:val="1E1E7AD2"/>
    <w:rsid w:val="1ED0381D"/>
    <w:rsid w:val="20FE50B8"/>
    <w:rsid w:val="210F400E"/>
    <w:rsid w:val="22480C89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44639EE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0D70288"/>
    <w:rsid w:val="40F0769A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95C79D6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cs="Calibri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ocuments\WeChat%20Files\wxid_yx7vers3rvgs21\FileStorage\File\2023-03\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[柱形图.xlsx]Sheet1!数据透视表2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652008456659619"/>
          <c:y val="0.155555554562145"/>
          <c:w val="0.713939393939394"/>
          <c:h val="0.70277777976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[柱形图.xlsx]Sheet1!$F$1</c:f>
              <c:strCache>
                <c:ptCount val="1"/>
                <c:pt idx="0">
                  <c:v>求和项:行政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[柱形图.xlsx]Sheet1!$F$2:$F$4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[柱形图.xlsx]Sheet1!$G$1</c:f>
              <c:strCache>
                <c:ptCount val="1"/>
                <c:pt idx="0">
                  <c:v>求和项:事业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[柱形图.xlsx]Sheet1!$G$2:$G$4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140531588"/>
        <c:axId val="410230685"/>
      </c:barChart>
      <c:catAx>
        <c:axId val="1405315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230685"/>
        <c:crosses val="autoZero"/>
        <c:auto val="1"/>
        <c:lblAlgn val="ctr"/>
        <c:lblOffset val="100"/>
        <c:noMultiLvlLbl val="0"/>
      </c:catAx>
      <c:valAx>
        <c:axId val="4102306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5315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4578</Words>
  <Characters>4886</Characters>
  <Lines>36</Lines>
  <Paragraphs>10</Paragraphs>
  <TotalTime>2</TotalTime>
  <ScaleCrop>false</ScaleCrop>
  <LinksUpToDate>false</LinksUpToDate>
  <CharactersWithSpaces>4978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2023-05-04T03:40:31Z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388B06E649A342C3959EAA257C8A0D7D</vt:lpwstr>
  </property>
</Properties>
</file>