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jc w:val="center"/>
        <w:rPr>
          <w:rFonts w:ascii="黑体" w:hAnsi="黑体" w:eastAsia="黑体" w:cs="黑体"/>
          <w:sz w:val="32"/>
          <w:szCs w:val="32"/>
        </w:rPr>
      </w:pPr>
    </w:p>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紫阳县经济贸易局</w:t>
      </w:r>
    </w:p>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2023年部门综合预算</w:t>
      </w:r>
    </w:p>
    <w:p>
      <w:pPr>
        <w:spacing w:line="360" w:lineRule="auto"/>
        <w:ind w:firstLine="640"/>
        <w:rPr>
          <w:rFonts w:ascii="仿宋" w:hAnsi="仿宋" w:eastAsia="仿宋" w:cs="仿宋"/>
          <w:sz w:val="32"/>
          <w:szCs w:val="32"/>
        </w:rPr>
      </w:pP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目  录</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第一部分   部门概况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一、部门主要职责及机构设置</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二、2023年年度部门工作任务</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三、部门预算单位构成</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四、部门人员情况说明</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五、2023年部门预算收支说明</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六、部门预算“三公”经费等情况说明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七、部门国有资产占有使用及资产购置情况说明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八、部门政府采购情况说明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九、部门预算绩效目标说明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十、机关运行经费安排说明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十一、专业名词解释</w:t>
      </w:r>
    </w:p>
    <w:p>
      <w:pPr>
        <w:spacing w:line="360" w:lineRule="auto"/>
        <w:ind w:firstLine="643"/>
        <w:jc w:val="center"/>
        <w:rPr>
          <w:rFonts w:ascii="仿宋" w:hAnsi="仿宋" w:eastAsia="仿宋" w:cs="仿宋"/>
          <w:sz w:val="32"/>
          <w:szCs w:val="32"/>
        </w:rPr>
      </w:pPr>
      <w:r>
        <w:rPr>
          <w:rFonts w:hint="eastAsia" w:ascii="仿宋" w:hAnsi="仿宋" w:eastAsia="仿宋" w:cs="仿宋"/>
          <w:b/>
          <w:bCs/>
          <w:sz w:val="32"/>
          <w:szCs w:val="32"/>
        </w:rPr>
        <w:t>第四部分   公开报表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（具体部门预算公开报表）</w:t>
      </w:r>
    </w:p>
    <w:p>
      <w:pPr>
        <w:spacing w:line="360" w:lineRule="auto"/>
        <w:ind w:firstLine="643"/>
        <w:jc w:val="center"/>
        <w:rPr>
          <w:rFonts w:ascii="仿宋" w:hAnsi="仿宋" w:eastAsia="仿宋" w:cs="仿宋"/>
          <w:b/>
          <w:bCs/>
          <w:sz w:val="32"/>
          <w:szCs w:val="32"/>
        </w:rPr>
      </w:pPr>
    </w:p>
    <w:p>
      <w:pPr>
        <w:spacing w:line="360" w:lineRule="auto"/>
        <w:ind w:firstLine="643"/>
        <w:jc w:val="center"/>
        <w:rPr>
          <w:rFonts w:ascii="仿宋" w:hAnsi="仿宋" w:eastAsia="仿宋" w:cs="仿宋"/>
          <w:sz w:val="32"/>
          <w:szCs w:val="32"/>
        </w:rPr>
      </w:pPr>
      <w:r>
        <w:rPr>
          <w:rFonts w:hint="eastAsia" w:ascii="仿宋" w:hAnsi="仿宋" w:eastAsia="仿宋" w:cs="仿宋"/>
          <w:b/>
          <w:bCs/>
          <w:sz w:val="32"/>
          <w:szCs w:val="32"/>
        </w:rPr>
        <w:t>第一部分  部门概况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一、部门主要职责及机构设置</w:t>
      </w:r>
    </w:p>
    <w:p>
      <w:pPr>
        <w:spacing w:line="360" w:lineRule="auto"/>
        <w:ind w:firstLine="0" w:firstLineChars="0"/>
        <w:rPr>
          <w:rFonts w:ascii="仿宋" w:hAnsi="仿宋" w:eastAsia="仿宋" w:cs="仿宋"/>
          <w:b/>
          <w:bCs/>
          <w:sz w:val="32"/>
          <w:szCs w:val="32"/>
        </w:rPr>
      </w:pPr>
      <w:r>
        <w:rPr>
          <w:rFonts w:hint="eastAsia" w:ascii="仿宋" w:hAnsi="仿宋" w:eastAsia="仿宋" w:cs="仿宋"/>
          <w:b/>
          <w:bCs/>
          <w:sz w:val="32"/>
          <w:szCs w:val="32"/>
        </w:rPr>
        <w:t xml:space="preserve">   （一）部门主要职责</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1.贯彻落实国家有关工业、中小企业、非公经济、商贸和信息化发展的法律法规和政策；制定全县工业、中小企业、非公经济、县域工业园区</w:t>
      </w:r>
      <w:r>
        <w:rPr>
          <w:rFonts w:hint="eastAsia" w:ascii="仿宋" w:hAnsi="仿宋" w:eastAsia="仿宋" w:cs="仿宋"/>
          <w:sz w:val="32"/>
          <w:szCs w:val="32"/>
          <w:lang w:eastAsia="zh-CN"/>
        </w:rPr>
        <w:t>，以及</w:t>
      </w:r>
      <w:r>
        <w:rPr>
          <w:rFonts w:hint="eastAsia" w:ascii="仿宋" w:hAnsi="仿宋" w:eastAsia="仿宋" w:cs="仿宋"/>
          <w:sz w:val="32"/>
          <w:szCs w:val="32"/>
        </w:rPr>
        <w:t>全县商贸和信息化发展规划、计划；提出产业布局、结构优化调整意见和扶持中小企业（非公经济）发展的政策和措施，并组织相关落实工作。</w:t>
      </w:r>
      <w:r>
        <w:rPr>
          <w:rFonts w:hint="eastAsia" w:ascii="仿宋" w:hAnsi="仿宋" w:eastAsia="仿宋" w:cs="仿宋"/>
          <w:sz w:val="32"/>
          <w:szCs w:val="32"/>
        </w:rPr>
        <w:br w:type="textWrapping"/>
      </w:r>
      <w:r>
        <w:rPr>
          <w:rFonts w:hint="eastAsia" w:ascii="仿宋" w:hAnsi="仿宋" w:eastAsia="仿宋" w:cs="仿宋"/>
          <w:sz w:val="32"/>
          <w:szCs w:val="32"/>
        </w:rPr>
        <w:t xml:space="preserve">    2.监测分析全县工业经济运行、市场运行和信息化发展态势，进行预测预警和信息引导，协调解决行业运行中的重大问题并提出对策和建议。</w:t>
      </w:r>
      <w:r>
        <w:rPr>
          <w:rFonts w:hint="eastAsia" w:ascii="仿宋" w:hAnsi="仿宋" w:eastAsia="仿宋" w:cs="仿宋"/>
          <w:sz w:val="32"/>
          <w:szCs w:val="32"/>
        </w:rPr>
        <w:br w:type="textWrapping"/>
      </w:r>
      <w:r>
        <w:rPr>
          <w:rFonts w:hint="eastAsia" w:ascii="仿宋" w:hAnsi="仿宋" w:eastAsia="仿宋" w:cs="仿宋"/>
          <w:sz w:val="32"/>
          <w:szCs w:val="32"/>
        </w:rPr>
        <w:t xml:space="preserve">    3.培育发展和完善市场体系，拟定规范流通秩序和市场规则的政策、规定；承担牵头协调整顿和规范市场经济秩序工作的责任；指导大宗产品批发市场规划和城市商业网点规划、商业体系建设工作，推进农村市场体系建设，组织实施农村现代流通网络工程；推动流通标准化和连锁经营、商业特许经营、物流配送、电子商务等现代流通方式的发展。</w:t>
      </w:r>
      <w:r>
        <w:rPr>
          <w:rFonts w:hint="eastAsia" w:ascii="仿宋" w:hAnsi="仿宋" w:eastAsia="仿宋" w:cs="仿宋"/>
          <w:sz w:val="32"/>
          <w:szCs w:val="32"/>
        </w:rPr>
        <w:br w:type="textWrapping"/>
      </w:r>
      <w:r>
        <w:rPr>
          <w:rFonts w:hint="eastAsia" w:ascii="仿宋" w:hAnsi="仿宋" w:eastAsia="仿宋" w:cs="仿宋"/>
          <w:sz w:val="32"/>
          <w:szCs w:val="32"/>
        </w:rPr>
        <w:t xml:space="preserve">    4.执行国家进出口商品、加工贸易、服务贸易管理办法和进出口管理商品、技术目录，组织落实国家促进外贸增长方式转变的政策措施；指导和推进贸易促进活动和外贸促进体系建设；协调贸易货运；组织协调本县产品国际、国内展销和全国性、全省性在我县招商引资商品交易会，提高市场占有率。</w:t>
      </w:r>
      <w:r>
        <w:rPr>
          <w:rFonts w:hint="eastAsia" w:ascii="仿宋" w:hAnsi="仿宋" w:eastAsia="仿宋" w:cs="仿宋"/>
          <w:sz w:val="32"/>
          <w:szCs w:val="32"/>
        </w:rPr>
        <w:br w:type="textWrapping"/>
      </w:r>
      <w:r>
        <w:rPr>
          <w:rFonts w:hint="eastAsia" w:ascii="仿宋" w:hAnsi="仿宋" w:eastAsia="仿宋" w:cs="仿宋"/>
          <w:sz w:val="32"/>
          <w:szCs w:val="32"/>
        </w:rPr>
        <w:t xml:space="preserve">    5.依法对典当、拍卖、租赁、直销和旧货流通等特殊流通行业的企业经营资格进行审核和对旧货流通行业进行监督管理；按有关规定对成品油流通进行监督管理。</w:t>
      </w:r>
      <w:r>
        <w:rPr>
          <w:rFonts w:hint="eastAsia" w:ascii="仿宋" w:hAnsi="仿宋" w:eastAsia="仿宋" w:cs="仿宋"/>
          <w:sz w:val="32"/>
          <w:szCs w:val="32"/>
        </w:rPr>
        <w:br w:type="textWrapping"/>
      </w:r>
      <w:r>
        <w:rPr>
          <w:rFonts w:hint="eastAsia" w:ascii="仿宋" w:hAnsi="仿宋" w:eastAsia="仿宋" w:cs="仿宋"/>
          <w:sz w:val="32"/>
          <w:szCs w:val="32"/>
        </w:rPr>
        <w:t xml:space="preserve">    6.负责提出全县工业、商贸和信息化固定资产投资规模和方向（含利用外资和境外投资）、财政性建设资金安排意见；按照省、市、县政府规定权限审批、核准规划内和年度计划规模内固定资产投资项目。</w:t>
      </w:r>
      <w:r>
        <w:rPr>
          <w:rFonts w:hint="eastAsia" w:ascii="仿宋" w:hAnsi="仿宋" w:eastAsia="仿宋" w:cs="仿宋"/>
          <w:sz w:val="32"/>
          <w:szCs w:val="32"/>
        </w:rPr>
        <w:br w:type="textWrapping"/>
      </w:r>
      <w:r>
        <w:rPr>
          <w:rFonts w:hint="eastAsia" w:ascii="仿宋" w:hAnsi="仿宋" w:eastAsia="仿宋" w:cs="仿宋"/>
          <w:sz w:val="32"/>
          <w:szCs w:val="32"/>
        </w:rPr>
        <w:t xml:space="preserve">    7.贯彻实施国家高新技术产业中涉及生物医药、新材料等的规划、政策和标准；组织实施行业技术进步和技术创新，组织实施国家、省、市、县重大科技项目，推进科研成果转化，推动装备制造业、软件业、信息服务业、高新技术产业等新兴产业发展工作；拟订并组织实施全县工业能源节约、资源综合利用、清洁生产促进政策和规划，组织协调相关重大示范工程和新产品、新技术、新设备、新材料的推广应用；推进体制机制创新和管理创新，指导行业加强安全生产管理工作。</w:t>
      </w:r>
      <w:r>
        <w:rPr>
          <w:rFonts w:hint="eastAsia" w:ascii="仿宋" w:hAnsi="仿宋" w:eastAsia="仿宋" w:cs="仿宋"/>
          <w:sz w:val="32"/>
          <w:szCs w:val="32"/>
        </w:rPr>
        <w:br w:type="textWrapping"/>
      </w:r>
      <w:r>
        <w:rPr>
          <w:rFonts w:hint="eastAsia" w:ascii="仿宋" w:hAnsi="仿宋" w:eastAsia="仿宋" w:cs="仿宋"/>
          <w:sz w:val="32"/>
          <w:szCs w:val="32"/>
        </w:rPr>
        <w:t xml:space="preserve">    8.承担全县煤炭、机械、化工、有色、冶金、轻工、纺织、建材、室内装饰等工业行业管理，负责工业行业中、长期规划和产业规划的编制衔接并实施监督检查；协调行业之间的关系和发展中的重大问题；负责煤炭生产企业和煤炭加工企业（碎煤、蜂窝煤）的安全生产监督管理工作，参与煤矿及煤炭加工企业安全事故的调查处理工作。</w:t>
      </w:r>
      <w:r>
        <w:rPr>
          <w:rFonts w:hint="eastAsia" w:ascii="仿宋" w:hAnsi="仿宋" w:eastAsia="仿宋" w:cs="仿宋"/>
          <w:sz w:val="32"/>
          <w:szCs w:val="32"/>
        </w:rPr>
        <w:br w:type="textWrapping"/>
      </w:r>
      <w:r>
        <w:rPr>
          <w:rFonts w:hint="eastAsia" w:ascii="仿宋" w:hAnsi="仿宋" w:eastAsia="仿宋" w:cs="仿宋"/>
          <w:sz w:val="32"/>
          <w:szCs w:val="32"/>
        </w:rPr>
        <w:t xml:space="preserve">    9.贯彻执行企业国有资产监督管理的法律法规和政策规定，争取和落实中、省、市对困难企业和关闭破产企业的各项扶持政策；加强对国有企业资产的监督</w:t>
      </w:r>
      <w:r>
        <w:rPr>
          <w:rFonts w:hint="eastAsia" w:ascii="仿宋" w:hAnsi="仿宋" w:eastAsia="仿宋" w:cs="仿宋"/>
          <w:sz w:val="32"/>
          <w:szCs w:val="32"/>
          <w:lang w:eastAsia="zh-CN"/>
        </w:rPr>
        <w:t>，</w:t>
      </w:r>
      <w:r>
        <w:rPr>
          <w:rFonts w:hint="eastAsia" w:ascii="仿宋" w:hAnsi="仿宋" w:eastAsia="仿宋" w:cs="仿宋"/>
          <w:sz w:val="32"/>
          <w:szCs w:val="32"/>
        </w:rPr>
        <w:t>研究提出本县国有企业财产监督管理的政策并组织实施；考核所属企业财产保值增值、资产负债和损益情况</w:t>
      </w:r>
      <w:r>
        <w:rPr>
          <w:rFonts w:hint="eastAsia" w:ascii="仿宋" w:hAnsi="仿宋" w:eastAsia="仿宋" w:cs="仿宋"/>
          <w:sz w:val="32"/>
          <w:szCs w:val="32"/>
          <w:lang w:eastAsia="zh-CN"/>
        </w:rPr>
        <w:t>；</w:t>
      </w:r>
      <w:r>
        <w:rPr>
          <w:rFonts w:hint="eastAsia" w:ascii="仿宋" w:hAnsi="仿宋" w:eastAsia="仿宋" w:cs="仿宋"/>
          <w:sz w:val="32"/>
          <w:szCs w:val="32"/>
        </w:rPr>
        <w:t xml:space="preserve"> 管理国有企业法人代表、抓好企业领导班子整体建设、党的基层组织建设和党风廉政建设；负责协助有关部门做好下岗失业人员再就业及其最低保障工作。</w:t>
      </w:r>
      <w:r>
        <w:rPr>
          <w:rFonts w:hint="eastAsia" w:ascii="仿宋" w:hAnsi="仿宋" w:eastAsia="仿宋" w:cs="仿宋"/>
          <w:sz w:val="32"/>
          <w:szCs w:val="32"/>
        </w:rPr>
        <w:br w:type="textWrapping"/>
      </w:r>
      <w:r>
        <w:rPr>
          <w:rFonts w:hint="eastAsia" w:ascii="仿宋" w:hAnsi="仿宋" w:eastAsia="仿宋" w:cs="仿宋"/>
          <w:sz w:val="32"/>
          <w:szCs w:val="32"/>
        </w:rPr>
        <w:t xml:space="preserve">    10.依照《公司法》等法律法规，指导企业深化改革和实施重组，推进现代企业制度建设，完善公司法人治理结构，指导企业的管理、扭亏和减轻企业负担工作；指导企业股份制改造和公司上市的辅导、审核和推荐工作；依法加强产权交易市场的培育，规范产权交易行为，搭建企业重组“平台”。</w:t>
      </w:r>
      <w:r>
        <w:rPr>
          <w:rFonts w:hint="eastAsia" w:ascii="仿宋" w:hAnsi="仿宋" w:eastAsia="仿宋" w:cs="仿宋"/>
          <w:sz w:val="32"/>
          <w:szCs w:val="32"/>
        </w:rPr>
        <w:br w:type="textWrapping"/>
      </w:r>
      <w:r>
        <w:rPr>
          <w:rFonts w:hint="eastAsia" w:ascii="仿宋" w:hAnsi="仿宋" w:eastAsia="仿宋" w:cs="仿宋"/>
          <w:sz w:val="32"/>
          <w:szCs w:val="32"/>
        </w:rPr>
        <w:t xml:space="preserve">    11.承担全县信息市场建设和信息网络安全技术、设备和产品的监督管理，对信息产业企业进行资格审核和检查，推进信息安全等级保护等基础性工作，协调处理网络与信息安全的有关重要事项；促进信息化和工业化融合，推进高新技术与传统工业改造结合，促进电信、广播电视和互联网络融合，推动信息基础资源开发利用和共享。</w:t>
      </w:r>
      <w:r>
        <w:rPr>
          <w:rFonts w:hint="eastAsia" w:ascii="仿宋" w:hAnsi="仿宋" w:eastAsia="仿宋" w:cs="仿宋"/>
          <w:sz w:val="32"/>
          <w:szCs w:val="32"/>
        </w:rPr>
        <w:br w:type="textWrapping"/>
      </w:r>
      <w:r>
        <w:rPr>
          <w:rFonts w:hint="eastAsia" w:ascii="仿宋" w:hAnsi="仿宋" w:eastAsia="仿宋" w:cs="仿宋"/>
          <w:sz w:val="32"/>
          <w:szCs w:val="32"/>
        </w:rPr>
        <w:t xml:space="preserve">    12.承担全县非公有制经济、民营企业的发展工作，协调解决发展中的有关问题；指导非公有制经济建立现代企业制度。负责企业经济运行的监测、统计和分析；建立中小企业的预警机制；为企业和社会提供相关的信息服务；负责全县中小企业服务体系建设，推进创业辅导、信息咨询、科技创新、信用担保、法律援助等专业服务体系建设；联系、指导相关的中介机构和社会团体。</w:t>
      </w:r>
      <w:r>
        <w:rPr>
          <w:rFonts w:hint="eastAsia" w:ascii="仿宋" w:hAnsi="仿宋" w:eastAsia="仿宋" w:cs="仿宋"/>
          <w:sz w:val="32"/>
          <w:szCs w:val="32"/>
        </w:rPr>
        <w:br w:type="textWrapping"/>
      </w:r>
      <w:r>
        <w:rPr>
          <w:rFonts w:hint="eastAsia" w:ascii="仿宋" w:hAnsi="仿宋" w:eastAsia="仿宋" w:cs="仿宋"/>
          <w:sz w:val="32"/>
          <w:szCs w:val="32"/>
        </w:rPr>
        <w:t xml:space="preserve">    13.负责中小企业（非公经济）各项扶持资金的申报审核、批准上报和使用监管工作；指导企业经济技术协作，开展招商引资，协调推动企业与科研院所、高等院校的合作，增强自主创新能力</w:t>
      </w:r>
      <w:r>
        <w:rPr>
          <w:rFonts w:hint="eastAsia" w:ascii="仿宋" w:hAnsi="仿宋" w:eastAsia="仿宋" w:cs="仿宋"/>
          <w:sz w:val="32"/>
          <w:szCs w:val="32"/>
          <w:lang w:eastAsia="zh-CN"/>
        </w:rPr>
        <w:t>；</w:t>
      </w:r>
      <w:r>
        <w:rPr>
          <w:rFonts w:hint="eastAsia" w:ascii="仿宋" w:hAnsi="仿宋" w:eastAsia="仿宋" w:cs="仿宋"/>
          <w:sz w:val="32"/>
          <w:szCs w:val="32"/>
        </w:rPr>
        <w:t>健全企业维权工作机制，维护企业和企业家的合法权益，开展企业减负工作。</w:t>
      </w:r>
      <w:r>
        <w:rPr>
          <w:rFonts w:hint="eastAsia" w:ascii="仿宋" w:hAnsi="仿宋" w:eastAsia="仿宋" w:cs="仿宋"/>
          <w:sz w:val="32"/>
          <w:szCs w:val="32"/>
        </w:rPr>
        <w:br w:type="textWrapping"/>
      </w:r>
      <w:r>
        <w:rPr>
          <w:rFonts w:hint="eastAsia" w:ascii="仿宋" w:hAnsi="仿宋" w:eastAsia="仿宋" w:cs="仿宋"/>
          <w:sz w:val="32"/>
          <w:szCs w:val="32"/>
        </w:rPr>
        <w:t xml:space="preserve">    14.促进创业、催生小企业；指导协调中小企业的融资工作；负责中小企业信用担保业的发展和融资担保机制的建立。</w:t>
      </w:r>
    </w:p>
    <w:p>
      <w:pPr>
        <w:autoSpaceDE w:val="0"/>
        <w:autoSpaceDN w:val="0"/>
        <w:adjustRightInd w:val="0"/>
        <w:spacing w:line="240" w:lineRule="auto"/>
        <w:ind w:firstLine="640"/>
        <w:jc w:val="left"/>
        <w:rPr>
          <w:rFonts w:ascii="仿宋" w:hAnsi="仿宋" w:eastAsia="仿宋" w:cs="仿宋"/>
          <w:sz w:val="32"/>
          <w:szCs w:val="32"/>
        </w:rPr>
      </w:pPr>
      <w:r>
        <w:rPr>
          <w:rFonts w:hint="eastAsia" w:ascii="仿宋" w:hAnsi="仿宋" w:eastAsia="仿宋" w:cs="仿宋"/>
          <w:sz w:val="32"/>
          <w:szCs w:val="32"/>
        </w:rPr>
        <w:t>15.</w:t>
      </w:r>
      <w:r>
        <w:rPr>
          <w:rFonts w:hint="eastAsia" w:ascii="仿宋_GB2312-WinCharSetFFFF-H" w:eastAsia="仿宋_GB2312-WinCharSetFFFF-H" w:cs="仿宋_GB2312-WinCharSetFFFF-H"/>
          <w:kern w:val="0"/>
          <w:sz w:val="32"/>
          <w:szCs w:val="32"/>
        </w:rPr>
        <w:t xml:space="preserve"> </w:t>
      </w:r>
      <w:r>
        <w:rPr>
          <w:rFonts w:hint="eastAsia" w:ascii="仿宋" w:hAnsi="仿宋" w:eastAsia="仿宋" w:cs="仿宋"/>
          <w:sz w:val="32"/>
          <w:szCs w:val="32"/>
        </w:rPr>
        <w:t>贯彻执行国家、省、市关于电子商务发展的方针政策和法律法规，参与编制全县电子商务发展的相关政策、规划和年度目标，承担全县电子商务发展态势监测、分析和统计工作，统筹协调全县电子商务建设；</w:t>
      </w:r>
      <w:r>
        <w:rPr>
          <w:rFonts w:hint="eastAsia" w:ascii="仿宋" w:hAnsi="仿宋" w:eastAsia="仿宋" w:cs="仿宋"/>
          <w:sz w:val="32"/>
          <w:szCs w:val="32"/>
        </w:rPr>
        <w:br w:type="textWrapping"/>
      </w:r>
      <w:r>
        <w:rPr>
          <w:rFonts w:hint="eastAsia" w:ascii="仿宋" w:hAnsi="仿宋" w:eastAsia="仿宋" w:cs="仿宋"/>
          <w:sz w:val="32"/>
          <w:szCs w:val="32"/>
        </w:rPr>
        <w:t xml:space="preserve">    16. 承担电子商务产业政策的制定和实施工作；</w:t>
      </w:r>
    </w:p>
    <w:p>
      <w:pPr>
        <w:autoSpaceDE w:val="0"/>
        <w:autoSpaceDN w:val="0"/>
        <w:adjustRightInd w:val="0"/>
        <w:spacing w:line="240" w:lineRule="auto"/>
        <w:ind w:firstLine="640"/>
        <w:jc w:val="left"/>
        <w:rPr>
          <w:rFonts w:ascii="仿宋" w:hAnsi="仿宋" w:eastAsia="仿宋" w:cs="仿宋"/>
          <w:sz w:val="32"/>
          <w:szCs w:val="32"/>
        </w:rPr>
      </w:pPr>
      <w:r>
        <w:rPr>
          <w:rFonts w:hint="eastAsia" w:ascii="仿宋" w:hAnsi="仿宋" w:eastAsia="仿宋" w:cs="仿宋"/>
          <w:sz w:val="32"/>
          <w:szCs w:val="32"/>
        </w:rPr>
        <w:t>17. 承担电子商务市场发展、电子商务市场主体培育工作；</w:t>
      </w:r>
    </w:p>
    <w:p>
      <w:pPr>
        <w:autoSpaceDE w:val="0"/>
        <w:autoSpaceDN w:val="0"/>
        <w:adjustRightInd w:val="0"/>
        <w:spacing w:line="240" w:lineRule="auto"/>
        <w:ind w:firstLine="640"/>
        <w:jc w:val="left"/>
        <w:rPr>
          <w:rFonts w:ascii="仿宋" w:hAnsi="仿宋" w:eastAsia="仿宋" w:cs="仿宋"/>
          <w:sz w:val="32"/>
          <w:szCs w:val="32"/>
        </w:rPr>
      </w:pPr>
      <w:r>
        <w:rPr>
          <w:rFonts w:hint="eastAsia" w:ascii="仿宋" w:hAnsi="仿宋" w:eastAsia="仿宋" w:cs="仿宋"/>
          <w:sz w:val="32"/>
          <w:szCs w:val="32"/>
        </w:rPr>
        <w:t>18. 承担电子商务的对外宣传推广、招商引资、对外交流和区域合作工作；</w:t>
      </w:r>
    </w:p>
    <w:p>
      <w:pPr>
        <w:autoSpaceDE w:val="0"/>
        <w:autoSpaceDN w:val="0"/>
        <w:adjustRightInd w:val="0"/>
        <w:spacing w:line="240" w:lineRule="auto"/>
        <w:ind w:firstLine="640"/>
        <w:jc w:val="left"/>
        <w:rPr>
          <w:rFonts w:ascii="仿宋" w:hAnsi="仿宋" w:eastAsia="仿宋" w:cs="仿宋"/>
          <w:sz w:val="32"/>
          <w:szCs w:val="32"/>
        </w:rPr>
      </w:pPr>
      <w:r>
        <w:rPr>
          <w:rFonts w:hint="eastAsia" w:ascii="仿宋" w:hAnsi="仿宋" w:eastAsia="仿宋" w:cs="仿宋"/>
          <w:sz w:val="32"/>
          <w:szCs w:val="32"/>
        </w:rPr>
        <w:t>19.承担电子商务市场的培育和发展，以及电子商务的招商引资、对外交流和区域合作工作；组织对引进的重点项目评估论证和跟踪管理；开展电子商务对外宣传推广，推动电子商务的国内外合作；</w:t>
      </w:r>
    </w:p>
    <w:p>
      <w:pPr>
        <w:autoSpaceDE w:val="0"/>
        <w:autoSpaceDN w:val="0"/>
        <w:adjustRightInd w:val="0"/>
        <w:spacing w:line="240" w:lineRule="auto"/>
        <w:ind w:firstLine="640"/>
        <w:jc w:val="left"/>
        <w:rPr>
          <w:rFonts w:ascii="仿宋" w:hAnsi="仿宋" w:eastAsia="仿宋" w:cs="仿宋"/>
          <w:sz w:val="32"/>
          <w:szCs w:val="32"/>
        </w:rPr>
      </w:pPr>
      <w:r>
        <w:rPr>
          <w:rFonts w:hint="eastAsia" w:ascii="仿宋" w:hAnsi="仿宋" w:eastAsia="仿宋" w:cs="仿宋"/>
          <w:sz w:val="32"/>
          <w:szCs w:val="32"/>
        </w:rPr>
        <w:t>20.承担国家和省市有关工业行业技术规范、技术标准的具体组织实施和行业性的有关业务技术培训工作；收集、汇总行业信息和发展动态并进行分析，提供行业市场指导；</w:t>
      </w:r>
    </w:p>
    <w:p>
      <w:pPr>
        <w:autoSpaceDE w:val="0"/>
        <w:autoSpaceDN w:val="0"/>
        <w:adjustRightInd w:val="0"/>
        <w:spacing w:line="240" w:lineRule="auto"/>
        <w:ind w:firstLine="640"/>
        <w:jc w:val="left"/>
        <w:rPr>
          <w:rFonts w:ascii="仿宋" w:hAnsi="仿宋" w:eastAsia="仿宋" w:cs="仿宋"/>
          <w:sz w:val="32"/>
          <w:szCs w:val="32"/>
        </w:rPr>
      </w:pPr>
      <w:r>
        <w:rPr>
          <w:rFonts w:hint="eastAsia" w:ascii="仿宋" w:hAnsi="仿宋" w:eastAsia="仿宋" w:cs="仿宋"/>
          <w:sz w:val="32"/>
          <w:szCs w:val="32"/>
        </w:rPr>
        <w:t>21.组织重要生活必需品的紧急调度，制定日用生活必需品、突发公共事件应急处理预案并组织实施；承担牵头协调整顿和规范市场经济秩序工作的责任，贯彻执行国家规范市场运行、流通秩序的政策，推动商务领域信用建设，建立市场诚信公共服务平台；指导和协调全县茧丝绸生产经营等业务工作；</w:t>
      </w:r>
    </w:p>
    <w:p>
      <w:pPr>
        <w:autoSpaceDE w:val="0"/>
        <w:autoSpaceDN w:val="0"/>
        <w:adjustRightInd w:val="0"/>
        <w:spacing w:line="240" w:lineRule="auto"/>
        <w:ind w:firstLine="640"/>
        <w:jc w:val="left"/>
        <w:rPr>
          <w:rFonts w:ascii="仿宋" w:hAnsi="仿宋" w:eastAsia="仿宋" w:cs="仿宋"/>
          <w:sz w:val="32"/>
          <w:szCs w:val="32"/>
        </w:rPr>
      </w:pPr>
      <w:r>
        <w:rPr>
          <w:rFonts w:hint="eastAsia" w:ascii="仿宋" w:hAnsi="仿宋" w:eastAsia="仿宋" w:cs="仿宋"/>
          <w:sz w:val="32"/>
          <w:szCs w:val="32"/>
        </w:rPr>
        <w:t>22.参与指导城市商业网点规划；推进再生资源回收和流通领域节能减排；负责商贸流通行业统计分析；牵头组织全县商务系统诚信建设。</w:t>
      </w:r>
    </w:p>
    <w:p>
      <w:pPr>
        <w:autoSpaceDE w:val="0"/>
        <w:autoSpaceDN w:val="0"/>
        <w:adjustRightInd w:val="0"/>
        <w:spacing w:line="240" w:lineRule="auto"/>
        <w:ind w:firstLine="640"/>
        <w:jc w:val="left"/>
        <w:rPr>
          <w:rFonts w:ascii="仿宋" w:hAnsi="仿宋" w:eastAsia="仿宋" w:cs="仿宋"/>
          <w:sz w:val="32"/>
          <w:szCs w:val="32"/>
        </w:rPr>
      </w:pPr>
      <w:r>
        <w:rPr>
          <w:rFonts w:hint="eastAsia" w:ascii="仿宋" w:hAnsi="仿宋" w:eastAsia="仿宋" w:cs="仿宋"/>
          <w:sz w:val="32"/>
          <w:szCs w:val="32"/>
        </w:rPr>
        <w:t>23. 牵头监测分析商务运行状况；统筹商务领域促进消费工作，负责组织重要商品产销衔接；负责市场运行分析、统计监测工作，组织和协调解决市场运行中的重大问题；组织实施重要消费品市场调控；</w:t>
      </w:r>
    </w:p>
    <w:p>
      <w:pPr>
        <w:autoSpaceDE w:val="0"/>
        <w:autoSpaceDN w:val="0"/>
        <w:adjustRightInd w:val="0"/>
        <w:spacing w:line="240" w:lineRule="auto"/>
        <w:ind w:firstLine="640"/>
        <w:jc w:val="left"/>
        <w:rPr>
          <w:rFonts w:ascii="仿宋" w:hAnsi="仿宋" w:eastAsia="仿宋" w:cs="仿宋"/>
          <w:sz w:val="32"/>
          <w:szCs w:val="32"/>
        </w:rPr>
      </w:pPr>
      <w:r>
        <w:rPr>
          <w:rFonts w:hint="eastAsia" w:ascii="仿宋" w:hAnsi="仿宋" w:eastAsia="仿宋" w:cs="仿宋"/>
          <w:sz w:val="32"/>
          <w:szCs w:val="32"/>
        </w:rPr>
        <w:t>24.组织出国（境）经贸展览会和企业参加在境外举办的经贸展览会和国际展、博览会；进行经贸信息的收集、整理、传递和发布工作；联络组织经贸洽谈和技术交流活动，向我县企业和机构提供经贸信息、咨询及资信调查等各类服务，进一步拓宽对外合作领域；</w:t>
      </w:r>
    </w:p>
    <w:p>
      <w:pPr>
        <w:autoSpaceDE w:val="0"/>
        <w:autoSpaceDN w:val="0"/>
        <w:adjustRightInd w:val="0"/>
        <w:spacing w:line="240" w:lineRule="auto"/>
        <w:ind w:firstLine="640"/>
        <w:jc w:val="left"/>
        <w:rPr>
          <w:rFonts w:ascii="仿宋" w:hAnsi="仿宋" w:eastAsia="仿宋" w:cs="仿宋"/>
          <w:sz w:val="32"/>
          <w:szCs w:val="32"/>
        </w:rPr>
      </w:pPr>
      <w:r>
        <w:rPr>
          <w:rFonts w:hint="eastAsia" w:ascii="仿宋" w:hAnsi="仿宋" w:eastAsia="仿宋" w:cs="仿宋"/>
          <w:sz w:val="32"/>
          <w:szCs w:val="32"/>
        </w:rPr>
        <w:t>25. 承办县政府交办的其他事项。</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（二）机构设置</w:t>
      </w:r>
    </w:p>
    <w:p>
      <w:pPr>
        <w:spacing w:line="360" w:lineRule="auto"/>
        <w:ind w:firstLine="640"/>
        <w:rPr>
          <w:rFonts w:ascii="仿宋" w:hAnsi="仿宋" w:eastAsia="仿宋" w:cs="仿宋"/>
          <w:sz w:val="32"/>
          <w:szCs w:val="32"/>
          <w:highlight w:val="green"/>
        </w:rPr>
      </w:pPr>
      <w:r>
        <w:rPr>
          <w:rFonts w:hint="eastAsia" w:ascii="仿宋" w:hAnsi="仿宋" w:eastAsia="仿宋" w:cs="仿宋"/>
          <w:sz w:val="32"/>
          <w:szCs w:val="32"/>
        </w:rPr>
        <w:t>本部门现设有</w:t>
      </w:r>
      <w:r>
        <w:rPr>
          <w:rFonts w:hint="eastAsia" w:ascii="仿宋_GB2312" w:hAnsi="宋体" w:eastAsia="仿宋_GB2312" w:cs="宋体"/>
          <w:color w:val="333333"/>
          <w:sz w:val="32"/>
          <w:szCs w:val="32"/>
        </w:rPr>
        <w:t>政办股、经济运行股、商贸流通股、行业管理股</w:t>
      </w:r>
      <w:r>
        <w:rPr>
          <w:rFonts w:hint="eastAsia" w:ascii="仿宋" w:hAnsi="仿宋" w:eastAsia="仿宋" w:cs="仿宋"/>
          <w:sz w:val="32"/>
          <w:szCs w:val="32"/>
        </w:rPr>
        <w:t>，另有</w:t>
      </w:r>
      <w:r>
        <w:rPr>
          <w:rFonts w:hint="eastAsia" w:ascii="仿宋_GB2312" w:hAnsi="宋体" w:eastAsia="仿宋_GB2312" w:cs="宋体"/>
          <w:color w:val="333333"/>
          <w:sz w:val="32"/>
          <w:szCs w:val="32"/>
        </w:rPr>
        <w:t>紫阳县电子商务服务中心局属事业</w:t>
      </w:r>
      <w:r>
        <w:rPr>
          <w:rFonts w:hint="eastAsia" w:ascii="仿宋" w:hAnsi="仿宋" w:eastAsia="仿宋" w:cs="仿宋"/>
          <w:sz w:val="32"/>
          <w:szCs w:val="32"/>
        </w:rPr>
        <w:t>单位。</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二、2023年度部门工作任务</w:t>
      </w:r>
    </w:p>
    <w:p>
      <w:pPr>
        <w:numPr>
          <w:ilvl w:val="0"/>
          <w:numId w:val="1"/>
        </w:numPr>
        <w:spacing w:line="360" w:lineRule="auto"/>
        <w:ind w:firstLine="640"/>
        <w:rPr>
          <w:rFonts w:ascii="仿宋" w:hAnsi="仿宋" w:eastAsia="仿宋" w:cs="仿宋"/>
          <w:sz w:val="32"/>
          <w:szCs w:val="32"/>
        </w:rPr>
      </w:pPr>
      <w:r>
        <w:rPr>
          <w:rFonts w:hint="eastAsia" w:ascii="仿宋_GB2312" w:hAnsi="仿宋_GB2312" w:eastAsia="仿宋_GB2312" w:cs="仿宋_GB2312"/>
          <w:sz w:val="32"/>
          <w:szCs w:val="32"/>
        </w:rPr>
        <w:t>抓实基层党组织建设，打造国企党建品牌，加强党风廉政建设，强化意识风险排查化解，扎实开展“干部作风能力提升年”活动，巩固提升领导班子和干部队伍干事创业能力素质。</w:t>
      </w:r>
    </w:p>
    <w:p>
      <w:pPr>
        <w:numPr>
          <w:ilvl w:val="0"/>
          <w:numId w:val="1"/>
        </w:numPr>
        <w:spacing w:line="360" w:lineRule="auto"/>
        <w:ind w:firstLine="640"/>
        <w:rPr>
          <w:rFonts w:ascii="仿宋" w:hAnsi="仿宋" w:eastAsia="仿宋" w:cs="仿宋"/>
          <w:sz w:val="32"/>
          <w:szCs w:val="32"/>
        </w:rPr>
      </w:pPr>
      <w:r>
        <w:rPr>
          <w:rFonts w:hint="eastAsia" w:ascii="仿宋_GB2312" w:hAnsi="仿宋_GB2312" w:eastAsia="仿宋_GB2312" w:cs="仿宋_GB2312"/>
          <w:sz w:val="32"/>
          <w:szCs w:val="32"/>
        </w:rPr>
        <w:t>以更强举措提升发展质效。全年争取资金1000万元，聚力构建紫阳富硒美食产业链，</w:t>
      </w:r>
      <w:r>
        <w:rPr>
          <w:rFonts w:ascii="仿宋_GB2312" w:hAnsi="仿宋_GB2312" w:eastAsia="仿宋_GB2312" w:cs="仿宋_GB2312"/>
          <w:sz w:val="32"/>
          <w:szCs w:val="32"/>
        </w:rPr>
        <w:t>包抓</w:t>
      </w:r>
      <w:r>
        <w:rPr>
          <w:rFonts w:hint="eastAsia" w:ascii="仿宋_GB2312" w:hAnsi="仿宋_GB2312" w:eastAsia="仿宋_GB2312" w:cs="仿宋_GB2312"/>
          <w:sz w:val="32"/>
          <w:szCs w:val="32"/>
        </w:rPr>
        <w:t>4个重点“五上”企业，紧扣发展县域经济、园区经济、总部经济、数字经济、品牌经济和“4+3”重点产业链开展链式招商，策划不少于5个招商项目，聚力在功能饮品和富硒食品方面务求成效。</w:t>
      </w:r>
    </w:p>
    <w:p>
      <w:pPr>
        <w:spacing w:line="560" w:lineRule="exact"/>
        <w:ind w:firstLine="0"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w:t>
      </w:r>
      <w:r>
        <w:rPr>
          <w:rFonts w:ascii="仿宋_GB2312" w:hAnsi="仿宋_GB2312" w:eastAsia="仿宋_GB2312" w:cs="仿宋_GB2312"/>
          <w:sz w:val="32"/>
          <w:szCs w:val="32"/>
        </w:rPr>
        <w:t>统筹工业高质量发展。制定《紫阳县绿色工业倍增计划2023年度行动方案》。建立“成长型”企业梯队培育库</w:t>
      </w:r>
      <w:r>
        <w:rPr>
          <w:rFonts w:hint="eastAsia" w:ascii="仿宋_GB2312" w:hAnsi="仿宋_GB2312" w:eastAsia="仿宋_GB2312" w:cs="仿宋_GB2312"/>
          <w:sz w:val="32"/>
          <w:szCs w:val="32"/>
        </w:rPr>
        <w:t>100</w:t>
      </w:r>
      <w:r>
        <w:rPr>
          <w:rFonts w:ascii="仿宋_GB2312" w:hAnsi="仿宋_GB2312" w:eastAsia="仿宋_GB2312" w:cs="仿宋_GB2312"/>
          <w:sz w:val="32"/>
          <w:szCs w:val="32"/>
        </w:rPr>
        <w:t>户以上，全县培育工业企业入规10户，培育亿元以上企业5户。储备工业重点项目50个以上</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培育创新型中小企业3户、巩固提升专精特新企业1户。</w:t>
      </w:r>
      <w:r>
        <w:rPr>
          <w:rFonts w:hint="eastAsia" w:ascii="仿宋_GB2312" w:hAnsi="仿宋_GB2312" w:eastAsia="仿宋_GB2312" w:cs="仿宋_GB2312"/>
          <w:sz w:val="32"/>
          <w:szCs w:val="32"/>
        </w:rPr>
        <w:t>牵头“六个一”企业帮扶工作机制落实，为企业排忧解难。</w:t>
      </w:r>
    </w:p>
    <w:p>
      <w:pPr>
        <w:spacing w:line="560" w:lineRule="exact"/>
        <w:ind w:firstLine="640"/>
        <w:rPr>
          <w:rFonts w:ascii="仿宋_GB2312" w:hAnsi="仿宋_GB2312" w:eastAsia="仿宋_GB2312" w:cs="仿宋_GB2312"/>
          <w:sz w:val="32"/>
          <w:szCs w:val="32"/>
        </w:rPr>
      </w:pPr>
      <w:r>
        <w:rPr>
          <w:rFonts w:hint="eastAsia" w:ascii="仿宋" w:hAnsi="仿宋" w:eastAsia="仿宋" w:cs="仿宋"/>
          <w:sz w:val="32"/>
          <w:szCs w:val="32"/>
        </w:rPr>
        <w:t>（四）</w:t>
      </w:r>
      <w:r>
        <w:rPr>
          <w:rFonts w:hint="eastAsia" w:ascii="仿宋_GB2312" w:hAnsi="仿宋_GB2312" w:eastAsia="仿宋_GB2312" w:cs="仿宋_GB2312"/>
          <w:sz w:val="32"/>
          <w:szCs w:val="32"/>
        </w:rPr>
        <w:t>促进商贸高质量发展。</w:t>
      </w:r>
      <w:r>
        <w:rPr>
          <w:rFonts w:ascii="仿宋_GB2312" w:hAnsi="仿宋_GB2312" w:eastAsia="仿宋_GB2312" w:cs="仿宋_GB2312"/>
          <w:sz w:val="32"/>
          <w:szCs w:val="32"/>
        </w:rPr>
        <w:t>全县新增限上商贸企业5户</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培育2户限上商贸企业。</w:t>
      </w:r>
      <w:r>
        <w:rPr>
          <w:rFonts w:hint="eastAsia" w:ascii="仿宋_GB2312" w:hAnsi="仿宋_GB2312" w:eastAsia="仿宋_GB2312" w:cs="仿宋_GB2312"/>
          <w:sz w:val="32"/>
          <w:szCs w:val="32"/>
        </w:rPr>
        <w:t>加强县域商业体系建设，壮大县城商贸综合体1个。提升全县物流仓配覆盖水平，建设3个镇级、10个村级物流站点，改造提升农村电商服务站点10个。培育5户电商企业、10名本土带货主播，培训农村电商人员500人次。力争电商交易额突破7亿元、增长40%。</w:t>
      </w:r>
    </w:p>
    <w:p>
      <w:pPr>
        <w:spacing w:line="360" w:lineRule="auto"/>
        <w:ind w:firstLine="640"/>
        <w:rPr>
          <w:rFonts w:ascii="仿宋" w:hAnsi="仿宋" w:eastAsia="仿宋" w:cs="仿宋"/>
          <w:sz w:val="32"/>
          <w:szCs w:val="32"/>
        </w:rPr>
      </w:pPr>
      <w:r>
        <w:rPr>
          <w:rFonts w:hint="eastAsia" w:ascii="仿宋_GB2312" w:hAnsi="仿宋_GB2312" w:eastAsia="仿宋_GB2312" w:cs="仿宋_GB2312"/>
          <w:sz w:val="32"/>
          <w:szCs w:val="32"/>
        </w:rPr>
        <w:t>（五）强化风险管控守牢安全底线。压实煤矿、工业、商贸行业企业安全生产责任制，常态化开展安全生产大排查大整治，坚决遏止</w:t>
      </w:r>
      <w:bookmarkStart w:id="0" w:name="_GoBack"/>
      <w:bookmarkEnd w:id="0"/>
      <w:r>
        <w:rPr>
          <w:rFonts w:hint="eastAsia" w:ascii="仿宋_GB2312" w:hAnsi="仿宋_GB2312" w:eastAsia="仿宋_GB2312" w:cs="仿宋_GB2312"/>
          <w:sz w:val="32"/>
          <w:szCs w:val="32"/>
        </w:rPr>
        <w:t>发生安全生产事故，维护社会和谐稳定。</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三、部门预算单位构成</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从预算单位构成看，本部门的部门预算包括部门本级（机关）预算和所属事业单位预算。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纳入本部门2023年部门预算编制范围的二级预算单位共有1个，包括：</w:t>
      </w:r>
    </w:p>
    <w:tbl>
      <w:tblPr>
        <w:tblStyle w:val="4"/>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60"/>
        <w:gridCol w:w="5098"/>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序号</w:t>
            </w:r>
          </w:p>
        </w:tc>
        <w:tc>
          <w:tcPr>
            <w:tcW w:w="5098"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单位名称</w:t>
            </w:r>
          </w:p>
        </w:tc>
        <w:tc>
          <w:tcPr>
            <w:tcW w:w="2087"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1</w:t>
            </w:r>
          </w:p>
        </w:tc>
        <w:tc>
          <w:tcPr>
            <w:tcW w:w="5098" w:type="dxa"/>
          </w:tcPr>
          <w:p>
            <w:pPr>
              <w:spacing w:line="360" w:lineRule="auto"/>
              <w:ind w:firstLine="0" w:firstLineChars="0"/>
              <w:rPr>
                <w:rFonts w:ascii="仿宋" w:hAnsi="仿宋" w:eastAsia="仿宋" w:cs="仿宋"/>
                <w:sz w:val="32"/>
                <w:szCs w:val="32"/>
              </w:rPr>
            </w:pPr>
            <w:r>
              <w:rPr>
                <w:rFonts w:hint="eastAsia" w:ascii="仿宋" w:hAnsi="仿宋" w:eastAsia="仿宋" w:cs="仿宋"/>
                <w:sz w:val="32"/>
                <w:szCs w:val="32"/>
              </w:rPr>
              <w:t>紫阳县经济贸易局部门本级（机关）</w:t>
            </w:r>
          </w:p>
        </w:tc>
        <w:tc>
          <w:tcPr>
            <w:tcW w:w="2087"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无</w:t>
            </w:r>
          </w:p>
        </w:tc>
      </w:tr>
    </w:tbl>
    <w:p>
      <w:pPr>
        <w:spacing w:line="360" w:lineRule="auto"/>
        <w:ind w:firstLine="640"/>
        <w:rPr>
          <w:rFonts w:ascii="仿宋" w:hAnsi="仿宋" w:eastAsia="仿宋" w:cs="仿宋"/>
          <w:sz w:val="32"/>
          <w:szCs w:val="32"/>
        </w:rPr>
      </w:pP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四、部门人员情况说明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截止2022年底，本部门人员编制20人，其中行政编制9人、事业编制11人；实有人员26人，其中行政16人、事业10人。单位管理的离退休人员36人。</w:t>
      </w:r>
    </w:p>
    <w:p>
      <w:pPr>
        <w:spacing w:line="360" w:lineRule="auto"/>
        <w:ind w:firstLine="480"/>
        <w:jc w:val="center"/>
        <w:rPr>
          <w:rFonts w:ascii="仿宋" w:hAnsi="仿宋" w:eastAsia="仿宋" w:cs="仿宋"/>
          <w:sz w:val="32"/>
          <w:szCs w:val="32"/>
        </w:rPr>
      </w:pPr>
      <w:r>
        <w:drawing>
          <wp:inline distT="0" distB="0" distL="114300" distR="114300">
            <wp:extent cx="3742055" cy="2588260"/>
            <wp:effectExtent l="0" t="0" r="6985"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2"/>
                    <a:stretch>
                      <a:fillRect/>
                    </a:stretch>
                  </pic:blipFill>
                  <pic:spPr>
                    <a:xfrm>
                      <a:off x="0" y="0"/>
                      <a:ext cx="3742055" cy="2588260"/>
                    </a:xfrm>
                    <a:prstGeom prst="rect">
                      <a:avLst/>
                    </a:prstGeom>
                    <a:noFill/>
                    <a:ln>
                      <a:noFill/>
                    </a:ln>
                  </pic:spPr>
                </pic:pic>
              </a:graphicData>
            </a:graphic>
          </wp:inline>
        </w:drawing>
      </w:r>
    </w:p>
    <w:p>
      <w:pPr>
        <w:spacing w:line="360" w:lineRule="auto"/>
        <w:ind w:firstLine="0" w:firstLineChars="0"/>
        <w:rPr>
          <w:rFonts w:ascii="仿宋" w:hAnsi="仿宋" w:eastAsia="仿宋" w:cs="仿宋"/>
          <w:sz w:val="32"/>
          <w:szCs w:val="32"/>
        </w:rPr>
      </w:pPr>
    </w:p>
    <w:p>
      <w:pPr>
        <w:spacing w:line="360" w:lineRule="auto"/>
        <w:ind w:firstLine="480"/>
        <w:jc w:val="center"/>
        <w:rPr>
          <w:rFonts w:ascii="仿宋" w:hAnsi="仿宋" w:eastAsia="仿宋" w:cs="仿宋"/>
          <w:b/>
          <w:bCs/>
          <w:sz w:val="32"/>
          <w:szCs w:val="32"/>
        </w:rPr>
      </w:pPr>
      <w:r>
        <w:rPr>
          <w:rFonts w:hint="eastAsia"/>
        </w:rPr>
        <w:t xml:space="preserve">     </w:t>
      </w:r>
      <w:r>
        <w:rPr>
          <w:rFonts w:hint="eastAsia" w:ascii="仿宋" w:hAnsi="仿宋" w:eastAsia="仿宋" w:cs="仿宋"/>
          <w:b/>
          <w:bCs/>
          <w:sz w:val="32"/>
          <w:szCs w:val="32"/>
        </w:rPr>
        <w:t>第二部分  收支情况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五、2023年部门预算收支说明</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（一）收支预算总体情况。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按照综合预算的原则，本部门所有收入和支出均纳入部门预算管理。2023年本部门预算收入387.313万元，其中一般公共预算拨款收入387.313万元、政府性基金拨款收入0万元、国有资本经营预算收入0万元、上级补助收入0万元、事业收入0万元、事业单位经营收入0万元、附属单位上缴收入0万元、其他收入0万元，2023年本部门预算收入较上年减少30.647万元，主要原因是专项业务经费减少及人员退休配套工资福利费用减少；2023年本部门预算支出387.313万元，其中一般公共预算拨款支出387.313万元，政府性基金拨款收入支出0万元、国有资本经营预算收入支出0万元、上级补助收入支出0万元、事业收入支出0万元、事业单位经营收入支出0万元、附属单位上缴收入支出0万元、其他收入支出0万元，2023年本部门预算支出较上年减少30.647万元，主要原因是商品和服务支出预算减少及人员退休配套工资福利费用减少。</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（二）财政拨款收支情况。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财政拨款收入387.313万元，其中一般公共预算拨款收入387.313万元、政府性基金拨款收入0万元、国有资本经营预算收入0万元，2023年本部门预算收入较上年减少30.647万元，主要原因是专项业务经费减少及人员退休配套工资福利费用减少；2023年本部门财政拨款支出387.313万元，其中一般公共预算拨款支出387.313万元、政府性基金拨款支出0万元、国有资本经营预算收入支出0万元，2023年本部门财政拨款支出较上年增加减少30.647万元，主要原因是专项业务经费减少及人员退休配套工资福利费用减少。</w:t>
      </w:r>
    </w:p>
    <w:p>
      <w:pPr>
        <w:spacing w:line="360" w:lineRule="auto"/>
        <w:ind w:firstLine="640"/>
        <w:rPr>
          <w:rFonts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（三）一般公共预算拨款支出明细情况。</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一般公共预算当年拨款规模变化情况。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2023年本部门当年一般公共预算拨款支出387.313万元，较上年减少30.647万元，主要原因是专项业务经费减少及人员退休配套工资福利费用减少。</w:t>
      </w:r>
    </w:p>
    <w:p>
      <w:pPr>
        <w:numPr>
          <w:ilvl w:val="0"/>
          <w:numId w:val="2"/>
        </w:numPr>
        <w:spacing w:line="360" w:lineRule="auto"/>
        <w:ind w:firstLine="640"/>
        <w:rPr>
          <w:rFonts w:ascii="仿宋" w:hAnsi="仿宋" w:eastAsia="仿宋" w:cs="仿宋"/>
          <w:sz w:val="32"/>
          <w:szCs w:val="32"/>
        </w:rPr>
      </w:pPr>
      <w:r>
        <w:rPr>
          <w:rFonts w:hint="eastAsia" w:ascii="仿宋" w:hAnsi="仿宋" w:eastAsia="仿宋" w:cs="仿宋"/>
          <w:sz w:val="32"/>
          <w:szCs w:val="32"/>
        </w:rPr>
        <w:t>支出按功能科目分类的明细情况。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本部门2023年当年一般公共预算支出387.313万元，其中：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（1）行政运行（2150501）309.2782万元，较上年减少20.84万元，原因是3名行政人员退休，人员经费支出减少；</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2机关事业单位基本养老保险缴费支出（2080505）34.8084万元，较上年减少3.06万元，原因是3名行政人员退休，人员经费支出减少；</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（3）行政单位医疗（2101101）17.1228万元，较上年减少1.41万元，原因是3名行政人员退休，人员经费支出减少；</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（4）财政对住房公积金的补助（22101）26.1036万元，较上年减少5.34万元，原因是3名行政人员退休，人员经费支出减少；</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sz w:val="32"/>
          <w:szCs w:val="32"/>
        </w:rPr>
        <w:t>支出按经济科目分类的明细情况。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（1）按照部门预算支出经济分类的类级科目说明。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2023年本部门当年一般公共预算支出387.313万元，其中：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工资福利支出（301）313.9838万元，较上年减少21.31万元，原因是3名行政人员退休配套工资福利支出减少；</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商品和服务支出（302）66.57万元，较上年减少9.85万元，原因是3名行政人员退休配套公用经费减少；</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对个人和家庭的补助支出（303）6.7592万元，较上年增加0.5092万元，原因是退休人员增多配套补助资金增加；</w:t>
      </w:r>
    </w:p>
    <w:p>
      <w:pPr>
        <w:numPr>
          <w:ilvl w:val="0"/>
          <w:numId w:val="3"/>
        </w:numPr>
        <w:spacing w:line="360" w:lineRule="auto"/>
        <w:ind w:firstLine="640"/>
        <w:rPr>
          <w:rFonts w:ascii="仿宋" w:hAnsi="仿宋" w:eastAsia="仿宋" w:cs="仿宋"/>
          <w:sz w:val="32"/>
          <w:szCs w:val="32"/>
        </w:rPr>
      </w:pPr>
      <w:r>
        <w:rPr>
          <w:rFonts w:hint="eastAsia" w:ascii="仿宋" w:hAnsi="仿宋" w:eastAsia="仿宋" w:cs="仿宋"/>
          <w:sz w:val="32"/>
          <w:szCs w:val="32"/>
        </w:rPr>
        <w:t>按照政府预算支出经济分类的类级科目说明。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2023年本部门当年一般公共预算支出387.313万元，其中：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机关工资福利支出（501）313.98万元，较上年减少21.31万元，原因是3名行政人员退休配套工资福利支出减少；</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机关商品和服务支出（502）66.57万元，较上年减少9.85万元，原因是3名行政人员退休配套公用经费减少；</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对个人和家庭的补助（509）6.7592万元，较上年增加0.5092万元，原因是退休人员增多配套补助资金增加；</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rPr>
        <w:t>2022年结转财政资金一般公共预算拨款支出情况。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本部门无2022年结转的一般公共预算拨款资金支出。</w:t>
      </w:r>
    </w:p>
    <w:p>
      <w:pPr>
        <w:numPr>
          <w:ilvl w:val="0"/>
          <w:numId w:val="4"/>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政府性基金预算支出情况。</w:t>
      </w:r>
    </w:p>
    <w:p>
      <w:pPr>
        <w:numPr>
          <w:ilvl w:val="0"/>
          <w:numId w:val="5"/>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当年政府性基金预算支出情况。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本部门无当年政府性基金预算收支，并已公开空表。</w:t>
      </w:r>
    </w:p>
    <w:p>
      <w:pPr>
        <w:numPr>
          <w:ilvl w:val="0"/>
          <w:numId w:val="5"/>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上年结转政府性基金预算支出情况。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本部门无2022年结转的政府性基金预算拨款支出。</w:t>
      </w:r>
    </w:p>
    <w:p>
      <w:pPr>
        <w:numPr>
          <w:ilvl w:val="0"/>
          <w:numId w:val="4"/>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国有资本经营预算拨款收支情况。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本部门无当年国有资本经营预算拨款收支，并在财政拨款收支总体情况表中列示。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本部门无2022年结转的国有资本经营预算拨款支出。</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六、部门预算“三公”经费等预算情况说明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2023年本部门当年一般公共预算“三公”经费预算支出1.35万元，较上年减少1.27万元（48.47%），减少的主要原因是公务接待费支出减少。其中：本部门无因公出国（境）经费预算；公务接待费1.35万元，较上年减少0.27万元（16.67%），减少的主要原因是人员退休配套经费支出减少；本部门公务用车运行费经费预算0万元；本部门公务用车购置费经费预算0万元。</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（2）2023年本部门当年会议费预算支出0万元。培训费0万元，较上年减少1万元（100%），减少的主要原因是我局培训主要用于经济运行和行业管理且经费已列入专项经费预算。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本部门无2022年结转的财政拨款‘三公’经费和会议费、培训费支出。</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七、部门国有资产占有使用及资产购置情况说明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截止2022年底，本部门所属预算单位共有车辆0辆，单价20万元以上的设备0台（套）。2023年当年部门预算安排购置车辆0辆；安排购置单价20万元以上的设备0台（套）。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本部门无2022年结转的财政拨款支出资产购置。</w:t>
      </w:r>
    </w:p>
    <w:p>
      <w:pPr>
        <w:numPr>
          <w:ilvl w:val="0"/>
          <w:numId w:val="6"/>
        </w:numPr>
        <w:spacing w:line="360" w:lineRule="auto"/>
        <w:ind w:firstLine="480" w:firstLineChars="0"/>
        <w:rPr>
          <w:rFonts w:ascii="仿宋" w:hAnsi="仿宋" w:eastAsia="仿宋" w:cs="仿宋"/>
          <w:b/>
          <w:bCs/>
          <w:sz w:val="32"/>
          <w:szCs w:val="32"/>
        </w:rPr>
      </w:pPr>
      <w:r>
        <w:rPr>
          <w:rFonts w:hint="eastAsia" w:ascii="仿宋" w:hAnsi="仿宋" w:eastAsia="仿宋" w:cs="仿宋"/>
          <w:b/>
          <w:bCs/>
          <w:sz w:val="32"/>
          <w:szCs w:val="32"/>
        </w:rPr>
        <w:t>部门政府采购情况说明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2023年当年本部门政府采购预算共2万元，其中政府采购货物类预算0万元、政府采购服务类预算2万元、政府采购工程类预算0万元（详见公开报表中的政府采购表）。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本部门无2022年结转的政府采购资金支出。</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九、部门预算绩效目标说明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2023年本部门绩效目标管理全覆盖，涉及当年一般公共预算拨款387.313万元</w:t>
      </w:r>
      <w:r>
        <w:rPr>
          <w:rFonts w:hint="eastAsia" w:ascii="仿宋" w:hAnsi="仿宋" w:eastAsia="仿宋" w:cs="仿宋"/>
          <w:sz w:val="32"/>
          <w:szCs w:val="32"/>
          <w:lang w:eastAsia="zh-CN"/>
        </w:rPr>
        <w:t>，</w:t>
      </w:r>
      <w:r>
        <w:rPr>
          <w:rFonts w:hint="eastAsia" w:ascii="仿宋" w:hAnsi="仿宋" w:eastAsia="仿宋" w:cs="仿宋"/>
          <w:sz w:val="32"/>
          <w:szCs w:val="32"/>
        </w:rPr>
        <w:t>当年政府性基金预算拨款0万元，当年国有资本经营预算拨款0万元（详见公开报表中的绩效目标表）。</w:t>
      </w:r>
    </w:p>
    <w:p>
      <w:pPr>
        <w:spacing w:line="360" w:lineRule="auto"/>
        <w:ind w:firstLine="640"/>
        <w:rPr>
          <w:rFonts w:ascii="仿宋" w:hAnsi="仿宋" w:eastAsia="仿宋" w:cs="仿宋"/>
          <w:sz w:val="32"/>
          <w:szCs w:val="32"/>
          <w:highlight w:val="red"/>
        </w:rPr>
      </w:pPr>
      <w:r>
        <w:rPr>
          <w:rFonts w:hint="eastAsia" w:ascii="仿宋" w:hAnsi="仿宋" w:eastAsia="仿宋" w:cs="仿宋"/>
          <w:sz w:val="32"/>
          <w:szCs w:val="32"/>
        </w:rPr>
        <w:t>本部门无2022年结转的财政拨款支出涉及的绩效目标管理。</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十、机关运行经费安排说明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本部门当年机关运行经费预算安排14.85万元，较上年减少26.57万元，主要原因是3名行政人员退休配套人员经费支出减少及2023年公务交通补贴不在公务经费中体现。</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本部门无2022年结转的财政拨款机关运行经费支出。</w:t>
      </w:r>
    </w:p>
    <w:p>
      <w:pPr>
        <w:spacing w:line="360" w:lineRule="auto"/>
        <w:ind w:left="960" w:firstLine="0" w:firstLineChars="0"/>
        <w:rPr>
          <w:rFonts w:ascii="仿宋" w:hAnsi="仿宋" w:eastAsia="仿宋" w:cs="仿宋"/>
          <w:b/>
          <w:bCs/>
          <w:sz w:val="32"/>
          <w:szCs w:val="32"/>
        </w:rPr>
      </w:pPr>
      <w:r>
        <w:rPr>
          <w:rFonts w:hint="eastAsia" w:ascii="仿宋" w:hAnsi="仿宋" w:eastAsia="仿宋" w:cs="仿宋"/>
          <w:b/>
          <w:bCs/>
          <w:sz w:val="32"/>
          <w:szCs w:val="32"/>
        </w:rPr>
        <w:t>十一、专业名词解释</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1.机关运行经费：指各部门的公用经费，包括办公及印刷费、邮电费、差旅费、会议费、福利费、日常维修费、专用材料及一般设备购置费、办公用房水电费、办公用房取暖费、办公用房物业管理费、公务用车运行费以及其他费用。</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2.“三公经费”</w:t>
      </w:r>
      <w:r>
        <w:rPr>
          <w:rFonts w:hint="eastAsia" w:ascii="仿宋" w:hAnsi="仿宋" w:eastAsia="仿宋" w:cs="仿宋"/>
          <w:sz w:val="32"/>
          <w:szCs w:val="32"/>
          <w:lang w:eastAsia="zh-CN"/>
        </w:rPr>
        <w:t>：</w:t>
      </w:r>
      <w:r>
        <w:rPr>
          <w:rFonts w:hint="eastAsia" w:ascii="仿宋" w:hAnsi="仿宋" w:eastAsia="仿宋" w:cs="仿宋"/>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ab/>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第四部分  公开报表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（详见附表）</w:t>
      </w:r>
      <w:r>
        <w:rPr>
          <w:rFonts w:hint="eastAsia" w:ascii="仿宋" w:hAnsi="仿宋" w:eastAsia="仿宋" w:cs="仿宋"/>
          <w:sz w:val="32"/>
          <w:szCs w:val="32"/>
        </w:rPr>
        <w:tab/>
      </w:r>
    </w:p>
    <w:p>
      <w:pPr>
        <w:spacing w:line="360" w:lineRule="auto"/>
        <w:ind w:firstLine="640"/>
        <w:rPr>
          <w:rFonts w:ascii="仿宋" w:hAnsi="仿宋" w:eastAsia="仿宋" w:cs="仿宋"/>
          <w:sz w:val="32"/>
          <w:szCs w:val="32"/>
        </w:rPr>
      </w:pPr>
    </w:p>
    <w:p>
      <w:pPr>
        <w:spacing w:line="360" w:lineRule="auto"/>
        <w:ind w:firstLine="640"/>
        <w:rPr>
          <w:rFonts w:ascii="仿宋" w:hAnsi="仿宋" w:eastAsia="仿宋" w:cs="仿宋"/>
          <w:sz w:val="32"/>
          <w:szCs w:val="32"/>
        </w:rPr>
      </w:pPr>
    </w:p>
    <w:p>
      <w:pPr>
        <w:spacing w:line="360" w:lineRule="auto"/>
        <w:ind w:firstLine="640"/>
        <w:rPr>
          <w:rFonts w:ascii="仿宋" w:hAnsi="仿宋" w:eastAsia="仿宋" w:cs="仿宋"/>
          <w:sz w:val="32"/>
          <w:szCs w:val="32"/>
        </w:rPr>
      </w:pPr>
    </w:p>
    <w:p>
      <w:pPr>
        <w:spacing w:line="360" w:lineRule="auto"/>
        <w:ind w:firstLine="640"/>
        <w:rPr>
          <w:rFonts w:ascii="仿宋" w:hAnsi="仿宋" w:eastAsia="仿宋" w:cs="仿宋"/>
          <w:sz w:val="32"/>
          <w:szCs w:val="32"/>
        </w:rPr>
      </w:pPr>
    </w:p>
    <w:p>
      <w:pPr>
        <w:spacing w:line="360" w:lineRule="auto"/>
        <w:ind w:firstLine="640"/>
        <w:rPr>
          <w:rFonts w:ascii="仿宋" w:hAnsi="仿宋" w:eastAsia="仿宋" w:cs="仿宋"/>
          <w:sz w:val="32"/>
          <w:szCs w:val="32"/>
        </w:rPr>
      </w:pPr>
    </w:p>
    <w:p>
      <w:pPr>
        <w:spacing w:line="360" w:lineRule="auto"/>
        <w:ind w:firstLine="640"/>
        <w:rPr>
          <w:rFonts w:ascii="仿宋" w:hAnsi="仿宋" w:eastAsia="仿宋" w:cs="仿宋"/>
          <w:sz w:val="32"/>
          <w:szCs w:val="32"/>
        </w:rPr>
      </w:pPr>
    </w:p>
    <w:p>
      <w:pPr>
        <w:spacing w:line="360" w:lineRule="auto"/>
        <w:ind w:firstLine="640"/>
        <w:rPr>
          <w:rFonts w:ascii="仿宋" w:hAnsi="仿宋" w:eastAsia="仿宋" w:cs="仿宋"/>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WinCharSetFFFF-H">
    <w:altName w:val="仿宋"/>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A61CBF2F"/>
    <w:multiLevelType w:val="singleLevel"/>
    <w:tmpl w:val="A61CBF2F"/>
    <w:lvl w:ilvl="0" w:tentative="0">
      <w:start w:val="1"/>
      <w:numFmt w:val="chineseCounting"/>
      <w:suff w:val="nothing"/>
      <w:lvlText w:val="（%1）"/>
      <w:lvlJc w:val="left"/>
      <w:rPr>
        <w:rFonts w:hint="eastAsia"/>
      </w:rPr>
    </w:lvl>
  </w:abstractNum>
  <w:abstractNum w:abstractNumId="2">
    <w:nsid w:val="02686215"/>
    <w:multiLevelType w:val="singleLevel"/>
    <w:tmpl w:val="02686215"/>
    <w:lvl w:ilvl="0" w:tentative="0">
      <w:start w:val="2"/>
      <w:numFmt w:val="decimal"/>
      <w:suff w:val="nothing"/>
      <w:lvlText w:val="%1、"/>
      <w:lvlJc w:val="left"/>
    </w:lvl>
  </w:abstractNum>
  <w:abstractNum w:abstractNumId="3">
    <w:nsid w:val="0745B2B8"/>
    <w:multiLevelType w:val="singleLevel"/>
    <w:tmpl w:val="0745B2B8"/>
    <w:lvl w:ilvl="0" w:tentative="0">
      <w:start w:val="8"/>
      <w:numFmt w:val="chineseCounting"/>
      <w:suff w:val="nothing"/>
      <w:lvlText w:val="%1、"/>
      <w:lvlJc w:val="left"/>
      <w:pPr>
        <w:ind w:left="317"/>
      </w:pPr>
      <w:rPr>
        <w:rFonts w:hint="eastAsia"/>
      </w:rPr>
    </w:lvl>
  </w:abstractNum>
  <w:abstractNum w:abstractNumId="4">
    <w:nsid w:val="27254C28"/>
    <w:multiLevelType w:val="singleLevel"/>
    <w:tmpl w:val="27254C28"/>
    <w:lvl w:ilvl="0" w:tentative="0">
      <w:start w:val="2"/>
      <w:numFmt w:val="decimal"/>
      <w:suff w:val="nothing"/>
      <w:lvlText w:val="（%1）"/>
      <w:lvlJc w:val="left"/>
    </w:lvl>
  </w:abstractNum>
  <w:abstractNum w:abstractNumId="5">
    <w:nsid w:val="5D0214CA"/>
    <w:multiLevelType w:val="singleLevel"/>
    <w:tmpl w:val="5D0214CA"/>
    <w:lvl w:ilvl="0" w:tentative="0">
      <w:start w:val="4"/>
      <w:numFmt w:val="chineseCounting"/>
      <w:suff w:val="nothing"/>
      <w:lvlText w:val="（%1）"/>
      <w:lvlJc w:val="left"/>
      <w:rPr>
        <w:rFonts w:hint="eastAsia"/>
      </w:r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ZjU1ODlkZTJkZjZjN2Y3OGYzOGQwZjIwYjkwNjQifQ=="/>
  </w:docVars>
  <w:rsids>
    <w:rsidRoot w:val="1ED0381D"/>
    <w:rsid w:val="00734C3E"/>
    <w:rsid w:val="008E4D06"/>
    <w:rsid w:val="00BA7CA7"/>
    <w:rsid w:val="00D70262"/>
    <w:rsid w:val="018F2D13"/>
    <w:rsid w:val="02953D9A"/>
    <w:rsid w:val="02E01C47"/>
    <w:rsid w:val="03791D26"/>
    <w:rsid w:val="04087B2D"/>
    <w:rsid w:val="0466605A"/>
    <w:rsid w:val="04887288"/>
    <w:rsid w:val="04F35073"/>
    <w:rsid w:val="061D2748"/>
    <w:rsid w:val="06D7231D"/>
    <w:rsid w:val="075D6C6A"/>
    <w:rsid w:val="0773304F"/>
    <w:rsid w:val="089D1D43"/>
    <w:rsid w:val="0A622F41"/>
    <w:rsid w:val="0A653AEA"/>
    <w:rsid w:val="0AAB1747"/>
    <w:rsid w:val="0B2C6B2B"/>
    <w:rsid w:val="0B473936"/>
    <w:rsid w:val="0B820553"/>
    <w:rsid w:val="0B8A1B09"/>
    <w:rsid w:val="0BDE0CED"/>
    <w:rsid w:val="0BF26547"/>
    <w:rsid w:val="0C805687"/>
    <w:rsid w:val="0D053BAB"/>
    <w:rsid w:val="0D594F94"/>
    <w:rsid w:val="0E1F698E"/>
    <w:rsid w:val="0F026AA1"/>
    <w:rsid w:val="0FA9052D"/>
    <w:rsid w:val="10163FB4"/>
    <w:rsid w:val="10A536CA"/>
    <w:rsid w:val="12413D84"/>
    <w:rsid w:val="12751C80"/>
    <w:rsid w:val="12B55B02"/>
    <w:rsid w:val="13DD192D"/>
    <w:rsid w:val="14042A4C"/>
    <w:rsid w:val="147F7E6C"/>
    <w:rsid w:val="14C85364"/>
    <w:rsid w:val="14FA613E"/>
    <w:rsid w:val="15053ED9"/>
    <w:rsid w:val="15BA67E3"/>
    <w:rsid w:val="15EB6487"/>
    <w:rsid w:val="166918D6"/>
    <w:rsid w:val="176724C1"/>
    <w:rsid w:val="18AF7F70"/>
    <w:rsid w:val="1A431FF4"/>
    <w:rsid w:val="1AE2420D"/>
    <w:rsid w:val="1AE6371B"/>
    <w:rsid w:val="1B746107"/>
    <w:rsid w:val="1CD64124"/>
    <w:rsid w:val="1E0072C5"/>
    <w:rsid w:val="1E1E7AD2"/>
    <w:rsid w:val="1ED0381D"/>
    <w:rsid w:val="1F226CEB"/>
    <w:rsid w:val="1F680DB1"/>
    <w:rsid w:val="203023E8"/>
    <w:rsid w:val="20FE50B8"/>
    <w:rsid w:val="210F400E"/>
    <w:rsid w:val="229A281A"/>
    <w:rsid w:val="2383657E"/>
    <w:rsid w:val="239006C7"/>
    <w:rsid w:val="23DF51AB"/>
    <w:rsid w:val="23E84989"/>
    <w:rsid w:val="23F45765"/>
    <w:rsid w:val="242E73FF"/>
    <w:rsid w:val="246C2EE2"/>
    <w:rsid w:val="246C5345"/>
    <w:rsid w:val="24AB40AF"/>
    <w:rsid w:val="24FC6952"/>
    <w:rsid w:val="26CC76FD"/>
    <w:rsid w:val="26F458D3"/>
    <w:rsid w:val="272308AF"/>
    <w:rsid w:val="28064C78"/>
    <w:rsid w:val="2864072E"/>
    <w:rsid w:val="2913746D"/>
    <w:rsid w:val="2A3E38E1"/>
    <w:rsid w:val="2A933C0B"/>
    <w:rsid w:val="2BF2458F"/>
    <w:rsid w:val="2DC0767A"/>
    <w:rsid w:val="2F3B562F"/>
    <w:rsid w:val="2F57478F"/>
    <w:rsid w:val="2F8D01B1"/>
    <w:rsid w:val="2FC8494E"/>
    <w:rsid w:val="30A36DD4"/>
    <w:rsid w:val="30FF2FE8"/>
    <w:rsid w:val="314B37FB"/>
    <w:rsid w:val="31B733F7"/>
    <w:rsid w:val="31D41A78"/>
    <w:rsid w:val="323D5EBE"/>
    <w:rsid w:val="33B65F28"/>
    <w:rsid w:val="34C06933"/>
    <w:rsid w:val="385D1A98"/>
    <w:rsid w:val="38F70388"/>
    <w:rsid w:val="3A4434B4"/>
    <w:rsid w:val="3A8C79E3"/>
    <w:rsid w:val="3B055E9C"/>
    <w:rsid w:val="3BA25BEE"/>
    <w:rsid w:val="3CA11465"/>
    <w:rsid w:val="3D28036F"/>
    <w:rsid w:val="3D5F318D"/>
    <w:rsid w:val="3D8407DF"/>
    <w:rsid w:val="3D894F96"/>
    <w:rsid w:val="3DFF32ED"/>
    <w:rsid w:val="3F503091"/>
    <w:rsid w:val="4008265B"/>
    <w:rsid w:val="4158586C"/>
    <w:rsid w:val="41851E44"/>
    <w:rsid w:val="420B5D06"/>
    <w:rsid w:val="4248700C"/>
    <w:rsid w:val="43016A94"/>
    <w:rsid w:val="432E0651"/>
    <w:rsid w:val="43D6445C"/>
    <w:rsid w:val="465670F7"/>
    <w:rsid w:val="471D22FA"/>
    <w:rsid w:val="472B48D8"/>
    <w:rsid w:val="4741375D"/>
    <w:rsid w:val="47C702DF"/>
    <w:rsid w:val="48422B9F"/>
    <w:rsid w:val="488947B6"/>
    <w:rsid w:val="498B5309"/>
    <w:rsid w:val="4A991BFA"/>
    <w:rsid w:val="4D8D78A2"/>
    <w:rsid w:val="4FAD499D"/>
    <w:rsid w:val="4FB64197"/>
    <w:rsid w:val="50572E30"/>
    <w:rsid w:val="51AA26CF"/>
    <w:rsid w:val="51AA5E26"/>
    <w:rsid w:val="52324C02"/>
    <w:rsid w:val="52C93A96"/>
    <w:rsid w:val="531A3416"/>
    <w:rsid w:val="538C5F53"/>
    <w:rsid w:val="54474AB6"/>
    <w:rsid w:val="550E0AB7"/>
    <w:rsid w:val="550F5041"/>
    <w:rsid w:val="5582405A"/>
    <w:rsid w:val="56051C6B"/>
    <w:rsid w:val="560861D9"/>
    <w:rsid w:val="563F4648"/>
    <w:rsid w:val="57C07DEE"/>
    <w:rsid w:val="58810003"/>
    <w:rsid w:val="58D746F8"/>
    <w:rsid w:val="58DD1742"/>
    <w:rsid w:val="58FE3115"/>
    <w:rsid w:val="592D7B67"/>
    <w:rsid w:val="59D947AF"/>
    <w:rsid w:val="59F96CB8"/>
    <w:rsid w:val="5A2230B0"/>
    <w:rsid w:val="5B767BC7"/>
    <w:rsid w:val="5BD23E00"/>
    <w:rsid w:val="5BF47018"/>
    <w:rsid w:val="5C653576"/>
    <w:rsid w:val="5E5C14C1"/>
    <w:rsid w:val="5EE25574"/>
    <w:rsid w:val="5F635E4B"/>
    <w:rsid w:val="60404B5F"/>
    <w:rsid w:val="612B644D"/>
    <w:rsid w:val="6134696F"/>
    <w:rsid w:val="61EE3D1B"/>
    <w:rsid w:val="62460F4D"/>
    <w:rsid w:val="62A365B5"/>
    <w:rsid w:val="64305CB5"/>
    <w:rsid w:val="65B7439B"/>
    <w:rsid w:val="663A2E25"/>
    <w:rsid w:val="66607F61"/>
    <w:rsid w:val="66833FFD"/>
    <w:rsid w:val="66D15EF7"/>
    <w:rsid w:val="67606C1C"/>
    <w:rsid w:val="676942F4"/>
    <w:rsid w:val="68162115"/>
    <w:rsid w:val="68EA113C"/>
    <w:rsid w:val="691D37DB"/>
    <w:rsid w:val="69847953"/>
    <w:rsid w:val="699B2EEF"/>
    <w:rsid w:val="699E67D8"/>
    <w:rsid w:val="69B23FEC"/>
    <w:rsid w:val="69E141D5"/>
    <w:rsid w:val="69F87A79"/>
    <w:rsid w:val="6AF6612B"/>
    <w:rsid w:val="6B4B62CE"/>
    <w:rsid w:val="6C540332"/>
    <w:rsid w:val="6DBE3A60"/>
    <w:rsid w:val="6E8A04A9"/>
    <w:rsid w:val="6F3075D5"/>
    <w:rsid w:val="6F5403ED"/>
    <w:rsid w:val="71A236EE"/>
    <w:rsid w:val="73290DA0"/>
    <w:rsid w:val="73843559"/>
    <w:rsid w:val="75A12D2F"/>
    <w:rsid w:val="75AC088F"/>
    <w:rsid w:val="76132559"/>
    <w:rsid w:val="76590D5F"/>
    <w:rsid w:val="76AA58F8"/>
    <w:rsid w:val="776B430B"/>
    <w:rsid w:val="77AD3FB4"/>
    <w:rsid w:val="77ED0DBA"/>
    <w:rsid w:val="781B6398"/>
    <w:rsid w:val="7839395D"/>
    <w:rsid w:val="788B613B"/>
    <w:rsid w:val="78935A62"/>
    <w:rsid w:val="7920167B"/>
    <w:rsid w:val="7A3E4F09"/>
    <w:rsid w:val="7B8657AD"/>
    <w:rsid w:val="7BF11232"/>
    <w:rsid w:val="7CE442E1"/>
    <w:rsid w:val="7CEE0D2E"/>
    <w:rsid w:val="7CF76871"/>
    <w:rsid w:val="7CFC5E06"/>
    <w:rsid w:val="7D804F3A"/>
    <w:rsid w:val="7E2B2CA4"/>
    <w:rsid w:val="7E791462"/>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tLeast"/>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6145</Words>
  <Characters>6582</Characters>
  <Lines>48</Lines>
  <Paragraphs>13</Paragraphs>
  <TotalTime>0</TotalTime>
  <ScaleCrop>false</ScaleCrop>
  <LinksUpToDate>false</LinksUpToDate>
  <CharactersWithSpaces>6683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2148540017</cp:lastModifiedBy>
  <cp:lastPrinted>2020-08-03T08:28:00Z</cp:lastPrinted>
  <dcterms:modified xsi:type="dcterms:W3CDTF">2023-05-04T03:34:02Z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793BC9E86B024A28918E83A2116B8367</vt:lpwstr>
  </property>
</Properties>
</file>