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0" w:firstLineChars="0"/>
        <w:jc w:val="center"/>
        <w:rPr>
          <w:rFonts w:ascii="黑体" w:hAnsi="黑体" w:eastAsia="黑体" w:cs="黑体"/>
          <w:sz w:val="30"/>
          <w:szCs w:val="30"/>
        </w:rPr>
      </w:pPr>
      <w:r>
        <w:rPr>
          <w:rFonts w:hint="eastAsia" w:ascii="黑体" w:hAnsi="黑体" w:eastAsia="黑体" w:cs="黑体"/>
          <w:sz w:val="30"/>
          <w:szCs w:val="30"/>
        </w:rPr>
        <w:t>中国共产党紫阳县委员会党校</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2023年部门综合预算</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1.宣传和研究马克思列宁主义、毛泽东思想、邓小平理论、“三个代表”重要思想、科学发展观、习近平新时代中国特色社会主义思想和党的路线、方针、政策；</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2.围绕党的中心任务和县委、县政府的重大决策和战 略部署，对重大理论和现实问题开展科学研究，发挥新型智库作用，为教学和社会实践服务，为县委、县政府科学决策服务；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3.负责在职干部理论学习的辅导和服务工作</w:t>
      </w:r>
      <w:r>
        <w:rPr>
          <w:rFonts w:hint="eastAsia" w:ascii="仿宋" w:hAnsi="仿宋" w:eastAsia="仿宋" w:cs="仿宋"/>
          <w:sz w:val="32"/>
          <w:szCs w:val="32"/>
          <w:lang w:eastAsia="zh-CN"/>
        </w:rPr>
        <w:t>；</w:t>
      </w:r>
      <w:r>
        <w:rPr>
          <w:rFonts w:hint="eastAsia" w:ascii="仿宋" w:hAnsi="仿宋" w:eastAsia="仿宋" w:cs="仿宋"/>
          <w:sz w:val="32"/>
          <w:szCs w:val="32"/>
        </w:rPr>
        <w:t>围绕理论学习开展调查、研究与宣传等活动</w:t>
      </w:r>
      <w:r>
        <w:rPr>
          <w:rFonts w:hint="eastAsia" w:ascii="仿宋" w:hAnsi="仿宋" w:eastAsia="仿宋" w:cs="仿宋"/>
          <w:sz w:val="32"/>
          <w:szCs w:val="32"/>
          <w:lang w:eastAsia="zh-CN"/>
        </w:rPr>
        <w:t>；</w:t>
      </w:r>
      <w:r>
        <w:rPr>
          <w:rFonts w:hint="eastAsia" w:ascii="仿宋" w:hAnsi="仿宋" w:eastAsia="仿宋" w:cs="仿宋"/>
          <w:sz w:val="32"/>
          <w:szCs w:val="32"/>
        </w:rPr>
        <w:t>负责在职干部理论学习工作的业务指导与人员培训，培养理论干部；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4.会同组织人社部门，对学员在校期间的学习和党性锻炼情况进行考核、考察和评价，提出使用建议；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5.负责在全县基层党组织中运用现代信息技术开展远程学习教育</w:t>
      </w:r>
      <w:r>
        <w:rPr>
          <w:rFonts w:hint="eastAsia" w:ascii="仿宋" w:hAnsi="仿宋" w:eastAsia="仿宋" w:cs="仿宋"/>
          <w:sz w:val="32"/>
          <w:szCs w:val="32"/>
          <w:lang w:eastAsia="zh-CN"/>
        </w:rPr>
        <w:t>；</w:t>
      </w:r>
      <w:r>
        <w:rPr>
          <w:rFonts w:hint="eastAsia" w:ascii="仿宋" w:hAnsi="仿宋" w:eastAsia="仿宋" w:cs="仿宋"/>
          <w:sz w:val="32"/>
          <w:szCs w:val="32"/>
        </w:rPr>
        <w:t>负责开发制作全县党员教育教学资源</w:t>
      </w:r>
      <w:r>
        <w:rPr>
          <w:rFonts w:hint="eastAsia" w:ascii="仿宋" w:hAnsi="仿宋" w:eastAsia="仿宋" w:cs="仿宋"/>
          <w:sz w:val="32"/>
          <w:szCs w:val="32"/>
          <w:lang w:eastAsia="zh-CN"/>
        </w:rPr>
        <w:t>；</w:t>
      </w:r>
      <w:r>
        <w:rPr>
          <w:rFonts w:hint="eastAsia" w:ascii="仿宋" w:hAnsi="仿宋" w:eastAsia="仿宋" w:cs="仿宋"/>
          <w:sz w:val="32"/>
          <w:szCs w:val="32"/>
        </w:rPr>
        <w:t>负责培养远程教育骨干队伍；</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6.开展干部继续教育，承办县委、县政府举办的专题研讨班；</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依据部门三定方案，本部门现设有办公室、教研室、培训处、信息中心。</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二、2023年度部门工作任务</w:t>
      </w:r>
    </w:p>
    <w:p>
      <w:pPr>
        <w:spacing w:line="560"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（一）突出政治引领，压实工作责任。</w:t>
      </w:r>
      <w:r>
        <w:rPr>
          <w:rFonts w:hint="eastAsia" w:ascii="仿宋_GB2312" w:hAnsi="仿宋_GB2312" w:eastAsia="仿宋_GB2312" w:cs="仿宋_GB2312"/>
          <w:sz w:val="32"/>
          <w:szCs w:val="32"/>
        </w:rPr>
        <w:t>坚持党校姓党，旗帜鲜明讲政治，牢牢把握办学政治方向，把讲政治守规矩贯穿办学治校全过程。压紧压实党建、党风廉政建设和意识形态工作的主体责任，切实履行一岗双责，落实全面从严治党，推进全面从严治校。把全面从严治党与全面从严治校结合起来，严以治校、严以治教、严以治学。</w:t>
      </w:r>
    </w:p>
    <w:p>
      <w:pPr>
        <w:spacing w:line="560" w:lineRule="exact"/>
        <w:ind w:firstLine="643"/>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（二）突出主责主业，做好“四库”建设。</w:t>
      </w:r>
      <w:r>
        <w:rPr>
          <w:rFonts w:hint="eastAsia" w:ascii="仿宋_GB2312" w:hAnsi="仿宋_GB2312" w:eastAsia="仿宋_GB2312" w:cs="仿宋_GB2312"/>
          <w:sz w:val="32"/>
          <w:szCs w:val="32"/>
        </w:rPr>
        <w:t>围绕县级党校办学质量评估指标体系，着力打造师资队伍库、教学专题库、现场教学库、教学案例库，全面提升县委党校办学质量水平。</w:t>
      </w:r>
    </w:p>
    <w:p>
      <w:pPr>
        <w:pStyle w:val="3"/>
        <w:wordWrap w:val="0"/>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打造“师资队伍库”。在加强校内现有教师队伍建设的基础上，统筹聘请其他党校老师、领导干部、专家学者、企业家等作为党校兼职教师，形成大师资库，为党校培训提供师资需求服务。其中校内教师以讲授理论为主，县镇领导以讲授县情县况为主，专家教授以讲授具有战略前瞻性开阔视野的新知识为主。</w:t>
      </w:r>
    </w:p>
    <w:p>
      <w:pPr>
        <w:pStyle w:val="3"/>
        <w:wordWrap w:val="0"/>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打造“教学专题库”。按照《中国共产党党员教育管理工作条例》和《中国共产党党校（行政学院）工作条例》规定，设置包括政治理论教育、政治教育和政治训练、党章党规党纪教育、党的宗旨教育、革命传统教育、形势政策教育、知识技能教育等课程。按照党校制“单”，学员点“单”的思路，结合工作需求，增设红色基因传承、特色产业发展、乡村振兴、农村治理、优秀传统文化等“教学专题库”。</w:t>
      </w:r>
    </w:p>
    <w:p>
      <w:pPr>
        <w:pStyle w:val="3"/>
        <w:wordWrap w:val="0"/>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打造“现场教学库”。通过与兄弟县区、本县镇村整合资源，依托向阳镇营梁村生态经济教研基地、东山革命烈士陵园、抗日战争时期安康地委机关遗址、五马乡农会等红色资源和抓党建促乡村振兴、党建引领基层治理等示范村（社区），挖掘和提升内涵，打造一批具有新兴特色的现场教学精品课。</w:t>
      </w:r>
    </w:p>
    <w:p>
      <w:pPr>
        <w:pStyle w:val="3"/>
        <w:wordWrap w:val="0"/>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打造“教学案例库”。从教学实际出发，深入实地调研，结合当前经济社会发展的实际，从我县抓党建促乡村振兴、抓党建促镇域经济发展、抓党建促村级集体经济发展和提升党建引领基层治理效能、农村党建示范县镇创建，以及两新组织党建、城市党建、党员教育、党员志愿者服务等工作中，收集整理一批示范案例。聘请案例教学专家为我校推广案例教学提供技术支持和理论支持，着手编写一批具有本地特色、贴近学员实际且针对性强的教学案例。</w:t>
      </w:r>
    </w:p>
    <w:p>
      <w:pPr>
        <w:spacing w:line="560"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（三）突出工作质效，建设特色智库。</w:t>
      </w:r>
      <w:r>
        <w:rPr>
          <w:rFonts w:hint="eastAsia" w:ascii="仿宋_GB2312" w:hAnsi="仿宋_GB2312" w:eastAsia="仿宋_GB2312" w:cs="仿宋_GB2312"/>
          <w:sz w:val="32"/>
          <w:szCs w:val="32"/>
        </w:rPr>
        <w:t>县委党校作为县委、县政府的思想库和智囊团，要拿出有分量的文章，在科研咨政上就要参在点子上，谋在关键处。计划成立紫阳县域经济研究中心，</w:t>
      </w:r>
      <w:r>
        <w:rPr>
          <w:rFonts w:hint="eastAsia" w:ascii="仿宋_GB2312" w:hAnsi="仿宋_GB2312" w:eastAsia="仿宋_GB2312" w:cs="仿宋_GB2312"/>
          <w:color w:val="000000"/>
          <w:sz w:val="32"/>
          <w:szCs w:val="32"/>
          <w:shd w:val="clear" w:color="auto" w:fill="FFFFFF"/>
        </w:rPr>
        <w:t>建设具有紫阳特色的地方智库。</w:t>
      </w:r>
      <w:r>
        <w:rPr>
          <w:rFonts w:hint="eastAsia" w:ascii="仿宋_GB2312" w:hAnsi="仿宋_GB2312" w:eastAsia="仿宋_GB2312" w:cs="仿宋_GB2312"/>
          <w:sz w:val="32"/>
          <w:szCs w:val="32"/>
        </w:rPr>
        <w:t>通过</w:t>
      </w:r>
      <w:r>
        <w:rPr>
          <w:rFonts w:hint="eastAsia" w:ascii="仿宋_GB2312" w:hAnsi="仿宋_GB2312" w:eastAsia="仿宋_GB2312" w:cs="仿宋_GB2312"/>
          <w:color w:val="000000"/>
          <w:sz w:val="32"/>
          <w:szCs w:val="32"/>
          <w:shd w:val="clear" w:color="auto" w:fill="FFFFFF"/>
        </w:rPr>
        <w:t>引智、借智、用智，采取“走出去”“走下去”“请进来”“联合作战”等方式开展调查研究，提高决策咨询服务的专业性、针对性和有效性。</w:t>
      </w:r>
      <w:r>
        <w:rPr>
          <w:rFonts w:hint="eastAsia" w:ascii="仿宋_GB2312" w:hAnsi="仿宋_GB2312" w:eastAsia="仿宋_GB2312" w:cs="仿宋_GB2312"/>
          <w:sz w:val="32"/>
          <w:szCs w:val="32"/>
        </w:rPr>
        <w:t>聘请特邀专家，充分调动全体教职工科研工作积极性，树立人人都是研究员的意识，形成人人搞研究、时时搞研究的良好格局。聚焦乡村振兴、基层党建、社会治理方面的中心工作和县委、县政府关注的热点难点问题，及时总结提炼基层工作经验和创新做法，把调研成果转变为决策咨政建议，及时报给县委、县政府相关部门，作为决策参考；着力将科研成果转化为授课的重要内容，切实让紫阳广大干部职工都能够学习到先进的经验和理论，更好地促进工作；以深入基层调研、送党课入基层、现场教学点授课、到基层宣讲等多种方式，在基层推广科研形成的经验或决策咨政建议，把科研成果转化为基层工作的方法，真正做到为基层出主意、解难题。</w:t>
      </w:r>
    </w:p>
    <w:p>
      <w:pPr>
        <w:spacing w:line="560"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（四）突出能力提升，抓好干部培训。</w:t>
      </w:r>
      <w:r>
        <w:rPr>
          <w:rFonts w:hint="eastAsia" w:ascii="仿宋_GB2312" w:hAnsi="仿宋_GB2312" w:eastAsia="仿宋_GB2312" w:cs="仿宋_GB2312"/>
          <w:sz w:val="32"/>
          <w:szCs w:val="32"/>
        </w:rPr>
        <w:t xml:space="preserve">认真贯彻落实《干部教育培训工作条例》《干部教育培训改革纲要》，大规模培训基层干部，大幅度提高干部素质，把干部教育培训质量摆在更加突出位置，坚持学用结合、为用而学、以学促用、以用带学，做到培训领导干部向培训基层干部转变、培训知识向提升能力转变、提升素质向作风养成转变。坚持分类施教、精准施教、靶向施教，开展八学八增行动，促进干部教育培训“转型升级”。即领导干部重点学经济，增强领导发展的能力；机关干部重点学业务，增强服务发展的本领；乡镇干部重点学经济和管理，增强推动发展的本领；农村干部重点学先进，增强谋划发展的能力；企业干部重点学经营，增强引领发展的本领；农村党员重点学技术，增强自我发展的本领。 </w:t>
      </w:r>
    </w:p>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主动适应数字化、智能化、终身化、融合化教育发展趋势，坚持学历教育和非学历教育并重，加快实现由定向少数向全员覆盖、学历补偿向知识补偿、文凭提高向技能提升、线上为主向线上线下融合发展转型。一是把开放教育的常规工作进一步做实、做细，确保学员各项信息零误差；二是进一步夯实招生工作，让有学历提升需求的成人及时获得招生信息，并主动报名参与学历提升；三是调动学员充分利用开放教育学习平台的资源开展学习，班主任对学员开展学习情况随时在班级群开展督催、提醒，确保线上学习活跃率达到90%以上；四是论文辅导工作力争取的更高的合格率；五是规范组织考试工作，力争参试率达到85%以上。 </w:t>
      </w:r>
    </w:p>
    <w:p>
      <w:pPr>
        <w:spacing w:line="560"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（五）突出乡村振兴，做实驻村帮扶。</w:t>
      </w:r>
      <w:r>
        <w:rPr>
          <w:rFonts w:hint="eastAsia" w:ascii="仿宋_GB2312" w:hAnsi="仿宋_GB2312" w:eastAsia="仿宋_GB2312" w:cs="仿宋_GB2312"/>
          <w:sz w:val="32"/>
          <w:szCs w:val="32"/>
        </w:rPr>
        <w:t>紧紧围绕乡村“五大振兴”和驻村帮扶“四大职责”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加强驻村帮扶队伍管理，全面提升驻村帮扶工作成效。一是帮助建强村党组织。重点围绕增强政治功能、提升组织力，聚焦帮扶村党支部的建设，助力打造一个政治过硬、素质优良的村党支部班子，帮助增强联系村党支部战斗力。引导村党员干部学习贯彻党章党规党纪等党内法规，不断提高村党员干部的政治素质。按照“一人驻村、全员帮扶”要求，整合人力、物力资源，全力抓好帮扶工作；二是帮助宣传贯彻党的方针政策。校领导班子每年至少到帮扶村上党课1次，带头学习宣传习近平新时代中国特色社会主义思想和习近平总书记来陕视察讲话精神，学习宣传贯彻党的二十大、省市县党代会精神，宣传贯彻党的强农惠农政策和中央和省市县的各项决策部署，</w:t>
      </w:r>
      <w:r>
        <w:rPr>
          <w:rFonts w:hint="eastAsia" w:ascii="仿宋_GB2312" w:hAnsi="仿宋_GB2312" w:eastAsia="仿宋_GB2312" w:cs="仿宋_GB2312"/>
          <w:sz w:val="32"/>
          <w:szCs w:val="32"/>
          <w:lang w:eastAsia="zh-CN"/>
        </w:rPr>
        <w:t>教育引导</w:t>
      </w:r>
      <w:r>
        <w:rPr>
          <w:rFonts w:hint="eastAsia" w:ascii="仿宋_GB2312" w:hAnsi="仿宋_GB2312" w:eastAsia="仿宋_GB2312" w:cs="仿宋_GB2312"/>
          <w:sz w:val="32"/>
          <w:szCs w:val="32"/>
        </w:rPr>
        <w:t xml:space="preserve">群众感党恩、听党话、跟党走，凝聚起巩固拓展脱贫攻坚成果、接续推进乡村振兴的强大合力。三是帮助巩固脱贫成果。重点围绕“四个不摘”要求，指导建立健全农村低收入动态监测预警和常态化帮扶机制，重点监测收入水平变化和“两不愁三保障”巩固情况，做到早发现、早干预、早帮扶，继续精准施策。帮助做好易地扶贫搬迁后续扶持，多渠道促进就业，优化公共服务。帮助加强扶贫项目资产监督管理，确保持续发挥效益；四是帮助发展农村产业。重点围绕富民强村，帮助和指导村“两委”班子制定产业振兴规划，选准主导产业，找准产业发展路子，推动农村绿色发展，严格耕地保护和生态环境，促进农业高质高效、乡村宜居宜业、农民富裕富足。帮助争取项目、资金、技术支持，建立健全产销对接机制和利益联结机制，组织发动群众抓好项目落实，发展壮大村级集体经济，让农民更多分享产业增值收益。继续利用闲置荒地种植艾蒿，提高群众收入；五是帮助完善基础设施。积极督促三组高标准农田建设快速推进，确保群众夏收农作物按时种植。争取资金三组连接蒿坪显月寺公路建设和五组集中安置点外保坎建设。 </w:t>
      </w:r>
    </w:p>
    <w:p>
      <w:pPr>
        <w:pStyle w:val="3"/>
        <w:spacing w:line="560"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（六）突出后勤保障，提升服务水平。</w:t>
      </w:r>
      <w:r>
        <w:rPr>
          <w:rFonts w:hint="eastAsia" w:ascii="仿宋_GB2312" w:hAnsi="仿宋_GB2312" w:eastAsia="仿宋_GB2312" w:cs="仿宋_GB2312"/>
          <w:color w:val="000000"/>
          <w:sz w:val="32"/>
          <w:szCs w:val="32"/>
        </w:rPr>
        <w:t>围绕学员生活和培训工作，进一步强化服务意识，优化服务措施、提升服务水平。</w:t>
      </w:r>
      <w:r>
        <w:rPr>
          <w:rFonts w:hint="eastAsia" w:ascii="仿宋_GB2312" w:hAnsi="仿宋_GB2312" w:eastAsia="仿宋_GB2312" w:cs="仿宋_GB2312"/>
          <w:sz w:val="32"/>
          <w:szCs w:val="32"/>
        </w:rPr>
        <w:t>细化培训工作流程，从学员进校到离校，各项工作细化到每一天、责任到每个人。整合相关处室职能，设计培训联络表，实现接班、伙食安排一体化；严格执行培训纪律，学员到党校学习接受学员管理本身就是加强党性教育的过程。所有学员必须严格执行请假纪律、课堂纪律、就餐就寝纪律和外出考察纪律；坚持以学员需求为导向，以学员满意为目标。在学员报到之前，安排带班老师与学员通过电话、信息、微信等方式进行充分沟通，建立小组微信群，随时掌握学员信息并及时反馈，让学员体会到亲人朋友般的关怀；让学员在党校能“学得好，吃得好”，搞好服务和管理是确保培训效果的基础工作。根据每期培训班的学员饮食习惯，拟出菜单，注重营养搭配合理，每餐变换不同菜品。同时精选乡镇绿色蔬菜基地，采取定点配送，保证食品绿色环保安全。并且根据学员要求及时改进。</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预算单位构成看，本部门的部门预算包括部门本级（机关）预算，不含二级预算单（见单位明细表）：</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098"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rPr>
              <w:t>中国共产党紫阳县委员会党校部门本级（机关</w:t>
            </w:r>
            <w:r>
              <w:rPr>
                <w:rFonts w:hint="eastAsia" w:ascii="仿宋" w:hAnsi="仿宋" w:eastAsia="仿宋" w:cs="仿宋"/>
                <w:sz w:val="32"/>
                <w:szCs w:val="32"/>
              </w:rPr>
              <w:t>）</w:t>
            </w:r>
          </w:p>
        </w:tc>
        <w:tc>
          <w:tcPr>
            <w:tcW w:w="2087" w:type="dxa"/>
          </w:tcPr>
          <w:p>
            <w:pPr>
              <w:spacing w:line="360" w:lineRule="auto"/>
              <w:ind w:firstLine="0" w:firstLineChars="0"/>
              <w:rPr>
                <w:rFonts w:ascii="仿宋" w:hAnsi="仿宋" w:eastAsia="仿宋" w:cs="仿宋"/>
                <w:sz w:val="32"/>
                <w:szCs w:val="32"/>
              </w:rPr>
            </w:pPr>
          </w:p>
        </w:tc>
      </w:tr>
    </w:tbl>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四、部门人员情况说明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截止2023年底，本部门人员编制17人，其中行政编制7人、事业编制10人；实有人员15人，其中行政7人、事业8人。单位管理的离退休人员0人。</w:t>
      </w:r>
    </w:p>
    <w:p>
      <w:pPr>
        <w:pStyle w:val="2"/>
        <w:ind w:firstLine="640"/>
        <w:rPr>
          <w:rFonts w:ascii="仿宋" w:hAnsi="仿宋" w:eastAsia="仿宋" w:cs="仿宋"/>
          <w:szCs w:val="32"/>
        </w:rPr>
      </w:pPr>
    </w:p>
    <w:p>
      <w:pPr>
        <w:ind w:firstLine="640"/>
        <w:rPr>
          <w:rFonts w:ascii="仿宋" w:hAnsi="仿宋" w:eastAsia="仿宋" w:cs="仿宋"/>
          <w:sz w:val="32"/>
          <w:szCs w:val="32"/>
        </w:rPr>
      </w:pPr>
    </w:p>
    <w:p>
      <w:pPr>
        <w:pStyle w:val="2"/>
        <w:ind w:firstLine="640"/>
        <w:rPr>
          <w:rFonts w:ascii="仿宋" w:hAnsi="仿宋" w:eastAsia="仿宋" w:cs="仿宋"/>
          <w:szCs w:val="32"/>
        </w:rPr>
      </w:pPr>
    </w:p>
    <w:p>
      <w:pPr>
        <w:ind w:firstLine="480"/>
      </w:pPr>
    </w:p>
    <w:p>
      <w:pPr>
        <w:spacing w:line="360" w:lineRule="auto"/>
        <w:ind w:firstLine="480"/>
      </w:pPr>
    </w:p>
    <w:p>
      <w:pPr>
        <w:spacing w:line="360" w:lineRule="auto"/>
        <w:ind w:firstLine="480"/>
      </w:pPr>
      <w:r>
        <w:drawing>
          <wp:inline distT="0" distB="0" distL="114300" distR="114300">
            <wp:extent cx="4960620" cy="2493010"/>
            <wp:effectExtent l="4445" t="4445" r="18415" b="17145"/>
            <wp:docPr id="102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ind w:firstLine="640"/>
      </w:pP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2023年本部门预算收入240.22万元，其中一般公共预算拨款收入240.22万元、政府性基金拨款收入0万元级补助收入0.00万元、事业收入0.00万元、事业单位经营收入0.00万元、对附属单位上缴收入0.00万元、用事业基金弥补收支差额0.00万元、上年结转0.00万元、上年实户资金余额0.00万元、其他收入0.00万元，2023年本部门预算收入较上年减少128.86万元，主要原因是在职人员工资减少及各类配套预算同时相应减少，业务专项经费减少。2023年本部门预算支出240.22万元，其中一般公共预算拨款支出240.22万元、政府性基金拨款支出0.00万元、事业收入0.00万元、事业单位经营收入0.00万元、对附属单位上缴收入0.00万元、上年实户资金余额0.00万元、其他收入0.00万元、上年结转0.00万元，2023年本部门预算支出较上年减少128.86万元，主要原因是在职人员工资减少及各类配套预算同时相应减少，业务专项经费减少。</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财政拨款收入240.22万元，其中一般公共预算拨款收入240.22万元、政府性基金拨款收入0.00万元、上年结转0.00万元，2023年本部门财政拨款收入较上年减少128.86万元，主要原因是在职人员工资减少及各类配套预算同时相应减少，业务专项经费减少</w:t>
      </w:r>
      <w:r>
        <w:rPr>
          <w:rFonts w:hint="eastAsia" w:ascii="仿宋" w:hAnsi="仿宋" w:eastAsia="仿宋" w:cs="仿宋"/>
          <w:color w:val="000000" w:themeColor="text1"/>
          <w:sz w:val="32"/>
          <w:szCs w:val="32"/>
          <w14:textFill>
            <w14:solidFill>
              <w14:schemeClr w14:val="tx1"/>
            </w14:solidFill>
          </w14:textFill>
        </w:rPr>
        <w:t>；2023年本部门财政拨款支</w:t>
      </w:r>
      <w:r>
        <w:rPr>
          <w:rFonts w:hint="eastAsia" w:ascii="仿宋" w:hAnsi="仿宋" w:eastAsia="仿宋" w:cs="仿宋"/>
          <w:sz w:val="32"/>
          <w:szCs w:val="32"/>
        </w:rPr>
        <w:t>出240.22万元，其中一般公共预算拨款支出240.22万元、政府性基金拨款支出0万元、上年结转0万元，2023年本部门财政拨款收入较上年减少128.86万元，主要原因是在职人员工资减少及各类配套预算同时相应减少，业务专项经费减少。</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rPr>
        <w:t>1、</w:t>
      </w:r>
      <w:r>
        <w:rPr>
          <w:rFonts w:hint="eastAsia" w:ascii="仿宋" w:hAnsi="仿宋" w:eastAsia="仿宋" w:cs="仿宋"/>
          <w:sz w:val="32"/>
          <w:szCs w:val="32"/>
        </w:rPr>
        <w:t>一般公共预算</w:t>
      </w:r>
      <w:r>
        <w:rPr>
          <w:rFonts w:hint="eastAsia" w:ascii="仿宋" w:hAnsi="仿宋" w:eastAsia="仿宋" w:cs="仿宋"/>
          <w:color w:val="000000" w:themeColor="text1"/>
          <w:sz w:val="32"/>
          <w:szCs w:val="32"/>
          <w14:textFill>
            <w14:solidFill>
              <w14:schemeClr w14:val="tx1"/>
            </w14:solidFill>
          </w14:textFill>
        </w:rPr>
        <w:t>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2023年本部门当年一般公共预算拨款支出240.22万元，</w:t>
      </w:r>
      <w:r>
        <w:rPr>
          <w:rFonts w:hint="eastAsia" w:ascii="仿宋" w:hAnsi="仿宋" w:eastAsia="仿宋" w:cs="仿宋"/>
          <w:sz w:val="32"/>
          <w:szCs w:val="32"/>
        </w:rPr>
        <w:t>较上年减少128.86万元，主要原因是在职人员工资减少及各类配套预算同时相应减少，业务专项经费减少。</w:t>
      </w:r>
    </w:p>
    <w:p>
      <w:pPr>
        <w:spacing w:line="360" w:lineRule="auto"/>
        <w:ind w:firstLine="640"/>
        <w:rPr>
          <w:rFonts w:ascii="仿宋" w:hAnsi="仿宋" w:eastAsia="仿宋" w:cs="仿宋"/>
          <w:color w:val="000000" w:themeColor="text1"/>
          <w:sz w:val="32"/>
          <w:szCs w:val="32"/>
          <w:highlight w:val="red"/>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2、支出按功能科目分类的明细情况。</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2023年本部门当年一般公共预算支出240.22万元，其中：</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（1）干部教育（2050802）191.67万元，较上年减少88.34万元，原因是有人员变动及工资调整；</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（2）机关事业单位基本养老保险缴费（2080505）支出21.71万元，较上年减少16.08万元，原因是有人员变动及工资调整；</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（3）行政单位医疗（2101101）10.64万元，较上年减少8.28万元，原因是有人员变动及工资调整；</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（4）住房公积金支出（2210201）16.27万元，较上年减少13.5万元，原因是有人员变动及工资调整。</w:t>
      </w:r>
    </w:p>
    <w:p>
      <w:pPr>
        <w:spacing w:line="360" w:lineRule="auto"/>
        <w:ind w:firstLine="643"/>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支出按经济科目分类的明细情况。</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（1）按照部门预算支出经济分类的类级科目说明。</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2023年本部门当年一般公共预算支出240.22万元，其中：</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工资福利支出（301）195.41万元，较上年减少133.74万元，主要原因是在职人员工资变动及各类配套预算同时相应变动；</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商品和服务支出（302）15.15万元，较上年减少23.12万元，原因是在职人员变动，人员经费相应减少；</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对个人和家庭的补助支出（303）1.66万元，较上年增加（减少）0万元，原因是退休人员人数不变；</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（2）按照政府预算支出经济分类的类级科目说明。</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2023年本部门当年一般公共预算支出240.22万元，其</w:t>
      </w:r>
      <w:r>
        <w:rPr>
          <w:rFonts w:hint="eastAsia" w:ascii="仿宋" w:hAnsi="仿宋" w:eastAsia="仿宋" w:cs="仿宋"/>
          <w:color w:val="000000" w:themeColor="text1"/>
          <w:sz w:val="32"/>
          <w:szCs w:val="32"/>
          <w14:textFill>
            <w14:solidFill>
              <w14:schemeClr w14:val="tx1"/>
            </w14:solidFill>
          </w14:textFill>
        </w:rPr>
        <w:t>中：</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机关工资福利支出（501）195.41万元，较上年减少133.74万元，主要原因是在职人员工资变动及各类配套预算同时相应变动；</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机关商品和服务支出（502）15.15万元，较上年减少23.12万元，原因是在职人员变动，人员经费相应减少；</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对个人和家庭的补助支出（509）1.66万元，较上年增加（减少）0万元，原因是退休人员人数不变；</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本部门无2022年结转的一般公共预算拨款资金支出。</w:t>
      </w:r>
    </w:p>
    <w:p>
      <w:pPr>
        <w:numPr>
          <w:ilvl w:val="0"/>
          <w:numId w:val="1"/>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2"/>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2"/>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numPr>
          <w:ilvl w:val="0"/>
          <w:numId w:val="1"/>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spacing w:line="360" w:lineRule="auto"/>
        <w:ind w:firstLine="321" w:firstLineChars="1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rPr>
        <w:t xml:space="preserve"> </w:t>
      </w:r>
      <w:r>
        <w:rPr>
          <w:rFonts w:hint="eastAsia" w:ascii="仿宋" w:hAnsi="仿宋" w:eastAsia="仿宋" w:cs="仿宋"/>
          <w:color w:val="000000" w:themeColor="text1"/>
          <w:sz w:val="32"/>
          <w:szCs w:val="32"/>
          <w14:textFill>
            <w14:solidFill>
              <w14:schemeClr w14:val="tx1"/>
            </w14:solidFill>
          </w14:textFill>
        </w:rPr>
        <w:t>（1）2023年本部门当年一般公共预算“三公”经费预算支出0.81万元，较上年增加0.05万元（6%），减少的主要原因是接待批次及人次增加。其中：因公出国（境）经费0万元，较上年增加（减少）0万元（0%），增加（减少）的主要原因是单位无因公出国（境）；公务接待费0.81万元，较上年增加0.05万元（6%），减少的主要原因是接待批次及人次增加；公务用车运行费0万元，较上年增加（减少）0万元（0%），增加（减少）的主要原因是单位未配备公车；公务用车购置费0万元，较上年增加（减少）0万元（0%），增加（减少）的主要原因是单位未配备公车。</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2023年本部门当年会议费预算支出0万元，较上年增加（减少）0万元（0%），增加（减少）的主要原因是单位未有相关会议费支出。培训费0万元，较上年增加（减少）0万元（0%）。增加（减少）的主要原因是单位未有相关培训费支出。</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本部门无2022年结转的财政拨款‘三公’经费和会议费、培训费支出。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截止2022年底，本部门所属预算单位共有车辆0辆，单价</w:t>
      </w:r>
      <w:r>
        <w:rPr>
          <w:rFonts w:hint="eastAsia" w:ascii="仿宋" w:hAnsi="仿宋" w:eastAsia="仿宋" w:cs="仿宋"/>
          <w:sz w:val="32"/>
          <w:szCs w:val="32"/>
        </w:rPr>
        <w:t>20万元以上的设备0台（</w:t>
      </w:r>
      <w:r>
        <w:rPr>
          <w:rFonts w:hint="eastAsia" w:ascii="仿宋" w:hAnsi="仿宋" w:eastAsia="仿宋" w:cs="仿宋"/>
          <w:color w:val="000000" w:themeColor="text1"/>
          <w:sz w:val="32"/>
          <w:szCs w:val="32"/>
          <w14:textFill>
            <w14:solidFill>
              <w14:schemeClr w14:val="tx1"/>
            </w14:solidFill>
          </w14:textFill>
        </w:rPr>
        <w:t>套）。2023年当年部门预算安排购置车辆0辆；安排购置单价20万元以上的设备0台（套）。</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本部门无2022年结转的财政拨款支出资产购置。</w:t>
      </w:r>
    </w:p>
    <w:p>
      <w:pPr>
        <w:numPr>
          <w:ilvl w:val="0"/>
          <w:numId w:val="3"/>
        </w:numPr>
        <w:spacing w:line="360" w:lineRule="auto"/>
        <w:ind w:firstLine="643"/>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部门政府采购情况说明</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本部门2023年无政府采购预算，并已公开空表。</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本部门无2022年结转的政府采购资金支出。</w:t>
      </w:r>
    </w:p>
    <w:p>
      <w:pPr>
        <w:spacing w:line="360" w:lineRule="auto"/>
        <w:ind w:firstLine="643"/>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九、部门预算绩效目标说明</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2023年本部门绩效目标管理全覆盖，涉及当年一般公共预算拨款</w:t>
      </w:r>
      <w:r>
        <w:rPr>
          <w:rFonts w:hint="eastAsia" w:ascii="仿宋" w:hAnsi="仿宋" w:eastAsia="仿宋" w:cs="仿宋"/>
          <w:sz w:val="32"/>
          <w:szCs w:val="32"/>
        </w:rPr>
        <w:t>240.22</w:t>
      </w:r>
      <w:r>
        <w:rPr>
          <w:rFonts w:hint="eastAsia" w:ascii="仿宋" w:hAnsi="仿宋" w:eastAsia="仿宋" w:cs="仿宋"/>
          <w:color w:val="000000" w:themeColor="text1"/>
          <w:sz w:val="32"/>
          <w:szCs w:val="32"/>
          <w14:textFill>
            <w14:solidFill>
              <w14:schemeClr w14:val="tx1"/>
            </w14:solidFill>
          </w14:textFill>
        </w:rPr>
        <w:t>万元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当年政府性基金预算拨款0万元，当年国有资本经营预算拨款0万元（详见公开报表中的绩效目标表）。</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本部门无2022年结转的财政拨款支出涉及的绩效目标管理。</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2023年，本部门专项资金未纳入部门预算，并已公开空表</w:t>
      </w:r>
      <w:r>
        <w:rPr>
          <w:rFonts w:hint="eastAsia" w:ascii="仿宋" w:hAnsi="仿宋" w:eastAsia="仿宋" w:cs="仿宋"/>
          <w:color w:val="000000" w:themeColor="text1"/>
          <w:sz w:val="32"/>
          <w:szCs w:val="32"/>
          <w14:textFill>
            <w14:solidFill>
              <w14:schemeClr w14:val="tx1"/>
            </w14:solidFill>
          </w14:textFill>
        </w:rPr>
        <w:t>。</w:t>
      </w:r>
    </w:p>
    <w:p>
      <w:pPr>
        <w:spacing w:line="360" w:lineRule="auto"/>
        <w:ind w:firstLine="643"/>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十、机关运行经费安排说明</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本部门当年机关运行经费预算安排15.15万元，较上年增加1.88万元，主要原因是增加了延安精神研究会经费的预算。</w:t>
      </w:r>
    </w:p>
    <w:p>
      <w:pPr>
        <w:spacing w:line="360" w:lineRule="auto"/>
        <w:ind w:left="480" w:leftChars="200" w:firstLine="0" w:firstLineChars="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本部门无2022年结转的财政拨款机关运行费支出。</w:t>
      </w:r>
    </w:p>
    <w:p>
      <w:pPr>
        <w:spacing w:line="360" w:lineRule="auto"/>
        <w:ind w:left="480" w:leftChars="200" w:firstLine="0" w:firstLineChars="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十一、专业名词解释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1.机关运行经费：指各部门的公用经费，包括办公及印  刷费、邮电费、差旅费、会议费、福利费、日常维修费、专  用材料及一般设备购置费、办公用房水电费、办公用房取暖  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2.“三公”经费：是指用财政拨款安排的因公出国（境）  费、公务用车购置及运行费和公务</w:t>
      </w:r>
      <w:r>
        <w:rPr>
          <w:rFonts w:hint="eastAsia" w:ascii="仿宋" w:hAnsi="仿宋" w:eastAsia="仿宋" w:cs="仿宋"/>
          <w:sz w:val="32"/>
          <w:szCs w:val="32"/>
          <w:lang w:eastAsia="zh-CN"/>
        </w:rPr>
        <w:t>接待费</w:t>
      </w:r>
      <w:bookmarkStart w:id="0" w:name="_GoBack"/>
      <w:bookmarkEnd w:id="0"/>
      <w:r>
        <w:rPr>
          <w:rFonts w:hint="eastAsia" w:ascii="仿宋" w:hAnsi="仿宋" w:eastAsia="仿宋" w:cs="仿宋"/>
          <w:sz w:val="32"/>
          <w:szCs w:val="32"/>
        </w:rPr>
        <w:t xml:space="preserve">。其中，因公出  国（境）费反映单位公务出国（境）的国际旅费、国外城市  间交通费、住宿费、伙食费、培训费、公杂费等支出；公务用车购置及运行费反映单位公务用车车辆购置支出（含车  辆购 置税）及租用费、燃料费、维修费、过路过桥费、保险费、安全奖励费用等支出；公务接待费反映单位按规定开支的各类公务接待支出。 </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320" w:firstLineChars="100"/>
        <w:jc w:val="left"/>
        <w:rPr>
          <w:rFonts w:ascii="仿宋" w:hAnsi="仿宋" w:eastAsia="仿宋" w:cs="仿宋"/>
          <w:sz w:val="32"/>
          <w:szCs w:val="32"/>
        </w:rPr>
      </w:pPr>
      <w:r>
        <w:rPr>
          <w:rFonts w:hint="eastAsia" w:ascii="仿宋" w:hAnsi="仿宋" w:eastAsia="仿宋" w:cs="仿宋"/>
          <w:sz w:val="32"/>
          <w:szCs w:val="32"/>
        </w:rPr>
        <w:t>（详见附表）</w:t>
      </w:r>
    </w:p>
    <w:p>
      <w:pPr>
        <w:spacing w:line="360" w:lineRule="auto"/>
        <w:ind w:firstLine="640"/>
        <w:rPr>
          <w:rFonts w:ascii="仿宋" w:hAnsi="仿宋" w:eastAsia="仿宋" w:cs="仿宋"/>
          <w:sz w:val="32"/>
          <w:szCs w:val="32"/>
        </w:rPr>
      </w:pP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中共紫阳县委党校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2023年3月20日</w:t>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2">
    <w:nsid w:val="5D0214CA"/>
    <w:multiLevelType w:val="singleLevel"/>
    <w:tmpl w:val="5D0214CA"/>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0C0788"/>
    <w:rsid w:val="00314BBF"/>
    <w:rsid w:val="007337DC"/>
    <w:rsid w:val="00D70262"/>
    <w:rsid w:val="00FF23AC"/>
    <w:rsid w:val="01785C41"/>
    <w:rsid w:val="018F2D13"/>
    <w:rsid w:val="027A0C5D"/>
    <w:rsid w:val="02953D9A"/>
    <w:rsid w:val="030A1EEA"/>
    <w:rsid w:val="03791D26"/>
    <w:rsid w:val="03DD228B"/>
    <w:rsid w:val="0466605A"/>
    <w:rsid w:val="04F35073"/>
    <w:rsid w:val="05885FBE"/>
    <w:rsid w:val="061D2748"/>
    <w:rsid w:val="06D7231D"/>
    <w:rsid w:val="075D6C6A"/>
    <w:rsid w:val="0773304F"/>
    <w:rsid w:val="08551150"/>
    <w:rsid w:val="089D1D43"/>
    <w:rsid w:val="0A653AEA"/>
    <w:rsid w:val="0AAB1747"/>
    <w:rsid w:val="0B473936"/>
    <w:rsid w:val="0B507803"/>
    <w:rsid w:val="0B820553"/>
    <w:rsid w:val="0B8A1B09"/>
    <w:rsid w:val="0BA4107E"/>
    <w:rsid w:val="0C5010F8"/>
    <w:rsid w:val="0C805687"/>
    <w:rsid w:val="0D053BAB"/>
    <w:rsid w:val="0D594F94"/>
    <w:rsid w:val="0E1F698E"/>
    <w:rsid w:val="0FA9052D"/>
    <w:rsid w:val="10163FB4"/>
    <w:rsid w:val="10A536CA"/>
    <w:rsid w:val="119459AC"/>
    <w:rsid w:val="11AC5B6A"/>
    <w:rsid w:val="11B060CC"/>
    <w:rsid w:val="12B55B02"/>
    <w:rsid w:val="139B1E23"/>
    <w:rsid w:val="13DD192D"/>
    <w:rsid w:val="147F7E6C"/>
    <w:rsid w:val="14C85364"/>
    <w:rsid w:val="14FA613E"/>
    <w:rsid w:val="15053ED9"/>
    <w:rsid w:val="15365607"/>
    <w:rsid w:val="15BA67E3"/>
    <w:rsid w:val="15EB6487"/>
    <w:rsid w:val="164D2DC6"/>
    <w:rsid w:val="166918D6"/>
    <w:rsid w:val="176724C1"/>
    <w:rsid w:val="18AF7F70"/>
    <w:rsid w:val="1A431FF4"/>
    <w:rsid w:val="1A954A89"/>
    <w:rsid w:val="1AED483B"/>
    <w:rsid w:val="1B403FF2"/>
    <w:rsid w:val="1B746107"/>
    <w:rsid w:val="1C9A5F8F"/>
    <w:rsid w:val="1CD64124"/>
    <w:rsid w:val="1D815F92"/>
    <w:rsid w:val="1E0072C5"/>
    <w:rsid w:val="1E1E7AD2"/>
    <w:rsid w:val="1ED0381D"/>
    <w:rsid w:val="1ED940FC"/>
    <w:rsid w:val="200135D5"/>
    <w:rsid w:val="20FE50B8"/>
    <w:rsid w:val="210F400E"/>
    <w:rsid w:val="22164CA3"/>
    <w:rsid w:val="229A281A"/>
    <w:rsid w:val="2350072D"/>
    <w:rsid w:val="2383657E"/>
    <w:rsid w:val="23AE61B0"/>
    <w:rsid w:val="23E0654E"/>
    <w:rsid w:val="23F45765"/>
    <w:rsid w:val="242E73FF"/>
    <w:rsid w:val="246C5345"/>
    <w:rsid w:val="24AB40AF"/>
    <w:rsid w:val="24FC6952"/>
    <w:rsid w:val="26CC76FD"/>
    <w:rsid w:val="272308AF"/>
    <w:rsid w:val="28064C78"/>
    <w:rsid w:val="2864072E"/>
    <w:rsid w:val="28DA1D51"/>
    <w:rsid w:val="2A195793"/>
    <w:rsid w:val="2A3E38E1"/>
    <w:rsid w:val="2A6A13F0"/>
    <w:rsid w:val="2B6D2C0F"/>
    <w:rsid w:val="2BF2458F"/>
    <w:rsid w:val="2D730A5D"/>
    <w:rsid w:val="2E192C4A"/>
    <w:rsid w:val="2F3B562F"/>
    <w:rsid w:val="2FBE2834"/>
    <w:rsid w:val="2FC8494E"/>
    <w:rsid w:val="314B37FB"/>
    <w:rsid w:val="31B733F7"/>
    <w:rsid w:val="32487C35"/>
    <w:rsid w:val="344A6C98"/>
    <w:rsid w:val="355F31B6"/>
    <w:rsid w:val="357149EB"/>
    <w:rsid w:val="37703DED"/>
    <w:rsid w:val="385D1A98"/>
    <w:rsid w:val="38F70388"/>
    <w:rsid w:val="3A4434B4"/>
    <w:rsid w:val="3B055E9C"/>
    <w:rsid w:val="3D28036F"/>
    <w:rsid w:val="3D8407DF"/>
    <w:rsid w:val="3DF13996"/>
    <w:rsid w:val="3DFF32ED"/>
    <w:rsid w:val="3F17423F"/>
    <w:rsid w:val="3F503091"/>
    <w:rsid w:val="3FA97CBF"/>
    <w:rsid w:val="4008265B"/>
    <w:rsid w:val="41851E44"/>
    <w:rsid w:val="420B5D06"/>
    <w:rsid w:val="4248700C"/>
    <w:rsid w:val="43D178B7"/>
    <w:rsid w:val="43DF5C46"/>
    <w:rsid w:val="465670F7"/>
    <w:rsid w:val="471D22FA"/>
    <w:rsid w:val="472B48D8"/>
    <w:rsid w:val="473407E0"/>
    <w:rsid w:val="4741375D"/>
    <w:rsid w:val="47C702DF"/>
    <w:rsid w:val="48422B9F"/>
    <w:rsid w:val="488947B6"/>
    <w:rsid w:val="4A2551B1"/>
    <w:rsid w:val="4BEE3DD8"/>
    <w:rsid w:val="4CE53DA3"/>
    <w:rsid w:val="4ECE4353"/>
    <w:rsid w:val="4FB64197"/>
    <w:rsid w:val="50572E30"/>
    <w:rsid w:val="50600667"/>
    <w:rsid w:val="51AA26CF"/>
    <w:rsid w:val="51AA5E26"/>
    <w:rsid w:val="52324C02"/>
    <w:rsid w:val="52C93A96"/>
    <w:rsid w:val="531A3416"/>
    <w:rsid w:val="538C5F53"/>
    <w:rsid w:val="54474AB6"/>
    <w:rsid w:val="5582405A"/>
    <w:rsid w:val="56051C6B"/>
    <w:rsid w:val="563F4648"/>
    <w:rsid w:val="567C0D1F"/>
    <w:rsid w:val="56E01E73"/>
    <w:rsid w:val="57C07DEE"/>
    <w:rsid w:val="58FE3115"/>
    <w:rsid w:val="592D7B67"/>
    <w:rsid w:val="59D947AF"/>
    <w:rsid w:val="59F96CB8"/>
    <w:rsid w:val="5BD23E00"/>
    <w:rsid w:val="5BF47018"/>
    <w:rsid w:val="5C653576"/>
    <w:rsid w:val="5CB83FCD"/>
    <w:rsid w:val="5E5C14C1"/>
    <w:rsid w:val="5F635E4B"/>
    <w:rsid w:val="5F6D7A41"/>
    <w:rsid w:val="5FE11891"/>
    <w:rsid w:val="60404B5F"/>
    <w:rsid w:val="6045449E"/>
    <w:rsid w:val="6134696F"/>
    <w:rsid w:val="61582147"/>
    <w:rsid w:val="61BC42E5"/>
    <w:rsid w:val="61EE3D1B"/>
    <w:rsid w:val="62460F4D"/>
    <w:rsid w:val="62A365B5"/>
    <w:rsid w:val="63116D09"/>
    <w:rsid w:val="6466044C"/>
    <w:rsid w:val="65B7439B"/>
    <w:rsid w:val="66607F61"/>
    <w:rsid w:val="66EB7F73"/>
    <w:rsid w:val="67606C1C"/>
    <w:rsid w:val="676942F4"/>
    <w:rsid w:val="67AE18CD"/>
    <w:rsid w:val="68EA113C"/>
    <w:rsid w:val="699E67D8"/>
    <w:rsid w:val="69B23FEC"/>
    <w:rsid w:val="69E141D5"/>
    <w:rsid w:val="69F87A79"/>
    <w:rsid w:val="6C2F0039"/>
    <w:rsid w:val="6C540332"/>
    <w:rsid w:val="6DBE3A60"/>
    <w:rsid w:val="6E8A04A9"/>
    <w:rsid w:val="6F3075D5"/>
    <w:rsid w:val="6F5403ED"/>
    <w:rsid w:val="71A236EE"/>
    <w:rsid w:val="728A4680"/>
    <w:rsid w:val="73843559"/>
    <w:rsid w:val="75AC088F"/>
    <w:rsid w:val="75CB7F0D"/>
    <w:rsid w:val="76590D5F"/>
    <w:rsid w:val="76B32E72"/>
    <w:rsid w:val="77AD3FB4"/>
    <w:rsid w:val="781B6398"/>
    <w:rsid w:val="7839395D"/>
    <w:rsid w:val="788B613B"/>
    <w:rsid w:val="78935A62"/>
    <w:rsid w:val="78A21B08"/>
    <w:rsid w:val="78C53D9B"/>
    <w:rsid w:val="7920167B"/>
    <w:rsid w:val="7A3B21EC"/>
    <w:rsid w:val="7A3E4F09"/>
    <w:rsid w:val="7BF11232"/>
    <w:rsid w:val="7CE442E1"/>
    <w:rsid w:val="7CEE0D2E"/>
    <w:rsid w:val="7CF76871"/>
    <w:rsid w:val="7D626561"/>
    <w:rsid w:val="7D7B3FE7"/>
    <w:rsid w:val="7D7E7F72"/>
    <w:rsid w:val="7D804F3A"/>
    <w:rsid w:val="7E2B2CA4"/>
    <w:rsid w:val="7E791462"/>
    <w:rsid w:val="7E866C21"/>
    <w:rsid w:val="7EBB5E23"/>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Char"/>
    <w:basedOn w:val="1"/>
    <w:next w:val="1"/>
    <w:qFormat/>
    <w:uiPriority w:val="0"/>
    <w:rPr>
      <w:rFonts w:ascii="Tahoma" w:hAnsi="Tahoma" w:eastAsia="仿宋_GB2312"/>
      <w:sz w:val="32"/>
      <w:szCs w:val="20"/>
    </w:rPr>
  </w:style>
  <w:style w:type="paragraph" w:styleId="3">
    <w:name w:val="Body Text 3"/>
    <w:basedOn w:val="1"/>
    <w:qFormat/>
    <w:uiPriority w:val="0"/>
    <w:rPr>
      <w:rFonts w:ascii="Calibri" w:hAnsi="Calibri"/>
      <w:sz w:val="16"/>
      <w:szCs w:val="16"/>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页眉 字符"/>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Y:\&#21608;&#33395;\&#20826;&#26657;2022\2022&#39044;&#31639;&#21450;&#20844;&#24320;\2022&#36130;&#25919;&#23616;&#39044;&#31639;&#32534;&#21046;&#25991;&#20214;&#21450;&#34920;&#26684;&#21450;&#20844;&#24320;\2022&#39044;&#31639;&#20844;&#24320;\&#26609;&#29366;&#22270;&#21046;&#203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人员情况表</a:t>
            </a:r>
            <a:endParaRPr lang="zh-CN" altLang="en-US"/>
          </a:p>
        </c:rich>
      </c:tx>
      <c:layout/>
      <c:overlay val="0"/>
      <c:spPr>
        <a:noFill/>
        <a:ln>
          <a:noFill/>
        </a:ln>
        <a:effectLst/>
      </c:spPr>
    </c:title>
    <c:autoTitleDeleted val="0"/>
    <c:plotArea>
      <c:layout>
        <c:manualLayout>
          <c:layoutTarget val="inner"/>
          <c:xMode val="edge"/>
          <c:yMode val="edge"/>
          <c:x val="0.0638333333333333"/>
          <c:y val="0.173611111111111"/>
          <c:w val="0.907277777777778"/>
          <c:h val="0.607268518518518"/>
        </c:manualLayout>
      </c:layout>
      <c:barChart>
        <c:barDir val="col"/>
        <c:grouping val="clustered"/>
        <c:varyColors val="0"/>
        <c:ser>
          <c:idx val="0"/>
          <c:order val="0"/>
          <c:tx>
            <c:strRef>
              <c:f>[柱状图制作.xls]Sheet1!$A$2</c:f>
              <c:strCache>
                <c:ptCount val="1"/>
                <c:pt idx="0">
                  <c:v>编制人数</c:v>
                </c:pt>
              </c:strCache>
            </c:strRef>
          </c:tx>
          <c:spPr>
            <a:solidFill>
              <a:schemeClr val="accent1"/>
            </a:solidFill>
            <a:ln>
              <a:noFill/>
            </a:ln>
            <a:effectLst/>
          </c:spPr>
          <c:invertIfNegative val="0"/>
          <c:dLbls>
            <c:delete val="1"/>
          </c:dLbls>
          <c:cat>
            <c:strRef>
              <c:f>[柱状图制作.xls]Sheet1!$B$1:$D$1</c:f>
              <c:strCache>
                <c:ptCount val="3"/>
                <c:pt idx="0">
                  <c:v>总人数</c:v>
                </c:pt>
                <c:pt idx="1">
                  <c:v>行政</c:v>
                </c:pt>
                <c:pt idx="2">
                  <c:v>事业</c:v>
                </c:pt>
              </c:strCache>
            </c:strRef>
          </c:cat>
          <c:val>
            <c:numRef>
              <c:f>[柱状图制作.xls]Sheet1!$B$2:$D$2</c:f>
              <c:numCache>
                <c:formatCode>General</c:formatCode>
                <c:ptCount val="3"/>
                <c:pt idx="0">
                  <c:v>17</c:v>
                </c:pt>
                <c:pt idx="1">
                  <c:v>7</c:v>
                </c:pt>
                <c:pt idx="2">
                  <c:v>10</c:v>
                </c:pt>
              </c:numCache>
            </c:numRef>
          </c:val>
        </c:ser>
        <c:ser>
          <c:idx val="1"/>
          <c:order val="1"/>
          <c:tx>
            <c:strRef>
              <c:f>[柱状图制作.xls]Sheet1!$A$3</c:f>
              <c:strCache>
                <c:ptCount val="1"/>
                <c:pt idx="0">
                  <c:v>实有人数</c:v>
                </c:pt>
              </c:strCache>
            </c:strRef>
          </c:tx>
          <c:spPr>
            <a:solidFill>
              <a:schemeClr val="accent2"/>
            </a:solidFill>
            <a:ln>
              <a:noFill/>
            </a:ln>
            <a:effectLst/>
          </c:spPr>
          <c:invertIfNegative val="0"/>
          <c:dLbls>
            <c:delete val="1"/>
          </c:dLbls>
          <c:cat>
            <c:strRef>
              <c:f>[柱状图制作.xls]Sheet1!$B$1:$D$1</c:f>
              <c:strCache>
                <c:ptCount val="3"/>
                <c:pt idx="0">
                  <c:v>总人数</c:v>
                </c:pt>
                <c:pt idx="1">
                  <c:v>行政</c:v>
                </c:pt>
                <c:pt idx="2">
                  <c:v>事业</c:v>
                </c:pt>
              </c:strCache>
            </c:strRef>
          </c:cat>
          <c:val>
            <c:numRef>
              <c:f>[柱状图制作.xls]Sheet1!$B$3:$D$3</c:f>
              <c:numCache>
                <c:formatCode>General</c:formatCode>
                <c:ptCount val="3"/>
                <c:pt idx="0">
                  <c:v>15</c:v>
                </c:pt>
                <c:pt idx="1">
                  <c:v>7</c:v>
                </c:pt>
                <c:pt idx="2">
                  <c:v>8</c:v>
                </c:pt>
              </c:numCache>
            </c:numRef>
          </c:val>
        </c:ser>
        <c:dLbls>
          <c:showLegendKey val="0"/>
          <c:showVal val="0"/>
          <c:showCatName val="0"/>
          <c:showSerName val="0"/>
          <c:showPercent val="0"/>
          <c:showBubbleSize val="0"/>
        </c:dLbls>
        <c:gapWidth val="219"/>
        <c:overlap val="-27"/>
        <c:axId val="44964391"/>
        <c:axId val="715495034"/>
      </c:barChart>
      <c:catAx>
        <c:axId val="449643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5495034"/>
        <c:crosses val="autoZero"/>
        <c:auto val="1"/>
        <c:lblAlgn val="ctr"/>
        <c:lblOffset val="100"/>
        <c:noMultiLvlLbl val="0"/>
      </c:catAx>
      <c:valAx>
        <c:axId val="71549503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9643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6568</Words>
  <Characters>6971</Characters>
  <Lines>51</Lines>
  <Paragraphs>14</Paragraphs>
  <TotalTime>10</TotalTime>
  <ScaleCrop>false</ScaleCrop>
  <LinksUpToDate>false</LinksUpToDate>
  <CharactersWithSpaces>7077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2023-05-04T03:29:36Z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