
<file path=[Content_Types].xml><?xml version="1.0" encoding="utf-8"?>
<Types xmlns="http://schemas.openxmlformats.org/package/2006/content-types">
  <Default Extension="xlsx" ContentType="application/vnd.openxmlformats-officedocument.spreadsheetml.sheet"/>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紫阳县工商业联合会</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2023年部门综合预算</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一、部门主要职责及机构设置</w:t>
      </w:r>
    </w:p>
    <w:p>
      <w:pPr>
        <w:spacing w:line="560" w:lineRule="exact"/>
        <w:ind w:firstLine="640"/>
        <w:rPr>
          <w:rFonts w:ascii="仿宋" w:hAnsi="仿宋" w:eastAsia="仿宋" w:cs="仿宋"/>
          <w:b/>
          <w:bCs/>
          <w:sz w:val="32"/>
          <w:szCs w:val="32"/>
        </w:rPr>
      </w:pPr>
      <w:r>
        <w:rPr>
          <w:rFonts w:hint="eastAsia" w:ascii="仿宋" w:hAnsi="仿宋" w:eastAsia="仿宋" w:cs="仿宋"/>
          <w:sz w:val="32"/>
          <w:szCs w:val="32"/>
        </w:rPr>
        <w:t>根据《中国工商业联合会章程》和《中共安康市委办公室、安康市人民政府办公室关于印发</w:t>
      </w:r>
      <w:r>
        <w:rPr>
          <w:rFonts w:hint="eastAsia" w:ascii="仿宋" w:hAnsi="仿宋" w:eastAsia="仿宋" w:cs="仿宋"/>
          <w:sz w:val="32"/>
          <w:szCs w:val="32"/>
          <w:lang w:eastAsia="zh-CN"/>
        </w:rPr>
        <w:t>〈</w:t>
      </w:r>
      <w:r>
        <w:rPr>
          <w:rFonts w:hint="eastAsia" w:ascii="仿宋" w:hAnsi="仿宋" w:eastAsia="仿宋" w:cs="仿宋"/>
          <w:sz w:val="32"/>
          <w:szCs w:val="32"/>
        </w:rPr>
        <w:t>紫阳机构改革方案</w:t>
      </w:r>
      <w:r>
        <w:rPr>
          <w:rFonts w:hint="eastAsia" w:ascii="仿宋" w:hAnsi="仿宋" w:eastAsia="仿宋" w:cs="仿宋"/>
          <w:sz w:val="32"/>
          <w:szCs w:val="32"/>
          <w:lang w:eastAsia="zh-CN"/>
        </w:rPr>
        <w:t>〉</w:t>
      </w:r>
      <w:r>
        <w:rPr>
          <w:rFonts w:hint="eastAsia" w:ascii="仿宋" w:hAnsi="仿宋" w:eastAsia="仿宋" w:cs="仿宋"/>
          <w:sz w:val="32"/>
          <w:szCs w:val="32"/>
        </w:rPr>
        <w:t>的通知》（安办字〔2019〕13号），紫阳县工商业联合会机关是县委领导的以非公有制企业和非公有制经济人士为主体的人民团体组织，为正科级。</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bCs/>
          <w:sz w:val="32"/>
          <w:szCs w:val="32"/>
        </w:rPr>
        <w:t>（一）部门主要职责</w:t>
      </w:r>
    </w:p>
    <w:p>
      <w:pPr>
        <w:spacing w:before="1" w:line="227" w:lineRule="auto"/>
        <w:ind w:firstLine="640"/>
        <w:rPr>
          <w:rFonts w:ascii="仿宋" w:hAnsi="仿宋" w:eastAsia="仿宋" w:cs="仿宋"/>
          <w:b/>
          <w:bCs/>
          <w:sz w:val="32"/>
          <w:szCs w:val="32"/>
        </w:rPr>
      </w:pPr>
      <w:r>
        <w:rPr>
          <w:rFonts w:hint="eastAsia" w:ascii="仿宋" w:hAnsi="仿宋" w:eastAsia="仿宋" w:cs="仿宋"/>
          <w:sz w:val="32"/>
          <w:szCs w:val="32"/>
        </w:rPr>
        <w:t>1.加强和改进非公有制经济人士思想政治工作。引导非公有制经济人士学习贯彻党的路线方针政策，遵守国家法律法规，培养其拥护党的领导、走中国特色社会主义道路，引导会员践行社会主义核心价值体系，提倡爱国、敬业、创新、诚信、守法、贡献，争当优秀中国特色社会主义事业建设者。组织和引导会员参与光彩事业、扶贫济困、捐资助学、扶贫攻坚及其他社会公益事业，自觉履行社会责任。</w:t>
      </w:r>
      <w:r>
        <w:rPr>
          <w:rFonts w:hint="eastAsia" w:ascii="仿宋" w:hAnsi="仿宋" w:eastAsia="仿宋" w:cs="仿宋"/>
          <w:sz w:val="32"/>
          <w:szCs w:val="32"/>
        </w:rPr>
        <w:br w:type="textWrapping"/>
      </w:r>
      <w:r>
        <w:rPr>
          <w:rFonts w:hint="eastAsia" w:ascii="仿宋" w:hAnsi="仿宋" w:eastAsia="仿宋" w:cs="仿宋"/>
          <w:sz w:val="32"/>
          <w:szCs w:val="32"/>
        </w:rPr>
        <w:t xml:space="preserve">    2.参与全县政治、经济、社会等重大决策的协商，发挥民主监督作用。反映非公经济人士意愿和要求，参与有关法规、政策的制定和贯彻执行。做好有关代表人士政治安排的推荐工作。</w:t>
      </w:r>
      <w:r>
        <w:rPr>
          <w:rFonts w:hint="eastAsia" w:ascii="仿宋" w:hAnsi="仿宋" w:eastAsia="仿宋" w:cs="仿宋"/>
          <w:sz w:val="32"/>
          <w:szCs w:val="32"/>
        </w:rPr>
        <w:br w:type="textWrapping"/>
      </w:r>
      <w:r>
        <w:rPr>
          <w:rFonts w:hint="eastAsia" w:ascii="仿宋" w:hAnsi="仿宋" w:eastAsia="仿宋" w:cs="仿宋"/>
          <w:sz w:val="32"/>
          <w:szCs w:val="32"/>
        </w:rPr>
        <w:t xml:space="preserve">    3.协助县政府做好非公有制经济管理和服务工作，为在紫非公有制企业提供信息、法律、融资、技术、人才等方面的服务，推进结构调整和自主创新，加快企业发展方式转变和产业优化升级。</w:t>
      </w:r>
      <w:r>
        <w:rPr>
          <w:rFonts w:hint="eastAsia" w:ascii="仿宋" w:hAnsi="仿宋" w:eastAsia="仿宋" w:cs="仿宋"/>
          <w:sz w:val="32"/>
          <w:szCs w:val="32"/>
        </w:rPr>
        <w:br w:type="textWrapping"/>
      </w:r>
      <w:r>
        <w:rPr>
          <w:rFonts w:hint="eastAsia" w:ascii="仿宋" w:hAnsi="仿宋" w:eastAsia="仿宋" w:cs="仿宋"/>
          <w:sz w:val="32"/>
          <w:szCs w:val="32"/>
        </w:rPr>
        <w:t xml:space="preserve">    4.促进行业协会商会改革发展，履行社会团体业务主管单位职责，指导和推动商会组织完善法人治理结构、规范内部管理、依照法律和章程开展活动，发挥宣传政策、提供服务、反映诉求、维护权益、加强自律的作用。</w:t>
      </w:r>
      <w:r>
        <w:rPr>
          <w:rFonts w:hint="eastAsia" w:ascii="仿宋" w:hAnsi="仿宋" w:eastAsia="仿宋" w:cs="仿宋"/>
          <w:sz w:val="32"/>
          <w:szCs w:val="32"/>
        </w:rPr>
        <w:br w:type="textWrapping"/>
      </w:r>
      <w:r>
        <w:rPr>
          <w:rFonts w:hint="eastAsia" w:ascii="仿宋" w:hAnsi="仿宋" w:eastAsia="仿宋" w:cs="仿宋"/>
          <w:sz w:val="32"/>
          <w:szCs w:val="32"/>
        </w:rPr>
        <w:t xml:space="preserve">    5.协调处理投资者利益和劳动者权益的关系，引导在紫非公有制企业积极创造就业岗位，严格遵守国家相关法律和政策措施，尊重和维护员工合法权益，依法建立工会组织，开展工会活动。</w:t>
      </w:r>
      <w:r>
        <w:rPr>
          <w:rFonts w:hint="eastAsia" w:ascii="仿宋" w:hAnsi="仿宋" w:eastAsia="仿宋" w:cs="仿宋"/>
          <w:sz w:val="32"/>
          <w:szCs w:val="32"/>
        </w:rPr>
        <w:br w:type="textWrapping"/>
      </w:r>
      <w:r>
        <w:rPr>
          <w:rFonts w:hint="eastAsia" w:ascii="仿宋" w:hAnsi="仿宋" w:eastAsia="仿宋" w:cs="仿宋"/>
          <w:sz w:val="32"/>
          <w:szCs w:val="32"/>
        </w:rPr>
        <w:t xml:space="preserve">    6.引导非公有制企业和非公有制经济人士依法诚信经营；开展法律咨询服务，维护会员合法权益。参与经济纠纷的调解、仲裁。反映会员的意愿和要求，营造有利于非公有制经济健康发展和非公有制经济人士健康成长的良好社会氛围。</w:t>
      </w:r>
      <w:r>
        <w:rPr>
          <w:rFonts w:hint="eastAsia" w:ascii="仿宋" w:hAnsi="仿宋" w:eastAsia="仿宋" w:cs="仿宋"/>
          <w:sz w:val="32"/>
          <w:szCs w:val="32"/>
        </w:rPr>
        <w:br w:type="textWrapping"/>
      </w:r>
      <w:r>
        <w:rPr>
          <w:rFonts w:hint="eastAsia" w:ascii="仿宋" w:hAnsi="仿宋" w:eastAsia="仿宋" w:cs="仿宋"/>
          <w:sz w:val="32"/>
          <w:szCs w:val="32"/>
        </w:rPr>
        <w:t xml:space="preserve">    7.组织会员举办和参加各种对内对外展销会、合作交流会，组织会员出国（境）考察访问，帮助会员开拓国内国际市场。</w:t>
      </w:r>
      <w:r>
        <w:rPr>
          <w:rFonts w:hint="eastAsia" w:ascii="仿宋" w:hAnsi="仿宋" w:eastAsia="仿宋" w:cs="仿宋"/>
          <w:sz w:val="32"/>
          <w:szCs w:val="32"/>
        </w:rPr>
        <w:br w:type="textWrapping"/>
      </w:r>
      <w:r>
        <w:rPr>
          <w:rFonts w:hint="eastAsia" w:ascii="仿宋" w:hAnsi="仿宋" w:eastAsia="仿宋" w:cs="仿宋"/>
          <w:sz w:val="32"/>
          <w:szCs w:val="32"/>
        </w:rPr>
        <w:t xml:space="preserve">    8.开展民间外交，增进与港澳台地区和世界各国工商联社团及工商界人士的交流合作，为非公有制企业开展国内国外合作提供服务。</w:t>
      </w:r>
      <w:r>
        <w:rPr>
          <w:rFonts w:hint="eastAsia" w:ascii="仿宋" w:hAnsi="仿宋" w:eastAsia="仿宋" w:cs="仿宋"/>
          <w:sz w:val="32"/>
          <w:szCs w:val="32"/>
        </w:rPr>
        <w:br w:type="textWrapping"/>
      </w:r>
      <w:r>
        <w:rPr>
          <w:rFonts w:hint="eastAsia" w:ascii="仿宋" w:hAnsi="仿宋" w:eastAsia="仿宋" w:cs="仿宋"/>
          <w:sz w:val="32"/>
          <w:szCs w:val="32"/>
        </w:rPr>
        <w:t xml:space="preserve">    9.按照同级党委安排参与非公有制企业党建工作，引导非公有制经济人士支持企业党建工作、在企业建立工会等群团组织，并为其开展活动、发挥作用提供必要条件，加强企业文化建设。</w:t>
      </w:r>
      <w:r>
        <w:rPr>
          <w:rFonts w:hint="eastAsia" w:ascii="仿宋" w:hAnsi="仿宋" w:eastAsia="仿宋" w:cs="仿宋"/>
          <w:sz w:val="32"/>
          <w:szCs w:val="32"/>
        </w:rPr>
        <w:br w:type="textWrapping"/>
      </w:r>
      <w:r>
        <w:rPr>
          <w:rFonts w:hint="eastAsia" w:ascii="仿宋" w:hAnsi="仿宋" w:eastAsia="仿宋" w:cs="仿宋"/>
          <w:sz w:val="32"/>
          <w:szCs w:val="32"/>
        </w:rPr>
        <w:t xml:space="preserve">    10.承办县委、县政府和市工商联交办的其他任务。</w:t>
      </w:r>
      <w:r>
        <w:rPr>
          <w:rFonts w:hint="eastAsia" w:ascii="仿宋" w:hAnsi="仿宋" w:eastAsia="仿宋" w:cs="仿宋"/>
          <w:sz w:val="32"/>
          <w:szCs w:val="32"/>
        </w:rPr>
        <w:br w:type="textWrapping"/>
      </w:r>
      <w:r>
        <w:rPr>
          <w:rFonts w:hint="eastAsia" w:ascii="仿宋" w:hAnsi="仿宋" w:eastAsia="仿宋" w:cs="仿宋"/>
          <w:sz w:val="32"/>
          <w:szCs w:val="32"/>
        </w:rPr>
        <w:t xml:space="preserve">   </w:t>
      </w:r>
      <w:r>
        <w:rPr>
          <w:rFonts w:hint="eastAsia" w:ascii="仿宋" w:hAnsi="仿宋" w:eastAsia="仿宋" w:cs="仿宋"/>
          <w:b/>
          <w:bCs/>
          <w:sz w:val="32"/>
          <w:szCs w:val="32"/>
        </w:rPr>
        <w:t>（二）机构设置</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紫阳县工商业联合会机关核定参公事业编制5名。设主席1名，副主席2名（其中1名副主席兼秘书长）。无内设机构。</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spacing w:line="560" w:lineRule="exact"/>
        <w:ind w:firstLine="643"/>
        <w:rPr>
          <w:rFonts w:ascii="仿宋_GB2312" w:hAnsi="仿宋_GB2312" w:eastAsia="仿宋_GB2312" w:cs="仿宋_GB2312"/>
          <w:sz w:val="32"/>
          <w:szCs w:val="32"/>
        </w:rPr>
      </w:pPr>
      <w:r>
        <w:rPr>
          <w:rFonts w:hint="eastAsia" w:ascii="仿宋" w:hAnsi="仿宋" w:eastAsia="仿宋" w:cs="仿宋"/>
          <w:b/>
          <w:bCs/>
          <w:snapToGrid w:val="0"/>
          <w:kern w:val="0"/>
          <w:sz w:val="32"/>
          <w:szCs w:val="32"/>
          <w:lang w:eastAsia="zh-CN"/>
        </w:rPr>
        <w:t>（</w:t>
      </w:r>
      <w:r>
        <w:rPr>
          <w:rFonts w:ascii="仿宋" w:hAnsi="仿宋" w:eastAsia="仿宋" w:cs="仿宋"/>
          <w:b/>
          <w:bCs/>
          <w:snapToGrid w:val="0"/>
          <w:kern w:val="0"/>
          <w:sz w:val="32"/>
          <w:szCs w:val="32"/>
        </w:rPr>
        <w:t>一</w:t>
      </w:r>
      <w:r>
        <w:rPr>
          <w:rFonts w:hint="eastAsia" w:ascii="仿宋" w:hAnsi="仿宋" w:eastAsia="仿宋" w:cs="仿宋"/>
          <w:b/>
          <w:bCs/>
          <w:snapToGrid w:val="0"/>
          <w:kern w:val="0"/>
          <w:sz w:val="32"/>
          <w:szCs w:val="32"/>
          <w:lang w:eastAsia="zh-CN"/>
        </w:rPr>
        <w:t>）</w:t>
      </w:r>
      <w:r>
        <w:rPr>
          <w:rFonts w:ascii="仿宋" w:hAnsi="仿宋" w:eastAsia="仿宋" w:cs="仿宋"/>
          <w:b/>
          <w:bCs/>
          <w:snapToGrid w:val="0"/>
          <w:kern w:val="0"/>
          <w:sz w:val="32"/>
          <w:szCs w:val="32"/>
        </w:rPr>
        <w:t>加强政治引领</w:t>
      </w:r>
      <w:r>
        <w:rPr>
          <w:rFonts w:hint="eastAsia" w:ascii="仿宋" w:hAnsi="仿宋" w:eastAsia="仿宋" w:cs="仿宋"/>
          <w:b/>
          <w:bCs/>
          <w:snapToGrid w:val="0"/>
          <w:kern w:val="0"/>
          <w:sz w:val="32"/>
          <w:szCs w:val="32"/>
          <w:lang w:eastAsia="zh-CN"/>
        </w:rPr>
        <w:t>，</w:t>
      </w:r>
      <w:r>
        <w:rPr>
          <w:rFonts w:ascii="仿宋" w:hAnsi="仿宋" w:eastAsia="仿宋" w:cs="仿宋"/>
          <w:b/>
          <w:bCs/>
          <w:snapToGrid w:val="0"/>
          <w:kern w:val="0"/>
          <w:sz w:val="32"/>
          <w:szCs w:val="32"/>
        </w:rPr>
        <w:t>引导非公经济人士健康成长</w:t>
      </w:r>
      <w:r>
        <w:rPr>
          <w:rFonts w:hint="eastAsia" w:ascii="仿宋" w:hAnsi="仿宋" w:eastAsia="仿宋" w:cs="仿宋"/>
          <w:b/>
          <w:bCs/>
          <w:snapToGrid w:val="0"/>
          <w:kern w:val="0"/>
          <w:sz w:val="32"/>
          <w:szCs w:val="32"/>
        </w:rPr>
        <w:t>。</w:t>
      </w: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开展理想信念教育。采取邀请专家对非公有制经济人士进行专题辅导和组织民营企业人士瞻仰革命遗址、参观红色教育基地等方式，学习贯彻党和国家的方针政策，继承和发扬听党话、跟党走的光荣传统，自觉践行社会主义核心价值观，增强“四信”教育，在全面建设社会主义现代化强国的新征程上贡献智慧和力量；</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引导非公有制经济人士自觉投身光彩事业、“万企兴万村”行动和其他社会公益慈善事业，积极履行社会责任；</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引导非公有制经济人士支持参与非公有制企业党建工作，确保发挥作用；</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加强对企业家人才培养。建立民营经济代表人士数据库和人才库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启动对民营经济代表人士的综合评价工作，组织开展轮值活动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为企业家成长搭建各类平台创造良好的条件；</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积极参政议政。组织好担任人大代表、政协委员的非公经济人士和工商联执委积极向党委和政府提出相关意见和建议，提高议政建言水平。</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创新经济服务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助推非公经济健康发展。一是</w:t>
      </w:r>
      <w:r>
        <w:rPr>
          <w:rFonts w:hint="eastAsia" w:ascii="仿宋_GB2312" w:hAnsi="仿宋_GB2312" w:eastAsia="仿宋_GB2312" w:cs="仿宋_GB2312"/>
          <w:sz w:val="32"/>
          <w:szCs w:val="32"/>
        </w:rPr>
        <w:t>继续加强经贸交流合作。筹建1至2个异地商会，推动“归雁经济”和“以商招商”工作取得实效。同时成立1至2个本土行业商协会，帮助本地企业扩大对外宣传、提升知名度，打造工商联民间经贸交流的靓丽品牌；</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贯彻落实《紫阳县支持和鼓励民营经济高质量发展的实施意见》。加强与财政、金融、市场监管、税务等职能部门的沟通联系，确保减税降费、减租降息、融资难融资贵等一系列保护支持惠企政策落实到位；加强与检察、司法等职能部门的沟通联系，进一步畅通民营企业法律诉求反映渠道，切实维护好民营企业的合法权益。主动与组织部、人社局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开展各类人才招聘活动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努力解决好招人难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用人难、留人难问题；</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优化提升营商环境。贯彻落实《优化营商环境条例》，持续开展“走基层、进企业、听呼声、办实事”活动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促使调研报告转化为惠企成果；</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引导会员参政议政、建言献策。以政协工商联界别委员为主体，组织反映社情民意、撰写建议提案，全力为民营企业发展创造良好环境；</w:t>
      </w:r>
      <w:r>
        <w:rPr>
          <w:rFonts w:hint="eastAsia" w:ascii="仿宋_GB2312" w:hAnsi="仿宋_GB2312" w:eastAsia="仿宋_GB2312" w:cs="仿宋_GB2312"/>
          <w:b/>
          <w:bCs/>
          <w:sz w:val="32"/>
          <w:szCs w:val="32"/>
        </w:rPr>
        <w:t>五是</w:t>
      </w:r>
      <w:r>
        <w:rPr>
          <w:rFonts w:hint="eastAsia" w:ascii="仿宋_GB2312" w:hAnsi="仿宋_GB2312" w:eastAsia="仿宋_GB2312" w:cs="仿宋_GB2312"/>
          <w:sz w:val="32"/>
          <w:szCs w:val="32"/>
        </w:rPr>
        <w:t>强化宣传引导。继续利用好微信公众号等新媒体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扩大县工商联影响力和推送服务民营企业各类信息。</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三</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深化商会改革</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不断夯实基层组织发展基础。一是</w:t>
      </w:r>
      <w:r>
        <w:rPr>
          <w:rFonts w:hint="eastAsia" w:ascii="仿宋_GB2312" w:hAnsi="仿宋_GB2312" w:eastAsia="仿宋_GB2312" w:cs="仿宋_GB2312"/>
          <w:sz w:val="32"/>
          <w:szCs w:val="32"/>
        </w:rPr>
        <w:t>狠抓改革措施落地。贯彻落实《安康市促进商会改革和发展若干措施》运行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逐步理顺商会管理体制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加强商会党建工作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逐步解决基层商会的办公用房、工作人员聘用等重点难点问题；</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狠抓队伍发展壮大。完善更新工商联执委数据信息库及新增会员录入数据库，推动会员数据入库工作；加强走访联络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推动成立重点行业、重点领域的商协会加入工商联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与异地商会建立紧密的联系机制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不断壮大工商联会员队伍；</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狠抓商会质量提升。以“四好”商会建设为标准，完成省、市级“四好”商协会创建工作，全年达标1个市级“四好”商会，计划达标1个省级“四好”商会；</w:t>
      </w:r>
      <w:r>
        <w:rPr>
          <w:rFonts w:hint="eastAsia" w:ascii="仿宋_GB2312" w:hAnsi="仿宋_GB2312" w:eastAsia="仿宋_GB2312" w:cs="仿宋_GB2312"/>
          <w:b/>
          <w:bCs/>
          <w:sz w:val="32"/>
          <w:szCs w:val="32"/>
        </w:rPr>
        <w:t>四是</w:t>
      </w:r>
      <w:r>
        <w:rPr>
          <w:rFonts w:hint="eastAsia" w:ascii="仿宋_GB2312" w:hAnsi="仿宋_GB2312" w:eastAsia="仿宋_GB2312" w:cs="仿宋_GB2312"/>
          <w:sz w:val="32"/>
          <w:szCs w:val="32"/>
        </w:rPr>
        <w:t>狠抓商会作用发挥。加强对所属商协会的服务和管理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增补基层商会组织人员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引导参与工商联重点工作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为商会发挥作用搭建平台。</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（四）服务全县大局，接续助力乡村振兴。一是</w:t>
      </w:r>
      <w:r>
        <w:rPr>
          <w:rFonts w:hint="eastAsia" w:ascii="仿宋_GB2312" w:hAnsi="仿宋_GB2312" w:eastAsia="仿宋_GB2312" w:cs="仿宋_GB2312"/>
          <w:sz w:val="32"/>
          <w:szCs w:val="32"/>
        </w:rPr>
        <w:t>持续深入推进“万企兴万村”行动取得实效。选育一批优势企业、重点村、示范项目，给予重点联系和指导，将其培育成“万企兴万村”示范项目，树立标杆、打造样板、总结经验，并通过学习观摩、专题宣传等方式对外推介，供全县帮扶企业学习借鉴。同时，</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乡村产业带头人、民营企业负责人赴经济发达地区考察、学习、借鉴乡村发展经验，邀请沿海民营企业到县内示范村考察调研，推介特色乡村项目，吸引对口协作区域民营企业投资项目，推动实现多元合作共赢；</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扎实开展包村工作。认真落实“四个不摘”，坚守不发生规模性返贫底线；</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全力配合完成县委交办的其他工作任务。</w:t>
      </w:r>
    </w:p>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纳入本部门2023年部门预算编制范围的二级预算单位共有1个，包括：</w:t>
      </w:r>
    </w:p>
    <w:tbl>
      <w:tblPr>
        <w:tblStyle w:val="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098"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紫阳县工商业联合会）</w:t>
            </w:r>
          </w:p>
        </w:tc>
        <w:tc>
          <w:tcPr>
            <w:tcW w:w="2087" w:type="dxa"/>
          </w:tcPr>
          <w:p>
            <w:pPr>
              <w:spacing w:line="360" w:lineRule="auto"/>
              <w:ind w:firstLine="0" w:firstLineChars="0"/>
              <w:rPr>
                <w:rFonts w:ascii="仿宋" w:hAnsi="仿宋" w:eastAsia="仿宋" w:cs="仿宋"/>
                <w:sz w:val="32"/>
                <w:szCs w:val="32"/>
              </w:rPr>
            </w:pPr>
          </w:p>
        </w:tc>
      </w:tr>
    </w:tbl>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四、部门人员情况说明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截止2022年底，本部门人员编制5人，其中行政编制5人、事业编制0人；实有人员3人，其中行政3人、事业0人。单位管理的离退休人员4人。</w:t>
      </w:r>
    </w:p>
    <w:p>
      <w:pPr>
        <w:spacing w:line="360" w:lineRule="auto"/>
        <w:ind w:firstLine="480"/>
        <w:jc w:val="center"/>
      </w:pPr>
    </w:p>
    <w:p>
      <w:pPr>
        <w:spacing w:line="360" w:lineRule="auto"/>
        <w:ind w:firstLine="480"/>
        <w:jc w:val="center"/>
      </w:pPr>
      <w:r>
        <w:rPr>
          <w:rFonts w:hint="eastAsia"/>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2023年本部门预算收入54.17万元，其中一般公共预算拨款收入54.17万元、政府性基金拨款收入0万元，2023年本部门预算收入较上年减少4.97万元，主要原因是调离1</w:t>
      </w:r>
      <w:r>
        <w:rPr>
          <w:rFonts w:ascii="仿宋" w:hAnsi="仿宋" w:eastAsia="仿宋" w:cs="仿宋"/>
          <w:spacing w:val="-5"/>
          <w:sz w:val="30"/>
          <w:szCs w:val="30"/>
        </w:rPr>
        <w:t>人，人员经费减少</w:t>
      </w:r>
      <w:r>
        <w:rPr>
          <w:rFonts w:hint="eastAsia" w:ascii="仿宋" w:hAnsi="仿宋" w:eastAsia="仿宋" w:cs="仿宋"/>
          <w:sz w:val="32"/>
          <w:szCs w:val="32"/>
        </w:rPr>
        <w:t>；2023年本部门预算支出54.17万元，其中一般公共预算拨款支出54.17万元、政府性基金拨款支出0万元，2023年本部门预算支出较上年减少4.97万元，主要原因是调离1</w:t>
      </w:r>
      <w:r>
        <w:rPr>
          <w:rFonts w:ascii="仿宋" w:hAnsi="仿宋" w:eastAsia="仿宋" w:cs="仿宋"/>
          <w:spacing w:val="-5"/>
          <w:sz w:val="30"/>
          <w:szCs w:val="30"/>
        </w:rPr>
        <w:t>人，人员经费减少</w:t>
      </w:r>
      <w:r>
        <w:rPr>
          <w:rFonts w:hint="eastAsia" w:ascii="仿宋" w:hAnsi="仿宋" w:eastAsia="仿宋" w:cs="仿宋"/>
          <w:spacing w:val="-5"/>
          <w:sz w:val="30"/>
          <w:szCs w:val="30"/>
        </w:rPr>
        <w:t>。</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2023年本部门财政拨款收入54.17万元，其中一般公共预算拨款收入54.17万元、政府性基金拨款收入0万元，2023年本部门财政拨款收入较上年减少4.97万元，主要原因是调离1</w:t>
      </w:r>
      <w:r>
        <w:rPr>
          <w:rFonts w:ascii="仿宋" w:hAnsi="仿宋" w:eastAsia="仿宋" w:cs="仿宋"/>
          <w:spacing w:val="-5"/>
          <w:sz w:val="30"/>
          <w:szCs w:val="30"/>
        </w:rPr>
        <w:t>人，人员经费减少</w:t>
      </w:r>
      <w:r>
        <w:rPr>
          <w:rFonts w:hint="eastAsia" w:ascii="仿宋" w:hAnsi="仿宋" w:eastAsia="仿宋" w:cs="仿宋"/>
          <w:sz w:val="32"/>
          <w:szCs w:val="32"/>
        </w:rPr>
        <w:t>；2023年本部门财政拨款支出54.17万元，其中一般公共预算拨款支出54.17万元、政府性基金拨款支出0万元，2023年本部门财政拨款支出较上年减少4.97万元，主要原因是调离1</w:t>
      </w:r>
      <w:r>
        <w:rPr>
          <w:rFonts w:ascii="仿宋" w:hAnsi="仿宋" w:eastAsia="仿宋" w:cs="仿宋"/>
          <w:spacing w:val="-5"/>
          <w:sz w:val="30"/>
          <w:szCs w:val="30"/>
        </w:rPr>
        <w:t>人，人员经费减少</w:t>
      </w:r>
      <w:r>
        <w:rPr>
          <w:rFonts w:hint="eastAsia" w:ascii="仿宋" w:hAnsi="仿宋" w:eastAsia="仿宋" w:cs="仿宋"/>
          <w:sz w:val="32"/>
          <w:szCs w:val="32"/>
        </w:rPr>
        <w:t>。</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560" w:lineRule="exact"/>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w:t>
      </w:r>
      <w:r>
        <w:rPr>
          <w:rFonts w:hint="eastAsia" w:ascii="仿宋" w:hAnsi="仿宋" w:eastAsia="仿宋" w:cs="仿宋"/>
          <w:color w:val="000000" w:themeColor="text1"/>
          <w:sz w:val="32"/>
          <w:szCs w:val="32"/>
          <w14:textFill>
            <w14:solidFill>
              <w14:schemeClr w14:val="tx1"/>
            </w14:solidFill>
          </w14:textFill>
        </w:rPr>
        <w:t>当年</w:t>
      </w:r>
      <w:r>
        <w:rPr>
          <w:rFonts w:hint="eastAsia" w:ascii="仿宋" w:hAnsi="仿宋" w:eastAsia="仿宋" w:cs="仿宋"/>
          <w:sz w:val="32"/>
          <w:szCs w:val="32"/>
        </w:rPr>
        <w:t>拨款规模变化情况。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2023年本部门当年一般公共预算拨款支出54.17万元，较上年减少4.97万元，主要原因是调离1</w:t>
      </w:r>
      <w:r>
        <w:rPr>
          <w:rFonts w:ascii="仿宋" w:hAnsi="仿宋" w:eastAsia="仿宋" w:cs="仿宋"/>
          <w:spacing w:val="-5"/>
          <w:sz w:val="30"/>
          <w:szCs w:val="30"/>
        </w:rPr>
        <w:t>人，人员经费减少</w:t>
      </w:r>
      <w:r>
        <w:rPr>
          <w:rFonts w:hint="eastAsia" w:ascii="仿宋" w:hAnsi="仿宋" w:eastAsia="仿宋" w:cs="仿宋"/>
          <w:sz w:val="32"/>
          <w:szCs w:val="32"/>
        </w:rPr>
        <w:t>。</w:t>
      </w:r>
    </w:p>
    <w:p>
      <w:pPr>
        <w:numPr>
          <w:ilvl w:val="0"/>
          <w:numId w:val="1"/>
        </w:numPr>
        <w:spacing w:line="560" w:lineRule="exact"/>
        <w:ind w:firstLine="640"/>
        <w:rPr>
          <w:rFonts w:ascii="仿宋" w:hAnsi="仿宋" w:eastAsia="仿宋" w:cs="仿宋"/>
          <w:sz w:val="32"/>
          <w:szCs w:val="32"/>
        </w:rPr>
      </w:pPr>
      <w:r>
        <w:rPr>
          <w:rFonts w:hint="eastAsia" w:ascii="仿宋" w:hAnsi="仿宋" w:eastAsia="仿宋" w:cs="仿宋"/>
          <w:sz w:val="32"/>
          <w:szCs w:val="32"/>
        </w:rPr>
        <w:t>支出按</w:t>
      </w:r>
      <w:r>
        <w:rPr>
          <w:rFonts w:hint="eastAsia" w:ascii="仿宋" w:hAnsi="仿宋" w:eastAsia="仿宋" w:cs="仿宋"/>
          <w:color w:val="000000" w:themeColor="text1"/>
          <w:sz w:val="32"/>
          <w:szCs w:val="32"/>
          <w14:textFill>
            <w14:solidFill>
              <w14:schemeClr w14:val="tx1"/>
            </w14:solidFill>
          </w14:textFill>
        </w:rPr>
        <w:t>功能</w:t>
      </w:r>
      <w:r>
        <w:rPr>
          <w:rFonts w:hint="eastAsia" w:ascii="仿宋" w:hAnsi="仿宋" w:eastAsia="仿宋" w:cs="仿宋"/>
          <w:sz w:val="32"/>
          <w:szCs w:val="32"/>
        </w:rPr>
        <w:t>科目分类的明细情况。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本部门2023年当年一般公共预算支出54.17万元，其中：</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pacing w:val="-5"/>
          <w:sz w:val="30"/>
          <w:szCs w:val="30"/>
        </w:rPr>
        <w:t>行政运行（2012801）</w:t>
      </w:r>
      <w:r>
        <w:rPr>
          <w:rFonts w:hint="eastAsia" w:ascii="仿宋" w:hAnsi="仿宋" w:eastAsia="仿宋" w:cs="仿宋"/>
          <w:sz w:val="32"/>
          <w:szCs w:val="32"/>
        </w:rPr>
        <w:t>45万元，较上年增加13.91万元，原因是行政运行成本费用增加；</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pacing w:val="4"/>
          <w:sz w:val="30"/>
          <w:szCs w:val="30"/>
        </w:rPr>
        <w:t>机关事业单位基本养老保险缴费支出（2080505）</w:t>
      </w:r>
      <w:r>
        <w:rPr>
          <w:rFonts w:hint="eastAsia" w:ascii="仿宋" w:hAnsi="仿宋" w:eastAsia="仿宋" w:cs="仿宋"/>
          <w:spacing w:val="4"/>
          <w:sz w:val="30"/>
          <w:szCs w:val="30"/>
        </w:rPr>
        <w:t>4.09万元</w:t>
      </w:r>
      <w:r>
        <w:rPr>
          <w:rFonts w:hint="eastAsia" w:ascii="仿宋" w:hAnsi="仿宋" w:eastAsia="仿宋" w:cs="仿宋"/>
          <w:sz w:val="32"/>
          <w:szCs w:val="32"/>
        </w:rPr>
        <w:t>，较上年减少0.22万元，原因是调离1</w:t>
      </w:r>
      <w:r>
        <w:rPr>
          <w:rFonts w:ascii="仿宋" w:hAnsi="仿宋" w:eastAsia="仿宋" w:cs="仿宋"/>
          <w:spacing w:val="-5"/>
          <w:sz w:val="30"/>
          <w:szCs w:val="30"/>
        </w:rPr>
        <w:t>人，人员经费减少</w:t>
      </w:r>
      <w:r>
        <w:rPr>
          <w:rFonts w:hint="eastAsia" w:ascii="仿宋" w:hAnsi="仿宋" w:eastAsia="仿宋" w:cs="仿宋"/>
          <w:sz w:val="32"/>
          <w:szCs w:val="32"/>
        </w:rPr>
        <w:t>；</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pacing w:val="-1"/>
          <w:sz w:val="30"/>
          <w:szCs w:val="30"/>
        </w:rPr>
        <w:t>行政单位医疗（</w:t>
      </w:r>
      <w:r>
        <w:rPr>
          <w:rFonts w:ascii="仿宋" w:hAnsi="仿宋" w:eastAsia="仿宋" w:cs="仿宋"/>
          <w:spacing w:val="-50"/>
          <w:sz w:val="30"/>
          <w:szCs w:val="30"/>
        </w:rPr>
        <w:t xml:space="preserve"> </w:t>
      </w:r>
      <w:r>
        <w:rPr>
          <w:rFonts w:ascii="仿宋" w:hAnsi="仿宋" w:eastAsia="仿宋" w:cs="仿宋"/>
          <w:spacing w:val="-1"/>
          <w:sz w:val="30"/>
          <w:szCs w:val="30"/>
        </w:rPr>
        <w:t>2101101）</w:t>
      </w:r>
      <w:r>
        <w:rPr>
          <w:rFonts w:hint="eastAsia" w:ascii="仿宋" w:hAnsi="仿宋" w:eastAsia="仿宋" w:cs="仿宋"/>
          <w:sz w:val="32"/>
          <w:szCs w:val="32"/>
        </w:rPr>
        <w:t>2.01万元，较上年减少0.1万元，原因是调离1</w:t>
      </w:r>
      <w:r>
        <w:rPr>
          <w:rFonts w:ascii="仿宋" w:hAnsi="仿宋" w:eastAsia="仿宋" w:cs="仿宋"/>
          <w:spacing w:val="-5"/>
          <w:sz w:val="30"/>
          <w:szCs w:val="30"/>
        </w:rPr>
        <w:t>人，人员经费减少</w:t>
      </w:r>
      <w:r>
        <w:rPr>
          <w:rFonts w:hint="eastAsia" w:ascii="仿宋" w:hAnsi="仿宋" w:eastAsia="仿宋" w:cs="仿宋"/>
          <w:sz w:val="32"/>
          <w:szCs w:val="32"/>
        </w:rPr>
        <w:t>；</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pacing w:val="-3"/>
          <w:sz w:val="30"/>
          <w:szCs w:val="30"/>
        </w:rPr>
        <w:t>住房公积金（2210</w:t>
      </w:r>
      <w:r>
        <w:rPr>
          <w:rFonts w:hint="eastAsia" w:ascii="仿宋" w:hAnsi="仿宋" w:eastAsia="仿宋" w:cs="仿宋"/>
          <w:spacing w:val="-3"/>
          <w:sz w:val="30"/>
          <w:szCs w:val="30"/>
        </w:rPr>
        <w:t>201</w:t>
      </w:r>
      <w:r>
        <w:rPr>
          <w:rFonts w:ascii="仿宋" w:hAnsi="仿宋" w:eastAsia="仿宋" w:cs="仿宋"/>
          <w:spacing w:val="-3"/>
          <w:sz w:val="30"/>
          <w:szCs w:val="30"/>
        </w:rPr>
        <w:t>）</w:t>
      </w:r>
      <w:r>
        <w:rPr>
          <w:rFonts w:hint="eastAsia" w:ascii="仿宋" w:hAnsi="仿宋" w:eastAsia="仿宋" w:cs="仿宋"/>
          <w:sz w:val="32"/>
          <w:szCs w:val="32"/>
        </w:rPr>
        <w:t>3.07万元，较上年减少0.6万元，原因是调离1</w:t>
      </w:r>
      <w:r>
        <w:rPr>
          <w:rFonts w:ascii="仿宋" w:hAnsi="仿宋" w:eastAsia="仿宋" w:cs="仿宋"/>
          <w:spacing w:val="-5"/>
          <w:sz w:val="30"/>
          <w:szCs w:val="30"/>
        </w:rPr>
        <w:t>人，人员经费减少</w:t>
      </w:r>
      <w:r>
        <w:rPr>
          <w:rFonts w:hint="eastAsia" w:ascii="仿宋" w:hAnsi="仿宋" w:eastAsia="仿宋" w:cs="仿宋"/>
          <w:sz w:val="32"/>
          <w:szCs w:val="32"/>
        </w:rPr>
        <w:t>；</w:t>
      </w:r>
    </w:p>
    <w:p>
      <w:pPr>
        <w:spacing w:line="560" w:lineRule="exact"/>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w:t>
      </w:r>
      <w:r>
        <w:rPr>
          <w:rFonts w:hint="eastAsia" w:ascii="仿宋" w:hAnsi="仿宋" w:eastAsia="仿宋" w:cs="仿宋"/>
          <w:color w:val="000000" w:themeColor="text1"/>
          <w:sz w:val="32"/>
          <w:szCs w:val="32"/>
          <w14:textFill>
            <w14:solidFill>
              <w14:schemeClr w14:val="tx1"/>
            </w14:solidFill>
          </w14:textFill>
        </w:rPr>
        <w:t>经济</w:t>
      </w:r>
      <w:r>
        <w:rPr>
          <w:rFonts w:hint="eastAsia" w:ascii="仿宋" w:hAnsi="仿宋" w:eastAsia="仿宋" w:cs="仿宋"/>
          <w:sz w:val="32"/>
          <w:szCs w:val="32"/>
        </w:rPr>
        <w:t>科目分类的明细情况。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2023年本部门当年一般公共预算支出54.17万元，其中：</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工资福利支出（301）36.84万元，较上年减少1.59万元，原因是调离1</w:t>
      </w:r>
      <w:r>
        <w:rPr>
          <w:rFonts w:ascii="仿宋" w:hAnsi="仿宋" w:eastAsia="仿宋" w:cs="仿宋"/>
          <w:spacing w:val="-5"/>
          <w:sz w:val="30"/>
          <w:szCs w:val="30"/>
        </w:rPr>
        <w:t>人，人员经费减少</w:t>
      </w:r>
      <w:r>
        <w:rPr>
          <w:rFonts w:hint="eastAsia" w:ascii="仿宋" w:hAnsi="仿宋" w:eastAsia="仿宋" w:cs="仿宋"/>
          <w:sz w:val="32"/>
          <w:szCs w:val="32"/>
        </w:rPr>
        <w:t>；</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商品和服务支出（302）16.78万元，较上年减少3.56万元，原因是调离1</w:t>
      </w:r>
      <w:r>
        <w:rPr>
          <w:rFonts w:ascii="仿宋" w:hAnsi="仿宋" w:eastAsia="仿宋" w:cs="仿宋"/>
          <w:spacing w:val="-5"/>
          <w:sz w:val="30"/>
          <w:szCs w:val="30"/>
        </w:rPr>
        <w:t>人，人员经费减少</w:t>
      </w:r>
      <w:r>
        <w:rPr>
          <w:rFonts w:hint="eastAsia" w:ascii="仿宋" w:hAnsi="仿宋" w:eastAsia="仿宋" w:cs="仿宋"/>
          <w:sz w:val="32"/>
          <w:szCs w:val="32"/>
        </w:rPr>
        <w:t>；</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对个人和家庭的补助支出（303）0.55万元，较上年增加0.18万元，原因是</w:t>
      </w:r>
      <w:r>
        <w:rPr>
          <w:rFonts w:ascii="仿宋" w:hAnsi="仿宋" w:eastAsia="仿宋" w:cs="仿宋"/>
          <w:spacing w:val="4"/>
          <w:sz w:val="30"/>
          <w:szCs w:val="30"/>
        </w:rPr>
        <w:t>增加</w:t>
      </w:r>
      <w:r>
        <w:rPr>
          <w:rFonts w:hint="eastAsia" w:ascii="仿宋" w:hAnsi="仿宋" w:eastAsia="仿宋" w:cs="仿宋"/>
          <w:spacing w:val="4"/>
          <w:sz w:val="30"/>
          <w:szCs w:val="30"/>
        </w:rPr>
        <w:t>1名</w:t>
      </w:r>
      <w:r>
        <w:rPr>
          <w:rFonts w:ascii="仿宋" w:hAnsi="仿宋" w:eastAsia="仿宋" w:cs="仿宋"/>
          <w:spacing w:val="4"/>
          <w:sz w:val="30"/>
          <w:szCs w:val="30"/>
        </w:rPr>
        <w:t>退休人员，离退休经费增加</w:t>
      </w:r>
      <w:r>
        <w:rPr>
          <w:rFonts w:hint="eastAsia" w:ascii="仿宋" w:hAnsi="仿宋" w:eastAsia="仿宋" w:cs="仿宋"/>
          <w:sz w:val="32"/>
          <w:szCs w:val="32"/>
        </w:rPr>
        <w:t>；</w:t>
      </w:r>
    </w:p>
    <w:p>
      <w:pPr>
        <w:numPr>
          <w:ilvl w:val="0"/>
          <w:numId w:val="2"/>
        </w:numPr>
        <w:spacing w:line="560" w:lineRule="exact"/>
        <w:ind w:firstLine="640"/>
        <w:rPr>
          <w:rFonts w:ascii="仿宋" w:hAnsi="仿宋" w:eastAsia="仿宋" w:cs="仿宋"/>
          <w:sz w:val="32"/>
          <w:szCs w:val="32"/>
        </w:rPr>
      </w:pPr>
      <w:r>
        <w:rPr>
          <w:rFonts w:hint="eastAsia" w:ascii="仿宋" w:hAnsi="仿宋" w:eastAsia="仿宋" w:cs="仿宋"/>
          <w:sz w:val="32"/>
          <w:szCs w:val="32"/>
        </w:rPr>
        <w:t>按照</w:t>
      </w:r>
      <w:r>
        <w:rPr>
          <w:rFonts w:hint="eastAsia" w:ascii="仿宋" w:hAnsi="仿宋" w:eastAsia="仿宋" w:cs="仿宋"/>
          <w:color w:val="000000" w:themeColor="text1"/>
          <w:sz w:val="32"/>
          <w:szCs w:val="32"/>
          <w14:textFill>
            <w14:solidFill>
              <w14:schemeClr w14:val="tx1"/>
            </w14:solidFill>
          </w14:textFill>
        </w:rPr>
        <w:t>政府预算</w:t>
      </w:r>
      <w:r>
        <w:rPr>
          <w:rFonts w:hint="eastAsia" w:ascii="仿宋" w:hAnsi="仿宋" w:eastAsia="仿宋" w:cs="仿宋"/>
          <w:sz w:val="32"/>
          <w:szCs w:val="32"/>
        </w:rPr>
        <w:t>支出经济分类的类级科目说明。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2023年本部门当年一般公共预算支出54.17万元，其中：</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机关工资福利支出（501）36.84万元，较上年减少1.59万元，原因是调离1</w:t>
      </w:r>
      <w:r>
        <w:rPr>
          <w:rFonts w:ascii="仿宋" w:hAnsi="仿宋" w:eastAsia="仿宋" w:cs="仿宋"/>
          <w:spacing w:val="-5"/>
          <w:sz w:val="30"/>
          <w:szCs w:val="30"/>
        </w:rPr>
        <w:t>人，人员经费减少</w:t>
      </w:r>
      <w:r>
        <w:rPr>
          <w:rFonts w:hint="eastAsia" w:ascii="仿宋" w:hAnsi="仿宋" w:eastAsia="仿宋" w:cs="仿宋"/>
          <w:sz w:val="32"/>
          <w:szCs w:val="32"/>
        </w:rPr>
        <w:t>；</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机关商品和服务支出（502）16.78万元，较上年减少3.56万元，原因是调离1</w:t>
      </w:r>
      <w:r>
        <w:rPr>
          <w:rFonts w:ascii="仿宋" w:hAnsi="仿宋" w:eastAsia="仿宋" w:cs="仿宋"/>
          <w:spacing w:val="-5"/>
          <w:sz w:val="30"/>
          <w:szCs w:val="30"/>
        </w:rPr>
        <w:t>人，人员经费减少</w:t>
      </w:r>
      <w:r>
        <w:rPr>
          <w:rFonts w:hint="eastAsia" w:ascii="仿宋" w:hAnsi="仿宋" w:eastAsia="仿宋" w:cs="仿宋"/>
          <w:sz w:val="32"/>
          <w:szCs w:val="32"/>
        </w:rPr>
        <w:t>；</w:t>
      </w:r>
    </w:p>
    <w:p>
      <w:pPr>
        <w:spacing w:line="560" w:lineRule="exact"/>
        <w:ind w:firstLine="592"/>
        <w:rPr>
          <w:rFonts w:ascii="仿宋" w:hAnsi="仿宋" w:eastAsia="仿宋" w:cs="仿宋"/>
          <w:b/>
          <w:bCs/>
          <w:sz w:val="32"/>
          <w:szCs w:val="32"/>
        </w:rPr>
      </w:pPr>
      <w:r>
        <w:rPr>
          <w:rFonts w:ascii="仿宋" w:hAnsi="仿宋" w:eastAsia="仿宋" w:cs="仿宋"/>
          <w:spacing w:val="-2"/>
          <w:sz w:val="30"/>
          <w:szCs w:val="30"/>
        </w:rPr>
        <w:t>对个人和家庭补助支出（509）</w:t>
      </w:r>
      <w:r>
        <w:rPr>
          <w:rFonts w:hint="eastAsia" w:ascii="仿宋" w:hAnsi="仿宋" w:eastAsia="仿宋" w:cs="仿宋"/>
          <w:spacing w:val="-2"/>
          <w:sz w:val="30"/>
          <w:szCs w:val="30"/>
        </w:rPr>
        <w:t>0.55万元，</w:t>
      </w:r>
      <w:r>
        <w:rPr>
          <w:rFonts w:hint="eastAsia" w:ascii="仿宋" w:hAnsi="仿宋" w:eastAsia="仿宋" w:cs="仿宋"/>
          <w:sz w:val="32"/>
          <w:szCs w:val="32"/>
        </w:rPr>
        <w:t>较上年增加0.18万元，原因是</w:t>
      </w:r>
      <w:r>
        <w:rPr>
          <w:rFonts w:ascii="仿宋" w:hAnsi="仿宋" w:eastAsia="仿宋" w:cs="仿宋"/>
          <w:spacing w:val="4"/>
          <w:sz w:val="30"/>
          <w:szCs w:val="30"/>
        </w:rPr>
        <w:t>增加</w:t>
      </w:r>
      <w:r>
        <w:rPr>
          <w:rFonts w:hint="eastAsia" w:ascii="仿宋" w:hAnsi="仿宋" w:eastAsia="仿宋" w:cs="仿宋"/>
          <w:spacing w:val="4"/>
          <w:sz w:val="30"/>
          <w:szCs w:val="30"/>
        </w:rPr>
        <w:t>1名</w:t>
      </w:r>
      <w:r>
        <w:rPr>
          <w:rFonts w:ascii="仿宋" w:hAnsi="仿宋" w:eastAsia="仿宋" w:cs="仿宋"/>
          <w:spacing w:val="4"/>
          <w:sz w:val="30"/>
          <w:szCs w:val="30"/>
        </w:rPr>
        <w:t>退休人员，离退休经费增加</w:t>
      </w:r>
      <w:r>
        <w:rPr>
          <w:rFonts w:hint="eastAsia" w:ascii="仿宋" w:hAnsi="仿宋" w:eastAsia="仿宋" w:cs="仿宋"/>
          <w:spacing w:val="4"/>
          <w:sz w:val="30"/>
          <w:szCs w:val="30"/>
        </w:rPr>
        <w:t>。</w:t>
      </w:r>
    </w:p>
    <w:p>
      <w:pPr>
        <w:spacing w:line="560" w:lineRule="exact"/>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3"/>
        </w:num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4"/>
        </w:num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4"/>
        </w:num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3"/>
        </w:num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本部门无当年国有资本经营预算拨款收支，并在财政拨款收支总体情况表中列示。</w:t>
      </w:r>
    </w:p>
    <w:p>
      <w:pPr>
        <w:spacing w:line="560" w:lineRule="exact"/>
        <w:ind w:firstLine="672"/>
        <w:rPr>
          <w:rFonts w:ascii="仿宋_GB2312" w:hAnsi="仿宋_GB2312" w:eastAsia="仿宋_GB2312" w:cs="仿宋_GB2312"/>
          <w:sz w:val="32"/>
          <w:szCs w:val="32"/>
        </w:rPr>
      </w:pPr>
      <w:r>
        <w:rPr>
          <w:rFonts w:hint="eastAsia" w:ascii="仿宋_GB2312" w:hAnsi="仿宋_GB2312" w:eastAsia="仿宋_GB2312" w:cs="仿宋_GB2312"/>
          <w:spacing w:val="8"/>
          <w:sz w:val="32"/>
          <w:szCs w:val="32"/>
        </w:rPr>
        <w:t>本部门无2022年结转的国有资本经营预算拨款支出。</w:t>
      </w:r>
    </w:p>
    <w:p>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（1）2023年本部门当年一般公共预算“三公”经费预算支出0.16万元，较上年减少0.06万元（27.27%），减少的主要原因是</w:t>
      </w:r>
      <w:r>
        <w:rPr>
          <w:rFonts w:ascii="仿宋" w:hAnsi="仿宋" w:eastAsia="仿宋" w:cs="仿宋"/>
          <w:spacing w:val="-12"/>
          <w:sz w:val="30"/>
          <w:szCs w:val="30"/>
        </w:rPr>
        <w:t>人员减少</w:t>
      </w:r>
      <w:r>
        <w:rPr>
          <w:rFonts w:hint="eastAsia" w:ascii="仿宋" w:hAnsi="仿宋" w:eastAsia="仿宋" w:cs="仿宋"/>
          <w:sz w:val="32"/>
          <w:szCs w:val="32"/>
        </w:rPr>
        <w:t>。其中：因公出国（境）经费0万元；公务接待费0.16万元，较上年减少0.06万元（27.27%），减少的主要原因是</w:t>
      </w:r>
      <w:r>
        <w:rPr>
          <w:rFonts w:ascii="仿宋" w:hAnsi="仿宋" w:eastAsia="仿宋" w:cs="仿宋"/>
          <w:spacing w:val="-12"/>
          <w:sz w:val="30"/>
          <w:szCs w:val="30"/>
        </w:rPr>
        <w:t>人员减少</w:t>
      </w:r>
      <w:r>
        <w:rPr>
          <w:rFonts w:hint="eastAsia" w:ascii="仿宋" w:hAnsi="仿宋" w:eastAsia="仿宋" w:cs="仿宋"/>
          <w:sz w:val="32"/>
          <w:szCs w:val="32"/>
        </w:rPr>
        <w:t>；公务用车运行费0万元，</w:t>
      </w:r>
      <w:r>
        <w:rPr>
          <w:rFonts w:ascii="仿宋" w:hAnsi="仿宋" w:eastAsia="仿宋" w:cs="仿宋"/>
          <w:sz w:val="30"/>
          <w:szCs w:val="30"/>
        </w:rPr>
        <w:t>较上</w:t>
      </w:r>
      <w:r>
        <w:rPr>
          <w:rFonts w:ascii="仿宋" w:hAnsi="仿宋" w:eastAsia="仿宋" w:cs="仿宋"/>
          <w:spacing w:val="-2"/>
          <w:sz w:val="30"/>
          <w:szCs w:val="30"/>
        </w:rPr>
        <w:t>年无变化</w:t>
      </w:r>
      <w:r>
        <w:rPr>
          <w:rFonts w:hint="eastAsia" w:ascii="仿宋" w:hAnsi="仿宋" w:eastAsia="仿宋" w:cs="仿宋"/>
          <w:sz w:val="32"/>
          <w:szCs w:val="32"/>
        </w:rPr>
        <w:t>；公务用车购置费0万元，</w:t>
      </w:r>
      <w:r>
        <w:rPr>
          <w:rFonts w:ascii="仿宋" w:hAnsi="仿宋" w:eastAsia="仿宋" w:cs="仿宋"/>
          <w:sz w:val="30"/>
          <w:szCs w:val="30"/>
        </w:rPr>
        <w:t>较上</w:t>
      </w:r>
      <w:r>
        <w:rPr>
          <w:rFonts w:ascii="仿宋" w:hAnsi="仿宋" w:eastAsia="仿宋" w:cs="仿宋"/>
          <w:spacing w:val="-2"/>
          <w:sz w:val="30"/>
          <w:szCs w:val="30"/>
        </w:rPr>
        <w:t>年无变化</w:t>
      </w:r>
      <w:r>
        <w:rPr>
          <w:rFonts w:hint="eastAsia" w:ascii="仿宋" w:hAnsi="仿宋" w:eastAsia="仿宋" w:cs="仿宋"/>
          <w:sz w:val="32"/>
          <w:szCs w:val="32"/>
        </w:rPr>
        <w:t>。</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（2）2023年本部门当年会议费预算支出0万元，较上年减少2.16万元（100%），</w:t>
      </w:r>
      <w:r>
        <w:rPr>
          <w:rFonts w:hint="eastAsia" w:ascii="仿宋" w:hAnsi="仿宋" w:eastAsia="仿宋" w:cs="仿宋"/>
          <w:color w:val="000000" w:themeColor="text1"/>
          <w:sz w:val="32"/>
          <w:szCs w:val="32"/>
          <w14:textFill>
            <w14:solidFill>
              <w14:schemeClr w14:val="tx1"/>
            </w14:solidFill>
          </w14:textFill>
        </w:rPr>
        <w:t>减少的主要原因是年初会议费预算没有编制细化</w:t>
      </w:r>
      <w:r>
        <w:rPr>
          <w:rFonts w:hint="eastAsia" w:ascii="仿宋" w:hAnsi="仿宋" w:eastAsia="仿宋" w:cs="仿宋"/>
          <w:sz w:val="32"/>
          <w:szCs w:val="32"/>
        </w:rPr>
        <w:t>。培训费0万元，</w:t>
      </w:r>
      <w:r>
        <w:rPr>
          <w:rFonts w:ascii="仿宋" w:hAnsi="仿宋" w:eastAsia="仿宋" w:cs="仿宋"/>
          <w:sz w:val="30"/>
          <w:szCs w:val="30"/>
        </w:rPr>
        <w:t>较上</w:t>
      </w:r>
      <w:r>
        <w:rPr>
          <w:rFonts w:ascii="仿宋" w:hAnsi="仿宋" w:eastAsia="仿宋" w:cs="仿宋"/>
          <w:spacing w:val="-2"/>
          <w:sz w:val="30"/>
          <w:szCs w:val="30"/>
        </w:rPr>
        <w:t>年无变化</w:t>
      </w:r>
      <w:r>
        <w:rPr>
          <w:rFonts w:hint="eastAsia" w:ascii="仿宋" w:hAnsi="仿宋" w:eastAsia="仿宋" w:cs="仿宋"/>
          <w:sz w:val="32"/>
          <w:szCs w:val="32"/>
        </w:rPr>
        <w:t>。</w:t>
      </w:r>
    </w:p>
    <w:p>
      <w:pPr>
        <w:spacing w:line="560" w:lineRule="exact"/>
        <w:ind w:firstLine="0" w:firstLineChars="0"/>
        <w:jc w:val="center"/>
        <w:rPr>
          <w:rFonts w:ascii="黑体" w:hAnsi="黑体" w:eastAsia="黑体" w:cs="黑体"/>
          <w:sz w:val="32"/>
          <w:szCs w:val="32"/>
        </w:rPr>
      </w:pPr>
    </w:p>
    <w:p>
      <w:pPr>
        <w:spacing w:line="560" w:lineRule="exact"/>
        <w:ind w:firstLine="628"/>
        <w:rPr>
          <w:rFonts w:ascii="仿宋" w:hAnsi="仿宋" w:eastAsia="仿宋" w:cs="仿宋"/>
          <w:b/>
          <w:bCs/>
          <w:sz w:val="32"/>
          <w:szCs w:val="32"/>
        </w:rPr>
      </w:pPr>
      <w:r>
        <w:rPr>
          <w:rFonts w:ascii="仿宋" w:hAnsi="仿宋" w:eastAsia="仿宋" w:cs="仿宋"/>
          <w:spacing w:val="7"/>
          <w:sz w:val="30"/>
          <w:szCs w:val="30"/>
        </w:rPr>
        <w:t>本部门无202</w:t>
      </w:r>
      <w:r>
        <w:rPr>
          <w:rFonts w:hint="eastAsia" w:ascii="仿宋" w:hAnsi="仿宋" w:eastAsia="仿宋" w:cs="仿宋"/>
          <w:spacing w:val="7"/>
          <w:sz w:val="30"/>
          <w:szCs w:val="30"/>
        </w:rPr>
        <w:t>2</w:t>
      </w:r>
      <w:r>
        <w:rPr>
          <w:rFonts w:ascii="仿宋" w:hAnsi="仿宋" w:eastAsia="仿宋" w:cs="仿宋"/>
          <w:spacing w:val="7"/>
          <w:sz w:val="30"/>
          <w:szCs w:val="30"/>
        </w:rPr>
        <w:t>年结转的财政拨款</w:t>
      </w:r>
      <w:r>
        <w:rPr>
          <w:rFonts w:hint="eastAsia" w:ascii="仿宋" w:hAnsi="仿宋" w:eastAsia="仿宋" w:cs="仿宋"/>
          <w:spacing w:val="18"/>
          <w:sz w:val="30"/>
          <w:szCs w:val="30"/>
        </w:rPr>
        <w:t>“</w:t>
      </w:r>
      <w:r>
        <w:rPr>
          <w:rFonts w:ascii="仿宋" w:hAnsi="仿宋" w:eastAsia="仿宋" w:cs="仿宋"/>
          <w:spacing w:val="7"/>
          <w:sz w:val="30"/>
          <w:szCs w:val="30"/>
        </w:rPr>
        <w:t>三公</w:t>
      </w:r>
      <w:r>
        <w:rPr>
          <w:rFonts w:hint="eastAsia" w:ascii="仿宋" w:hAnsi="仿宋" w:eastAsia="仿宋" w:cs="仿宋"/>
          <w:spacing w:val="7"/>
          <w:sz w:val="30"/>
          <w:szCs w:val="30"/>
        </w:rPr>
        <w:t>”</w:t>
      </w:r>
      <w:r>
        <w:rPr>
          <w:rFonts w:ascii="仿宋" w:hAnsi="仿宋" w:eastAsia="仿宋" w:cs="仿宋"/>
          <w:spacing w:val="7"/>
          <w:sz w:val="30"/>
          <w:szCs w:val="30"/>
        </w:rPr>
        <w:t>经费和会议</w:t>
      </w:r>
      <w:r>
        <w:rPr>
          <w:rFonts w:ascii="仿宋" w:hAnsi="仿宋" w:eastAsia="仿宋" w:cs="仿宋"/>
          <w:spacing w:val="8"/>
          <w:sz w:val="30"/>
          <w:szCs w:val="30"/>
        </w:rPr>
        <w:t>费、培训费支出。</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截止2022年底，本部门所属预算单位共有车辆0辆，单价20万元以上的设备0台（套）。2023年当年部门预算安排购置车辆0辆；安排购置单价20万元以上的设备0台（套）。</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本部门无2022年结转的财政拨款支出资产购置。</w:t>
      </w:r>
    </w:p>
    <w:p>
      <w:pPr>
        <w:numPr>
          <w:ilvl w:val="0"/>
          <w:numId w:val="5"/>
        </w:numPr>
        <w:spacing w:line="560" w:lineRule="exact"/>
        <w:ind w:left="0" w:firstLine="480" w:firstLineChars="0"/>
        <w:rPr>
          <w:rFonts w:ascii="仿宋" w:hAnsi="仿宋" w:eastAsia="仿宋" w:cs="仿宋"/>
          <w:b/>
          <w:bCs/>
          <w:sz w:val="32"/>
          <w:szCs w:val="32"/>
        </w:rPr>
      </w:pPr>
      <w:r>
        <w:rPr>
          <w:rFonts w:hint="eastAsia" w:ascii="仿宋" w:hAnsi="仿宋" w:eastAsia="仿宋" w:cs="仿宋"/>
          <w:b/>
          <w:bCs/>
          <w:sz w:val="32"/>
          <w:szCs w:val="32"/>
        </w:rPr>
        <w:t>部门政府采购情况说明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2023年当年本部门政府采购预算共0万元，其中政府采购货物类预算0万元、政府采购服务类预算0万元、政府采购工程类预算0万元（详见公开报表中的政府采购表）。</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本部门2023年无政府采购预算，并已公开空表。</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本部门无2022年结转的政府采购资金支出。</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2023年本部门绩效目标管理全覆盖，涉及当年一般公共预算拨款54.17万元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560" w:lineRule="exact"/>
        <w:ind w:firstLine="640"/>
        <w:rPr>
          <w:rFonts w:ascii="仿宋" w:hAnsi="仿宋" w:eastAsia="仿宋" w:cs="仿宋"/>
          <w:sz w:val="32"/>
          <w:szCs w:val="32"/>
          <w:highlight w:val="red"/>
        </w:rPr>
      </w:pPr>
      <w:r>
        <w:rPr>
          <w:rFonts w:hint="eastAsia" w:ascii="仿宋" w:hAnsi="仿宋" w:eastAsia="仿宋" w:cs="仿宋"/>
          <w:sz w:val="32"/>
          <w:szCs w:val="32"/>
        </w:rPr>
        <w:t>本部门无2022年结转的财政拨款支出涉及的绩效目标管理。</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本部门当年机关运行经费预算安排1.78万元，较上年减少3.56万元，主要原因</w:t>
      </w:r>
      <w:r>
        <w:rPr>
          <w:rFonts w:hint="eastAsia" w:ascii="仿宋" w:hAnsi="仿宋" w:eastAsia="仿宋" w:cs="仿宋"/>
          <w:color w:val="000000" w:themeColor="text1"/>
          <w:sz w:val="32"/>
          <w:szCs w:val="32"/>
          <w14:textFill>
            <w14:solidFill>
              <w14:schemeClr w14:val="tx1"/>
            </w14:solidFill>
          </w14:textFill>
        </w:rPr>
        <w:t>是会议和公务接待减少</w:t>
      </w:r>
      <w:r>
        <w:rPr>
          <w:rFonts w:hint="eastAsia" w:ascii="仿宋" w:hAnsi="仿宋" w:eastAsia="仿宋" w:cs="仿宋"/>
          <w:sz w:val="32"/>
          <w:szCs w:val="32"/>
        </w:rPr>
        <w:t>。</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本部门无2022年结转的财政拨款机关运行经费支出。</w:t>
      </w:r>
    </w:p>
    <w:p>
      <w:pPr>
        <w:spacing w:line="560" w:lineRule="exact"/>
        <w:ind w:firstLine="643"/>
        <w:rPr>
          <w:rFonts w:ascii="仿宋" w:hAnsi="仿宋" w:eastAsia="仿宋" w:cs="仿宋"/>
          <w:b/>
          <w:bCs/>
          <w:sz w:val="32"/>
          <w:szCs w:val="32"/>
        </w:rPr>
      </w:pPr>
      <w:r>
        <w:rPr>
          <w:rFonts w:hint="eastAsia" w:ascii="仿宋" w:hAnsi="仿宋" w:eastAsia="仿宋" w:cs="仿宋"/>
          <w:b/>
          <w:bCs/>
          <w:sz w:val="32"/>
          <w:szCs w:val="32"/>
        </w:rPr>
        <w:t>十一、专业名词解释</w:t>
      </w:r>
    </w:p>
    <w:p>
      <w:pPr>
        <w:spacing w:line="560" w:lineRule="exact"/>
        <w:ind w:firstLine="640"/>
        <w:rPr>
          <w:rFonts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560" w:lineRule="exact"/>
        <w:ind w:firstLine="640"/>
        <w:rPr>
          <w:rFonts w:ascii="仿宋" w:hAnsi="仿宋" w:eastAsia="仿宋" w:cs="仿宋"/>
          <w:sz w:val="30"/>
          <w:szCs w:val="30"/>
        </w:rPr>
      </w:pPr>
      <w:r>
        <w:rPr>
          <w:rFonts w:hint="eastAsia" w:ascii="仿宋" w:hAnsi="仿宋" w:eastAsia="仿宋" w:cs="仿宋"/>
          <w:sz w:val="32"/>
          <w:szCs w:val="32"/>
        </w:rPr>
        <w:t>2.</w:t>
      </w:r>
      <w:r>
        <w:rPr>
          <w:rFonts w:ascii="仿宋" w:hAnsi="仿宋" w:eastAsia="仿宋" w:cs="仿宋"/>
          <w:spacing w:val="9"/>
          <w:sz w:val="30"/>
          <w:szCs w:val="30"/>
        </w:rPr>
        <w:t>“三公”经费</w:t>
      </w:r>
      <w:r>
        <w:rPr>
          <w:rFonts w:hint="eastAsia" w:ascii="仿宋" w:hAnsi="仿宋" w:eastAsia="仿宋" w:cs="仿宋"/>
          <w:spacing w:val="9"/>
          <w:sz w:val="30"/>
          <w:szCs w:val="30"/>
          <w:lang w:eastAsia="zh-CN"/>
        </w:rPr>
        <w:t>：</w:t>
      </w:r>
      <w:r>
        <w:rPr>
          <w:rFonts w:ascii="仿宋" w:hAnsi="仿宋" w:eastAsia="仿宋" w:cs="仿宋"/>
          <w:spacing w:val="9"/>
          <w:sz w:val="30"/>
          <w:szCs w:val="30"/>
        </w:rPr>
        <w:t>指用财政拨款安排的因公出国（境）</w:t>
      </w:r>
      <w:r>
        <w:rPr>
          <w:rFonts w:ascii="仿宋" w:hAnsi="仿宋" w:eastAsia="仿宋" w:cs="仿宋"/>
          <w:sz w:val="30"/>
          <w:szCs w:val="30"/>
        </w:rPr>
        <w:t xml:space="preserve">  </w:t>
      </w:r>
      <w:r>
        <w:rPr>
          <w:rFonts w:ascii="仿宋" w:hAnsi="仿宋" w:eastAsia="仿宋" w:cs="仿宋"/>
          <w:spacing w:val="15"/>
          <w:sz w:val="30"/>
          <w:szCs w:val="30"/>
        </w:rPr>
        <w:t>费</w:t>
      </w:r>
      <w:r>
        <w:rPr>
          <w:rFonts w:hint="eastAsia" w:ascii="仿宋" w:hAnsi="仿宋" w:eastAsia="仿宋" w:cs="仿宋"/>
          <w:spacing w:val="15"/>
          <w:sz w:val="30"/>
          <w:szCs w:val="30"/>
        </w:rPr>
        <w:t>、</w:t>
      </w:r>
      <w:r>
        <w:rPr>
          <w:rFonts w:ascii="仿宋" w:hAnsi="仿宋" w:eastAsia="仿宋" w:cs="仿宋"/>
          <w:spacing w:val="15"/>
          <w:sz w:val="30"/>
          <w:szCs w:val="30"/>
        </w:rPr>
        <w:t>公务用车购置及运行费和公务接待费。其中</w:t>
      </w:r>
      <w:r>
        <w:rPr>
          <w:rFonts w:hint="eastAsia" w:ascii="仿宋" w:hAnsi="仿宋" w:eastAsia="仿宋" w:cs="仿宋"/>
          <w:spacing w:val="15"/>
          <w:sz w:val="30"/>
          <w:szCs w:val="30"/>
        </w:rPr>
        <w:t>，</w:t>
      </w:r>
      <w:r>
        <w:rPr>
          <w:rFonts w:ascii="仿宋" w:hAnsi="仿宋" w:eastAsia="仿宋" w:cs="仿宋"/>
          <w:spacing w:val="15"/>
          <w:sz w:val="30"/>
          <w:szCs w:val="30"/>
        </w:rPr>
        <w:t>因公出国</w:t>
      </w:r>
      <w:r>
        <w:rPr>
          <w:rFonts w:ascii="仿宋" w:hAnsi="仿宋" w:eastAsia="仿宋" w:cs="仿宋"/>
          <w:spacing w:val="1"/>
          <w:sz w:val="30"/>
          <w:szCs w:val="30"/>
        </w:rPr>
        <w:t>（境）费反映单位公务出国（境）的国际旅费、</w:t>
      </w:r>
      <w:r>
        <w:rPr>
          <w:rFonts w:ascii="仿宋" w:hAnsi="仿宋" w:eastAsia="仿宋" w:cs="仿宋"/>
          <w:spacing w:val="-76"/>
          <w:sz w:val="30"/>
          <w:szCs w:val="30"/>
        </w:rPr>
        <w:t xml:space="preserve"> </w:t>
      </w:r>
      <w:r>
        <w:rPr>
          <w:rFonts w:ascii="仿宋" w:hAnsi="仿宋" w:eastAsia="仿宋" w:cs="仿宋"/>
          <w:spacing w:val="1"/>
          <w:sz w:val="30"/>
          <w:szCs w:val="30"/>
        </w:rPr>
        <w:t>国外城市间</w:t>
      </w:r>
      <w:r>
        <w:rPr>
          <w:rFonts w:ascii="仿宋" w:hAnsi="仿宋" w:eastAsia="仿宋" w:cs="仿宋"/>
          <w:spacing w:val="8"/>
          <w:sz w:val="30"/>
          <w:szCs w:val="30"/>
        </w:rPr>
        <w:t>交通费、住宿费、伙食费、培训费、公杂费等支出；公务用</w:t>
      </w:r>
      <w:r>
        <w:rPr>
          <w:rFonts w:ascii="仿宋" w:hAnsi="仿宋" w:eastAsia="仿宋" w:cs="仿宋"/>
          <w:spacing w:val="17"/>
          <w:sz w:val="30"/>
          <w:szCs w:val="30"/>
        </w:rPr>
        <w:t>车购置及运行费反映单位公务用车车辆购置支出（含车辆购</w:t>
      </w:r>
      <w:r>
        <w:rPr>
          <w:rFonts w:ascii="仿宋" w:hAnsi="仿宋" w:eastAsia="仿宋" w:cs="仿宋"/>
          <w:spacing w:val="10"/>
          <w:sz w:val="30"/>
          <w:szCs w:val="30"/>
        </w:rPr>
        <w:t>置税）及租用费、燃料费、维修费、过路过桥费、保险费、</w:t>
      </w:r>
      <w:r>
        <w:rPr>
          <w:rFonts w:ascii="仿宋" w:hAnsi="仿宋" w:eastAsia="仿宋" w:cs="仿宋"/>
          <w:sz w:val="30"/>
          <w:szCs w:val="30"/>
        </w:rPr>
        <w:t xml:space="preserve"> </w:t>
      </w:r>
      <w:r>
        <w:rPr>
          <w:rFonts w:ascii="仿宋" w:hAnsi="仿宋" w:eastAsia="仿宋" w:cs="仿宋"/>
          <w:spacing w:val="8"/>
          <w:sz w:val="30"/>
          <w:szCs w:val="30"/>
        </w:rPr>
        <w:t>安全奖励费用等支出；公务接待费反映单位按规定开支的各</w:t>
      </w:r>
      <w:r>
        <w:rPr>
          <w:rFonts w:ascii="仿宋" w:hAnsi="仿宋" w:eastAsia="仿宋" w:cs="仿宋"/>
          <w:sz w:val="30"/>
          <w:szCs w:val="30"/>
        </w:rPr>
        <w:t xml:space="preserve"> </w:t>
      </w:r>
      <w:r>
        <w:rPr>
          <w:rFonts w:ascii="仿宋" w:hAnsi="仿宋" w:eastAsia="仿宋" w:cs="仿宋"/>
          <w:spacing w:val="13"/>
          <w:sz w:val="30"/>
          <w:szCs w:val="30"/>
        </w:rPr>
        <w:t>类公务接待支出。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pStyle w:val="2"/>
        <w:ind w:firstLine="640"/>
        <w:rPr>
          <w:rFonts w:ascii="仿宋" w:hAnsi="仿宋" w:eastAsia="仿宋" w:cs="仿宋"/>
          <w:sz w:val="32"/>
          <w:szCs w:val="32"/>
        </w:rPr>
      </w:pPr>
    </w:p>
    <w:p>
      <w:pPr>
        <w:pStyle w:val="3"/>
        <w:ind w:firstLine="640"/>
        <w:rPr>
          <w:rFonts w:ascii="仿宋" w:hAnsi="仿宋" w:eastAsia="仿宋" w:cs="仿宋"/>
        </w:rPr>
      </w:pPr>
      <w:bookmarkStart w:id="0" w:name="_GoBack"/>
    </w:p>
    <w:bookmarkEnd w:id="0"/>
    <w:p>
      <w:pPr>
        <w:ind w:firstLine="480"/>
        <w:rPr>
          <w:rFonts w:ascii="仿宋_GB2312" w:hAnsi="仿宋_GB2312" w:eastAsia="仿宋_GB2312" w:cs="仿宋_GB2312"/>
          <w:sz w:val="32"/>
          <w:szCs w:val="32"/>
        </w:rPr>
      </w:pPr>
      <w:r>
        <w:drawing>
          <wp:anchor distT="0" distB="0" distL="0" distR="0" simplePos="0" relativeHeight="251659264" behindDoc="1" locked="0" layoutInCell="1" allowOverlap="1">
            <wp:simplePos x="0" y="0"/>
            <wp:positionH relativeFrom="column">
              <wp:posOffset>3112135</wp:posOffset>
            </wp:positionH>
            <wp:positionV relativeFrom="paragraph">
              <wp:posOffset>135890</wp:posOffset>
            </wp:positionV>
            <wp:extent cx="1447800" cy="1447800"/>
            <wp:effectExtent l="0" t="0" r="0" b="0"/>
            <wp:wrapNone/>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13"/>
                    <a:stretch>
                      <a:fillRect/>
                    </a:stretch>
                  </pic:blipFill>
                  <pic:spPr>
                    <a:xfrm>
                      <a:off x="0" y="0"/>
                      <a:ext cx="1447800" cy="1447800"/>
                    </a:xfrm>
                    <a:prstGeom prst="rect">
                      <a:avLst/>
                    </a:prstGeom>
                  </pic:spPr>
                </pic:pic>
              </a:graphicData>
            </a:graphic>
          </wp:anchor>
        </w:drawing>
      </w:r>
    </w:p>
    <w:p>
      <w:pPr>
        <w:pStyle w:val="2"/>
        <w:ind w:left="4469" w:leftChars="1862" w:firstLine="5760" w:firstLineChars="18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紫</w:t>
      </w:r>
      <w:r>
        <w:rPr>
          <w:rFonts w:hint="eastAsia" w:ascii="仿宋_GB2312" w:hAnsi="仿宋_GB2312" w:eastAsia="仿宋_GB2312" w:cs="仿宋_GB2312"/>
          <w:sz w:val="32"/>
          <w:szCs w:val="32"/>
          <w:lang w:val="en-US" w:eastAsia="zh-CN"/>
        </w:rPr>
        <w:t>紫</w:t>
      </w:r>
      <w:r>
        <w:rPr>
          <w:rFonts w:hint="eastAsia" w:ascii="仿宋_GB2312" w:hAnsi="仿宋_GB2312" w:eastAsia="仿宋_GB2312" w:cs="仿宋_GB2312"/>
          <w:sz w:val="32"/>
          <w:szCs w:val="32"/>
        </w:rPr>
        <w:t>阳县工商业联合会</w:t>
      </w:r>
    </w:p>
    <w:p>
      <w:pPr>
        <w:pStyle w:val="3"/>
        <w:ind w:firstLine="4800" w:firstLineChars="1500"/>
        <w:rPr>
          <w:rFonts w:ascii="仿宋_GB2312" w:hAnsi="仿宋_GB2312" w:eastAsia="仿宋_GB2312" w:cs="仿宋_GB2312"/>
          <w:lang w:val="en-US"/>
        </w:rPr>
      </w:pPr>
      <w:r>
        <w:rPr>
          <w:rFonts w:hint="eastAsia" w:ascii="仿宋_GB2312" w:hAnsi="仿宋_GB2312" w:eastAsia="仿宋_GB2312" w:cs="仿宋_GB2312"/>
          <w:lang w:val="en-US"/>
        </w:rPr>
        <w:t>2023年3月23日</w:t>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2B499B"/>
    <w:rsid w:val="00C21BEC"/>
    <w:rsid w:val="00D70262"/>
    <w:rsid w:val="013C3D5E"/>
    <w:rsid w:val="018F2D13"/>
    <w:rsid w:val="02953D9A"/>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D783803"/>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5254268"/>
    <w:rsid w:val="26CC76FD"/>
    <w:rsid w:val="272308AF"/>
    <w:rsid w:val="28064C78"/>
    <w:rsid w:val="2864072E"/>
    <w:rsid w:val="2A3E38E1"/>
    <w:rsid w:val="2BF2458F"/>
    <w:rsid w:val="2F3B562F"/>
    <w:rsid w:val="2FC8494E"/>
    <w:rsid w:val="314B37FB"/>
    <w:rsid w:val="31B733F7"/>
    <w:rsid w:val="385D1A98"/>
    <w:rsid w:val="38F70388"/>
    <w:rsid w:val="3A4434B4"/>
    <w:rsid w:val="3B055E9C"/>
    <w:rsid w:val="3D28036F"/>
    <w:rsid w:val="3D8407DF"/>
    <w:rsid w:val="3DFF32ED"/>
    <w:rsid w:val="3F503091"/>
    <w:rsid w:val="4008265B"/>
    <w:rsid w:val="40B426C0"/>
    <w:rsid w:val="41851E44"/>
    <w:rsid w:val="420B5D06"/>
    <w:rsid w:val="4248700C"/>
    <w:rsid w:val="45DE0B60"/>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E5C14C1"/>
    <w:rsid w:val="5F635E4B"/>
    <w:rsid w:val="5F78271A"/>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EA447FF"/>
    <w:rsid w:val="6F3075D5"/>
    <w:rsid w:val="6F5403ED"/>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3"/>
    <w:basedOn w:val="1"/>
    <w:next w:val="3"/>
    <w:qFormat/>
    <w:uiPriority w:val="99"/>
    <w:pPr>
      <w:spacing w:after="120"/>
    </w:pPr>
    <w:rPr>
      <w:sz w:val="16"/>
      <w:szCs w:val="16"/>
    </w:rPr>
  </w:style>
  <w:style w:type="paragraph" w:styleId="3">
    <w:name w:val="Body Text"/>
    <w:basedOn w:val="1"/>
    <w:next w:val="1"/>
    <w:qFormat/>
    <w:uiPriority w:val="1"/>
    <w:rPr>
      <w:rFonts w:ascii="宋体" w:hAnsi="宋体" w:cs="宋体"/>
      <w:sz w:val="32"/>
      <w:szCs w:val="32"/>
      <w:lang w:val="zh-CN" w:bidi="zh-CN"/>
    </w:rPr>
  </w:style>
  <w:style w:type="paragraph" w:styleId="4">
    <w:name w:val="footer"/>
    <w:basedOn w:val="1"/>
    <w:link w:val="9"/>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页眉 字符"/>
    <w:basedOn w:val="7"/>
    <w:link w:val="5"/>
    <w:qFormat/>
    <w:uiPriority w:val="0"/>
    <w:rPr>
      <w:rFonts w:ascii="Times New Roman" w:hAnsi="Times New Roman" w:eastAsia="宋体" w:cs="Times New Roman"/>
      <w:kern w:val="2"/>
      <w:sz w:val="18"/>
      <w:szCs w:val="18"/>
    </w:rPr>
  </w:style>
  <w:style w:type="character" w:customStyle="1" w:styleId="9">
    <w:name w:val="页脚 字符"/>
    <w:basedOn w:val="7"/>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jpeg"/><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人员构成</a:t>
            </a:r>
            <a:endParaRPr lang="zh-CN" altLang="en-US"/>
          </a:p>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单位：人</a:t>
            </a:r>
            <a:endParaRPr lang="zh-CN" altLang="en-US"/>
          </a:p>
        </c:rich>
      </c:tx>
      <c:layout/>
      <c:overlay val="0"/>
      <c:spPr>
        <a:noFill/>
        <a:ln>
          <a:noFill/>
        </a:ln>
        <a:effectLst/>
      </c:spPr>
    </c:title>
    <c:autoTitleDeleted val="0"/>
    <c:plotArea>
      <c:layout/>
      <c:pieChart>
        <c:varyColors val="1"/>
        <c:ser>
          <c:idx val="0"/>
          <c:order val="0"/>
          <c:tx>
            <c:strRef>
              <c:f>Sheet1!$A$1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人员编制</c:v>
                </c:pt>
                <c:pt idx="1">
                  <c:v>行政编制</c:v>
                </c:pt>
                <c:pt idx="2">
                  <c:v>实有人员</c:v>
                </c:pt>
                <c:pt idx="3">
                  <c:v>离退休人员</c:v>
                </c:pt>
              </c:strCache>
            </c:strRef>
          </c:cat>
          <c:val>
            <c:numRef>
              <c:f>Sheet1!$B$2:$B$5</c:f>
              <c:numCache>
                <c:formatCode>General</c:formatCode>
                <c:ptCount val="4"/>
                <c:pt idx="0">
                  <c:v>5</c:v>
                </c:pt>
                <c:pt idx="1">
                  <c:v>5</c:v>
                </c:pt>
                <c:pt idx="2">
                  <c:v>3</c:v>
                </c:pt>
                <c:pt idx="3">
                  <c:v>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5194</Words>
  <Characters>5520</Characters>
  <Lines>40</Lines>
  <Paragraphs>11</Paragraphs>
  <TotalTime>258</TotalTime>
  <ScaleCrop>false</ScaleCrop>
  <LinksUpToDate>false</LinksUpToDate>
  <CharactersWithSpaces>5602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2023-05-04T03:32:00Z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