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1044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紫阳县科学技术协会</w:t>
      </w:r>
    </w:p>
    <w:p>
      <w:pPr>
        <w:spacing w:line="360" w:lineRule="auto"/>
        <w:ind w:firstLine="1044"/>
        <w:jc w:val="center"/>
        <w:rPr>
          <w:rFonts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2023年部门综合预算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二、2023年年度部门工作任务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spacing w:line="360" w:lineRule="auto"/>
        <w:ind w:firstLine="643"/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1.牵头实施《全民科学素质行动计划纲要》，制定全县科普工作规划和全民科学素质行动计划并组织实施，并负责“紫阳县全民科学素质领导小组办公室”的日常工作。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2.负责牵头组织“科技之春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”“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全国科普日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”“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科技工作者日”等固定群众性科普宣传活动。协助做好文化、科技、卫生“三下乡”，“科技周”等活动的开展。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组织开展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学术交流和学术研讨活动，活跃学术思想，促进学科发展，推动自主创新。组织 指导县级学会、协会及企事业单位开展技术咨询、技术服务、成果转化工作。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4.举荐、表彰奖励优秀科技工作者、自然科学优秀学术论文及学术成果，发挥学术团体举荐科技人才作用。组织科技工作者开展面向社会的继续教育工作。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5.组织开展学术交流和学术研讨活动，活跃学术思想，促进学科发展，推动自主创新。组织指导县级学会、协会及企事业单位开展技术咨询、技术服务、成果转化工作。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6.开展调查研究，反映科技工作者意见和建议，维护科技工作者合法权益；组织科技工作者参与全县科技政策、法规的制定和重大事务的政治协商、科学决策工作。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7.开展民间科技交流活动，发展同县外科技团体、科技工作者的友好交往和联系，积极为本县引进经济社会发展需要的技术和人才。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8.负责科协系统的科技文献编审、学术评审、评选申报工作；组织科技工作者优秀论文、科技成果的推荐申报工作。 </w:t>
      </w:r>
    </w:p>
    <w:p>
      <w:pPr>
        <w:widowControl/>
        <w:spacing w:line="360" w:lineRule="auto"/>
        <w:ind w:firstLine="64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9.统筹青少年科技教育工作，组织开展青少年科技创新赛事活动和各类科普展教活动，建设、运营管理县级科技场馆，指导学校及相关部门开展青少年科技创新教育。审议和制定青少年科技教育工作、总体规划并组织实施，负责组织科普“示范学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”“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青少年科技教育基地” 等创建工作。 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10.完成县委县政府交办的其他工作。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本部门现没有股室设置，无下属单位。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二、2023年度部门工作任务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做好县科协换届工作，筹备召开科协代表大会。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在巩固好现有建立的县级专家工作站，2023年紫阳县科协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将有计划地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建立新的县级专家工作站及实验室。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通过加大市级科普示范基地的宣传和提高利用工作，充分利用市级科普示范基地现有的基础设施和科普宣传，进一步做好提升改造，提高科普示范基地的科学利用。</w:t>
      </w:r>
    </w:p>
    <w:p>
      <w:pPr>
        <w:spacing w:line="60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进一步加强与县融媒中心合作，每月推出2期《科普紫阳》短视频，通过在广场大屏幕、公交站牌，公众号、县电视台等平台广泛宣传，营造良好的科普宣传氛围。</w:t>
      </w:r>
    </w:p>
    <w:p>
      <w:pPr>
        <w:spacing w:line="600" w:lineRule="exact"/>
        <w:ind w:right="-106" w:rightChars="-44" w:firstLine="630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为乡村振兴战略服务。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以项目为载体，以技术为支撑，以农民增收为目标，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发挥科技工作者的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智力扶贫作用，培育一批有文化、懂技术、会经营的农民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技术员和科普带头人，建立一批专家工作站、农村专家服务站和科普示范基地。</w:t>
      </w:r>
    </w:p>
    <w:p>
      <w:pPr>
        <w:spacing w:line="600" w:lineRule="exact"/>
        <w:ind w:firstLine="643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建立健全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基层科协组织。铆紧与乡镇科协、学会的紧密联系，指导各镇尽快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健全镇、村科协组织网络，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安排专门的办公场所和办公人员，将学校校长、农技站长、医院院长配备到镇科协班子作为骨干力量，明确职责任务，发挥基层科协组织在乡村振兴、产业发展、科普宣传等各方面的示范带头作用。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纳入本部门2023年部门预算编制范围的二级预算单位共有0个，包括：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紫阳县科学技术协会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截止2022年底，本部门人员编制5人，其中行政编制5人、事业编制0人；实有人员4人，其中行政4人、事业0人。单位管理的离退休人员7人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遗属1人。</w:t>
      </w: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2023年本部门预算收入89.82万元，其中一般公共预算拨款收入89.82万元、政府性基金拨款收入0万元，2023年本部门预算收入较上年增加0.28万元，主要原因是增加在职人员公积金配套；2023年本部门预算支出89.82万元，其中一般公共预算拨款支出89.82万元、政府性基金拨款支出0万元，2023年本部门预算支出较上年增加0.28万元，主要原因是增加了在职人员公积金配套。</w:t>
      </w:r>
    </w:p>
    <w:p>
      <w:pPr>
        <w:spacing w:line="360" w:lineRule="auto"/>
        <w:ind w:firstLine="643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财政拨款收入89.82万元，其中一般公共预算拨款收入89.82万元、政府性基金拨款收入0万元，2023年本部门财政拨款收入较上年增加0.28万元，主要原因是增加了在职人员公积金配套；2023年本部门财政拨款支出89.82万元，其中一般公共预算拨款支出89.82万元、政府性基金拨款支出0万元，2023年本部门财政拨款支出较上年增加0.28万元，主要原因是增加了在职人员公积金配套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2023年本部门当年一般公共预算拨款支出89.82万元，较上年增加0.28万元，主要原因是增加了在职人员公积金配套。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本部门2023年当年一般公共预算支出89.82万元，其中：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（1）行政运行（2060101）72万元，较上年减少5.59万元，原因是在职人员转退休3人；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（2）机关事业单位基本养老保险缴费支出（2080505）7.97万元，较上年减少0.06万元，原因是在职人员转退休3人；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（3）行政单位医疗（2101101）3.91万元，较上年减少0.01万元，原因是在职人员转退休3人；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（4）住房公积金（2210201）5.94万元，较上年增加5.94万元，原因是上年度部门没有住房公积金配套预算；</w:t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80000" cy="3381375"/>
            <wp:effectExtent l="4445" t="4445" r="20955" b="508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2023年本部门当年一般公共预算支出89.82万元，其中：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工资福利支出（301）71.27万元，较上年减少0.43万元，原因是在职人员转退休3人；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商品和服务支出（302）17.53万元，较上年减少0.38万元，原因是在职人员转退休3人，公务经费预算减少；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对个人和家庭的补助支出（303）1.02万元，较上年增加0.23万元，原因是退休人员增加，降温费增加；</w:t>
      </w:r>
    </w:p>
    <w:p>
      <w:pPr>
        <w:pStyle w:val="2"/>
        <w:spacing w:line="24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2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2023年本部门当年一般公共预算支出89.82万元，其中：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机关工资福利支出（501）71.27万元，较上年减少0.43万元，原因是在职人员转退休3人；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机关商品和服务支出（502）17.53万元，较上年减少0.38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，原因是在职人员转退休3人，公务经费预算减少；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机关资本性支出（一）（503）0万元，较上年增加（减少）0万元，原因是本年无机关资本性支出；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机关资本性支出（二）（504）0万元，较上年增加（减少）0万元，原因是本年无机关资本性支出；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对事业单位经常性补助（505）0万元，较上年增加（减少）0万元，原因本年没有事业单位经常性补助支出；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对事业单位资本性补助（506）0万元，较上年增加（减少）万元，原因是本年无事业单位资本性补助；</w:t>
      </w:r>
    </w:p>
    <w:p>
      <w:pPr>
        <w:pStyle w:val="2"/>
        <w:spacing w:line="360" w:lineRule="auto"/>
        <w:ind w:firstLine="640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对个人和家庭的补助（509）1.02万元，较上年增加0.23万元，原因是退休人员增加，降温费增加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部门当年一般公共预算“三公”经费预算支出0.27万元，较上年减少0.05万元（15.62%），减少的主要原因是在职人员减少，公用经费减少，三公经费核算基数减少，三公经费减少。其中：因公出国（境）经费0万元，较上年无变化（0%），主要原因是2023年无因公出国（境）预算；公务接待费0.27万元，较上年减少0.05万元（15.62%），减少的主要原因是在职人员减少，公用经费减少，三公经费核算基数减少，三公经费减少；公务用车运行费0万元，较上年无变化（0%），主要原因是本单位2023年无公务用车运行费预算；公务用车购置费0万元，较上年无变化（0%），主要原因是本单位2023年没有公务用车购置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（2）2023年本部门当年会议费预算支出0万元，较上年无变化，主要原因是本部门2023年无会议费预算。培训费0万元，较上年无变化，主要原因是本部门2023年无培训费预算。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本部门无2022年结转的财政拨款‘三公’经费和会议费、培训费支出。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本部门无2022年结转的财政拨款支出资产购置。</w:t>
      </w:r>
    </w:p>
    <w:p>
      <w:pPr>
        <w:numPr>
          <w:ilvl w:val="0"/>
          <w:numId w:val="5"/>
        </w:numPr>
        <w:spacing w:line="360" w:lineRule="auto"/>
        <w:ind w:firstLine="48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本部门无2022年结转的政府采购资金支出。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2023年本部门绩效目标管理全覆盖，涉及当年一般公共预算拨款89.82万元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本部门无2022年结转的财政拨款支出涉及的绩效目标管理。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本部门当年机关运行经费预算安排17.53万元，较上年减少0.38万元，原因是在职人员转退休3人，公用经费减少。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本部门无2022年结转的财政拨款机关运行经费支出。</w:t>
      </w:r>
    </w:p>
    <w:p>
      <w:pPr>
        <w:spacing w:line="360" w:lineRule="auto"/>
        <w:ind w:left="96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十一、专业名词解释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两个及两个以上，必须有，机关运行经费默认为第1个名词解释，其他专业名词解释可由部门根据业务内容等自行选择。</w:t>
      </w:r>
    </w:p>
    <w:p>
      <w:pPr>
        <w:numPr>
          <w:ilvl w:val="0"/>
          <w:numId w:val="6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widowControl/>
        <w:spacing w:line="360" w:lineRule="auto"/>
        <w:ind w:firstLine="640"/>
        <w:jc w:val="left"/>
        <w:rPr>
          <w:rFonts w:eastAsia="仿宋"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2.“三公经费”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指用财政拨款安排的因公出国（境）费、公务用车购置及运行费和公务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 等支出；公务接待费反映单位按规定开支的各类公务接待支出。</w:t>
      </w:r>
    </w:p>
    <w:p>
      <w:pPr>
        <w:pStyle w:val="2"/>
        <w:ind w:firstLine="0" w:firstLineChars="0"/>
        <w:rPr>
          <w:sz w:val="32"/>
          <w:szCs w:val="32"/>
        </w:rPr>
      </w:pPr>
      <w:r>
        <w:rPr>
          <w:rFonts w:hint="eastAsia"/>
        </w:rPr>
        <w:t>　　　　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9F8025"/>
    <w:multiLevelType w:val="singleLevel"/>
    <w:tmpl w:val="C09F80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  <w:docVar w:name="KSO_WPS_MARK_KEY" w:val="a37e4a6c-8ba6-450b-b8e4-326ce9e9af11"/>
  </w:docVars>
  <w:rsids>
    <w:rsidRoot w:val="1ED0381D"/>
    <w:rsid w:val="00731358"/>
    <w:rsid w:val="00CE5750"/>
    <w:rsid w:val="00D70262"/>
    <w:rsid w:val="018F2D13"/>
    <w:rsid w:val="02953D9A"/>
    <w:rsid w:val="03791D26"/>
    <w:rsid w:val="0466605A"/>
    <w:rsid w:val="04F35073"/>
    <w:rsid w:val="0540469B"/>
    <w:rsid w:val="061D2748"/>
    <w:rsid w:val="06D7231D"/>
    <w:rsid w:val="06DD7EC9"/>
    <w:rsid w:val="075D6C6A"/>
    <w:rsid w:val="0773304F"/>
    <w:rsid w:val="089D1D43"/>
    <w:rsid w:val="0A653AEA"/>
    <w:rsid w:val="0AAB1747"/>
    <w:rsid w:val="0B473936"/>
    <w:rsid w:val="0B820553"/>
    <w:rsid w:val="0B8A1B09"/>
    <w:rsid w:val="0BF22322"/>
    <w:rsid w:val="0C805687"/>
    <w:rsid w:val="0CB832EC"/>
    <w:rsid w:val="0D053BAB"/>
    <w:rsid w:val="0D594F94"/>
    <w:rsid w:val="0E1F698E"/>
    <w:rsid w:val="0FA9052D"/>
    <w:rsid w:val="10163FB4"/>
    <w:rsid w:val="10A536CA"/>
    <w:rsid w:val="10C02B15"/>
    <w:rsid w:val="12B55B02"/>
    <w:rsid w:val="13DD192D"/>
    <w:rsid w:val="147F7E6C"/>
    <w:rsid w:val="14C3500A"/>
    <w:rsid w:val="14C85364"/>
    <w:rsid w:val="14FA613E"/>
    <w:rsid w:val="15053ED9"/>
    <w:rsid w:val="15BA67E3"/>
    <w:rsid w:val="15EB6487"/>
    <w:rsid w:val="166918D6"/>
    <w:rsid w:val="176724C1"/>
    <w:rsid w:val="18AF7F70"/>
    <w:rsid w:val="1949781E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CF11CCA"/>
    <w:rsid w:val="2F3B562F"/>
    <w:rsid w:val="2FC8494E"/>
    <w:rsid w:val="30123D46"/>
    <w:rsid w:val="314B37FB"/>
    <w:rsid w:val="31B733F7"/>
    <w:rsid w:val="35154B6B"/>
    <w:rsid w:val="38497295"/>
    <w:rsid w:val="384A7212"/>
    <w:rsid w:val="385D1A98"/>
    <w:rsid w:val="38F70388"/>
    <w:rsid w:val="392C0A3B"/>
    <w:rsid w:val="3A4434B4"/>
    <w:rsid w:val="3B055E9C"/>
    <w:rsid w:val="3C321D68"/>
    <w:rsid w:val="3D28036F"/>
    <w:rsid w:val="3D8407DF"/>
    <w:rsid w:val="3DFF32ED"/>
    <w:rsid w:val="3F503091"/>
    <w:rsid w:val="3F6E48C1"/>
    <w:rsid w:val="4008265B"/>
    <w:rsid w:val="41851E44"/>
    <w:rsid w:val="420B5D06"/>
    <w:rsid w:val="4248700C"/>
    <w:rsid w:val="45F01209"/>
    <w:rsid w:val="465670F7"/>
    <w:rsid w:val="471D22FA"/>
    <w:rsid w:val="472B48D8"/>
    <w:rsid w:val="4741375D"/>
    <w:rsid w:val="47C702DF"/>
    <w:rsid w:val="48422B9F"/>
    <w:rsid w:val="487D22D8"/>
    <w:rsid w:val="488947B6"/>
    <w:rsid w:val="49AF3F09"/>
    <w:rsid w:val="4DC41D3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8002BB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582C3F"/>
    <w:rsid w:val="627961C0"/>
    <w:rsid w:val="62A2792B"/>
    <w:rsid w:val="62A365B5"/>
    <w:rsid w:val="632A5318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3B2648"/>
    <w:rsid w:val="788B613B"/>
    <w:rsid w:val="78935A62"/>
    <w:rsid w:val="7920167B"/>
    <w:rsid w:val="79B50E1E"/>
    <w:rsid w:val="7A3E4F09"/>
    <w:rsid w:val="7BA35C92"/>
    <w:rsid w:val="7BF11232"/>
    <w:rsid w:val="7CE442E1"/>
    <w:rsid w:val="7CEE0D2E"/>
    <w:rsid w:val="7CF76871"/>
    <w:rsid w:val="7D804F3A"/>
    <w:rsid w:val="7E2B2CA4"/>
    <w:rsid w:val="7E791462"/>
    <w:rsid w:val="7F5446E0"/>
    <w:rsid w:val="7F66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ascii="Calibri" w:hAnsi="Calibri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latin typeface="黑体" panose="02010609060101010101" charset="-122"/>
                <a:ea typeface="黑体" panose="02010609060101010101" charset="-122"/>
              </a:rPr>
              <a:t>人员结构</a:t>
            </a:r>
            <a:endParaRPr lang="zh-CN" altLang="en-US" b="1">
              <a:latin typeface="黑体" panose="02010609060101010101" charset="-122"/>
              <a:ea typeface="黑体" panose="02010609060101010101" charset="-122"/>
            </a:endParaRPr>
          </a:p>
        </c:rich>
      </c:tx>
      <c:layout>
        <c:manualLayout>
          <c:xMode val="edge"/>
          <c:yMode val="edge"/>
          <c:x val="0.45675"/>
          <c:y val="0.0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编制人数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35C7D"/>
                </a:gs>
              </a:gsLst>
              <a:lin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在职人员</c:v>
                </c:pt>
                <c:pt idx="1">
                  <c:v>退休人员</c:v>
                </c:pt>
                <c:pt idx="2">
                  <c:v>遗属人员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在职人员</c:v>
                </c:pt>
                <c:pt idx="1">
                  <c:v>退休人员</c:v>
                </c:pt>
                <c:pt idx="2">
                  <c:v>遗属人员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在职人员</c:v>
                </c:pt>
                <c:pt idx="1">
                  <c:v>退休人员</c:v>
                </c:pt>
                <c:pt idx="2">
                  <c:v>遗属人员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031895"/>
        <c:axId val="731413280"/>
      </c:barChart>
      <c:catAx>
        <c:axId val="20803189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31413280"/>
        <c:crosses val="autoZero"/>
        <c:auto val="1"/>
        <c:lblAlgn val="ctr"/>
        <c:lblOffset val="100"/>
        <c:noMultiLvlLbl val="0"/>
      </c:catAx>
      <c:valAx>
        <c:axId val="73141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031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latin typeface="黑体" panose="02010609060101010101" charset="-122"/>
                <a:ea typeface="黑体" panose="02010609060101010101" charset="-122"/>
              </a:rPr>
              <a:t>一般公共预算财政拨款支出情况</a:t>
            </a:r>
            <a:endParaRPr lang="zh-CN" altLang="en-US" b="1">
              <a:latin typeface="黑体" panose="02010609060101010101" charset="-122"/>
              <a:ea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43575"/>
          <c:y val="0.152"/>
          <c:w val="0.905175"/>
          <c:h val="0.716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财政拨款支出（万元）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gradFill>
                <a:gsLst>
                  <a:gs pos="0">
                    <a:srgbClr val="14CD68"/>
                  </a:gs>
                  <a:gs pos="100000">
                    <a:srgbClr val="0B6E38"/>
                  </a:gs>
                </a:gsLst>
                <a:lin scaled="0"/>
              </a:gra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016875"/>
                  <c:y val="-0.35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375"/>
                  <c:y val="-0.36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89.54</c:v>
                </c:pt>
                <c:pt idx="1">
                  <c:v>89.82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2022年</c:v>
                </c:pt>
                <c:pt idx="1">
                  <c:v>2023年</c:v>
                </c:pt>
              </c:strCache>
            </c:strRef>
          </c:cat>
          <c:val>
            <c:numRef>
              <c:f>Sheet1!$D$3:$D$5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0272204"/>
        <c:axId val="514017549"/>
      </c:barChart>
      <c:catAx>
        <c:axId val="7902722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4017549"/>
        <c:crosses val="autoZero"/>
        <c:auto val="1"/>
        <c:lblAlgn val="ctr"/>
        <c:lblOffset val="100"/>
        <c:noMultiLvlLbl val="0"/>
      </c:catAx>
      <c:valAx>
        <c:axId val="51401754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02722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latin typeface="黑体" panose="02010609060101010101" charset="-122"/>
                <a:ea typeface="黑体" panose="02010609060101010101" charset="-122"/>
              </a:rPr>
              <a:t>支出功能分类明细情况</a:t>
            </a:r>
            <a:endParaRPr lang="zh-CN" altLang="en-US" b="1">
              <a:latin typeface="黑体" panose="02010609060101010101" charset="-122"/>
              <a:ea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行政运行（万元）</c:v>
                </c:pt>
                <c:pt idx="1">
                  <c:v>养老保险配套（万元）</c:v>
                </c:pt>
                <c:pt idx="2">
                  <c:v>行政事业单位医疗（万元）</c:v>
                </c:pt>
                <c:pt idx="3">
                  <c:v>住房公积金（万元）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77.59</c:v>
                </c:pt>
                <c:pt idx="1">
                  <c:v>8.03</c:v>
                </c:pt>
                <c:pt idx="2">
                  <c:v>3.92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行政运行（万元）</c:v>
                </c:pt>
                <c:pt idx="1">
                  <c:v>养老保险配套（万元）</c:v>
                </c:pt>
                <c:pt idx="2">
                  <c:v>行政事业单位医疗（万元）</c:v>
                </c:pt>
                <c:pt idx="3">
                  <c:v>住房公积金（万元）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2023年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35C7D"/>
                </a:gs>
              </a:gsLst>
              <a:lin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行政运行（万元）</c:v>
                </c:pt>
                <c:pt idx="1">
                  <c:v>养老保险配套（万元）</c:v>
                </c:pt>
                <c:pt idx="2">
                  <c:v>行政事业单位医疗（万元）</c:v>
                </c:pt>
                <c:pt idx="3">
                  <c:v>住房公积金（万元）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72</c:v>
                </c:pt>
                <c:pt idx="1">
                  <c:v>7.97</c:v>
                </c:pt>
                <c:pt idx="2">
                  <c:v>3.91</c:v>
                </c:pt>
                <c:pt idx="3">
                  <c:v>5.94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0681512"/>
        <c:axId val="585991958"/>
      </c:barChart>
      <c:catAx>
        <c:axId val="530681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5991958"/>
        <c:crosses val="autoZero"/>
        <c:auto val="1"/>
        <c:lblAlgn val="ctr"/>
        <c:lblOffset val="100"/>
        <c:noMultiLvlLbl val="0"/>
      </c:catAx>
      <c:valAx>
        <c:axId val="58599195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30681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latin typeface="黑体" panose="02010609060101010101" charset="-122"/>
                <a:ea typeface="黑体" panose="02010609060101010101" charset="-122"/>
              </a:rPr>
              <a:t>经济科目分类明细情况</a:t>
            </a:r>
            <a:endParaRPr lang="zh-CN" altLang="en-US" b="1">
              <a:latin typeface="黑体" panose="02010609060101010101" charset="-122"/>
              <a:ea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6345"/>
          <c:y val="0.1245"/>
          <c:w val="0.91655"/>
          <c:h val="0.7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</c:v>
                </c:pt>
              </c:strCache>
            </c:strRef>
          </c:tx>
          <c:spPr>
            <a:gradFill>
              <a:gsLst>
                <a:gs pos="0">
                  <a:srgbClr val="14CD68"/>
                </a:gs>
                <a:gs pos="100000">
                  <a:srgbClr val="035C7D"/>
                </a:gs>
              </a:gsLst>
              <a:lin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工资及福利支出</c:v>
                </c:pt>
                <c:pt idx="1">
                  <c:v>商品服务支出</c:v>
                </c:pt>
                <c:pt idx="2">
                  <c:v>对个人和家庭补助支出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71.63</c:v>
                </c:pt>
                <c:pt idx="1">
                  <c:v>17.91</c:v>
                </c:pt>
                <c:pt idx="2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工资及福利支出</c:v>
                </c:pt>
                <c:pt idx="1">
                  <c:v>商品服务支出</c:v>
                </c:pt>
                <c:pt idx="2">
                  <c:v>对个人和家庭补助支出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工资及福利支出</c:v>
                </c:pt>
                <c:pt idx="1">
                  <c:v>商品服务支出</c:v>
                </c:pt>
                <c:pt idx="2">
                  <c:v>对个人和家庭补助支出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71.27</c:v>
                </c:pt>
                <c:pt idx="1">
                  <c:v>17.53</c:v>
                </c:pt>
                <c:pt idx="2">
                  <c:v>1.02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375304"/>
        <c:axId val="929153116"/>
      </c:barChart>
      <c:catAx>
        <c:axId val="4123753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9153116"/>
        <c:crosses val="autoZero"/>
        <c:auto val="1"/>
        <c:lblAlgn val="ctr"/>
        <c:lblOffset val="100"/>
        <c:noMultiLvlLbl val="0"/>
      </c:catAx>
      <c:valAx>
        <c:axId val="9291531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12375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b="1">
                <a:latin typeface="黑体" panose="02010609060101010101" charset="-122"/>
                <a:ea typeface="黑体" panose="02010609060101010101" charset="-122"/>
              </a:rPr>
              <a:t>政府预算支出经济分类</a:t>
            </a:r>
            <a:endParaRPr lang="zh-CN" altLang="en-US" b="1">
              <a:latin typeface="黑体" panose="02010609060101010101" charset="-122"/>
              <a:ea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机关工资福利支出</c:v>
                </c:pt>
                <c:pt idx="1">
                  <c:v>机关商品和服务支出</c:v>
                </c:pt>
                <c:pt idx="2">
                  <c:v>机关对个人和家庭补助支出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71.63</c:v>
                </c:pt>
                <c:pt idx="1">
                  <c:v>17.91</c:v>
                </c:pt>
                <c:pt idx="2">
                  <c:v>0.79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机关工资福利支出</c:v>
                </c:pt>
                <c:pt idx="1">
                  <c:v>机关商品和服务支出</c:v>
                </c:pt>
                <c:pt idx="2">
                  <c:v>机关对个人和家庭补助支出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机关工资福利支出</c:v>
                </c:pt>
                <c:pt idx="1">
                  <c:v>机关商品和服务支出</c:v>
                </c:pt>
                <c:pt idx="2">
                  <c:v>机关对个人和家庭补助支出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71.23</c:v>
                </c:pt>
                <c:pt idx="1">
                  <c:v>17.53</c:v>
                </c:pt>
                <c:pt idx="2">
                  <c:v>1.02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1746647"/>
        <c:axId val="473782734"/>
      </c:barChart>
      <c:catAx>
        <c:axId val="721746647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3782734"/>
        <c:crosses val="autoZero"/>
        <c:auto val="1"/>
        <c:lblAlgn val="ctr"/>
        <c:lblOffset val="100"/>
        <c:noMultiLvlLbl val="0"/>
      </c:catAx>
      <c:valAx>
        <c:axId val="4737827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1746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4149</Words>
  <Characters>4488</Characters>
  <Lines>33</Lines>
  <Paragraphs>9</Paragraphs>
  <TotalTime>1</TotalTime>
  <ScaleCrop>false</ScaleCrop>
  <LinksUpToDate>false</LinksUpToDate>
  <CharactersWithSpaces>4533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