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紫阳县信访局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2023年部门综合预算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二、2023年年度部门工作任务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紫阳县信访局是负责接待本级群众来访，办理群众来信的工作机构。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（一）部门主要职责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1.贯彻执行信访工作法律法规及方针政策，组织拟订信访工作规范性文件、工作计划并组织实施。</w:t>
      </w:r>
    </w:p>
    <w:p>
      <w:pPr>
        <w:spacing w:line="360" w:lineRule="auto"/>
        <w:ind w:firstLine="720" w:firstLineChars="2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2.负责处理公民、法人和其他组织通过信访渠道给县委、县政府及领导同志的来信、来电、来访和网上投诉；负责向县委、县政府反映来信、来电、来访中提出的重要建议、意见和问题。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3.负责国家信访局、省信访局、市信访局转送、交办信访事项和中、省、市、县领导批示信访事项的交办、督办工作，督促检查重要信访事项的处理和落实。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4.承办中、省、市信访工作联席会议办公室、信访局及上级有关部门转送、交办的信访事项，接待并协调处理群众到县、到市、赴省、进京上访，综合协调处理跨区、跨部门的重要信访事项。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5.拟订信访问题排查化解制度并组织实施，建立和完善信访信息汇集分析机制，指导全县信访信息系统建设。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综合协调和指导全县信访工作，推动中省市关于信访工作决策部署的贯彻落实；总结推广各镇、各部门信访工作经验，提出改进和加强信访工作的意见和建议；检查、指导县内党政机关、部门和事业单位的信访工作，对违反信访工作纪律的行为提出处理意见；负责全县信访工作年度目标责任考核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7.承担县信访联席会议日常工作，督促落实县信访工作联席会议确定的有关事项。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8.负责全县信访工作的宣传和信息发布。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9.完成县委、县政府交办的其他任务。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本部门现设有政办股、督办股、信访接待中心。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二、2023年度部门工作任务</w:t>
      </w:r>
    </w:p>
    <w:p>
      <w:pPr>
        <w:numPr>
          <w:ilvl w:val="0"/>
          <w:numId w:val="1"/>
        </w:num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构建齐抓共管的信访工作格局。</w:t>
      </w:r>
      <w:r>
        <w:rPr>
          <w:rFonts w:hint="eastAsia" w:ascii="仿宋" w:hAnsi="仿宋" w:eastAsia="仿宋" w:cs="仿宋"/>
          <w:sz w:val="32"/>
          <w:szCs w:val="32"/>
        </w:rPr>
        <w:t>深入开展《信访工作条例》推进年、落实年活动，宣传推动《信访工作条例》深入落实。优化信访工作考核办法，压实信访工作属地责任，推进机关、单位做好各自职责范围内的信访工作。健全完善制度机制，持续推进县、镇两级信访工作联席会议工作机制高质量运行，通过分析研判重大信访形势、协调处理重大信访问题、联合督查信访工作落实，推动县域内矛盾纠纷及时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地化解。加强机关作风建设，聚焦职能责任，协调解决重要信访问题。</w:t>
      </w:r>
    </w:p>
    <w:p>
      <w:pPr>
        <w:numPr>
          <w:ilvl w:val="0"/>
          <w:numId w:val="1"/>
        </w:num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聚力创建全国信访工作示范县。</w:t>
      </w:r>
      <w:r>
        <w:rPr>
          <w:rFonts w:hint="eastAsia" w:ascii="仿宋" w:hAnsi="仿宋" w:eastAsia="仿宋" w:cs="仿宋"/>
          <w:sz w:val="32"/>
          <w:szCs w:val="32"/>
        </w:rPr>
        <w:t>对标13项创建标准，细化具体工作，夯实工作职责，制定印发《全国信访工作示范县创建工作实施方案》。精准交办重点人员和重点群体，落实各镇属地管控责任，严控进京赴省到市越级上访，严肃接访劝返机制运行。采取有效措施做好“三跨三分离”信访事项收集和督办化解。通过周提醒、月研判、季调度，确保网上信访数据控制在示范县创建指标范围之内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扎实开展信访问题源头治理。</w:t>
      </w:r>
      <w:r>
        <w:rPr>
          <w:rFonts w:hint="eastAsia" w:ascii="仿宋" w:hAnsi="仿宋" w:eastAsia="仿宋" w:cs="仿宋"/>
          <w:sz w:val="32"/>
          <w:szCs w:val="32"/>
        </w:rPr>
        <w:t>紧盯民生保障政策落实、征地拆迁安置、民间集资融资等重点信访问题，利用三个月时间开展一轮有深度、有广度的信访矛盾纠纷大排查大化解大稳控工作，对排查出来的信访问题认真梳理，加强分析研判，及时归类交办，按照“属地管理、分级负责”“谁主管、谁负责”“依法及时就地处理信访问题”原则，分级建立化解台账，逐案销号管理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合力推进信访积案有效化解。</w:t>
      </w:r>
      <w:r>
        <w:rPr>
          <w:rFonts w:hint="eastAsia" w:ascii="仿宋" w:hAnsi="仿宋" w:eastAsia="仿宋" w:cs="仿宋"/>
          <w:sz w:val="32"/>
          <w:szCs w:val="32"/>
        </w:rPr>
        <w:t>有序组织积案攻坚活动，紧紧围绕上级交办案件、领导批示信访案件，探索信访矛盾多元化解工作机制，加大指导和督办力度，有效提升初信初访一次性化解率。按照“三到位一处理”工作原则，综合采取法律、政策、情感和教育疏导等方式方法，对疑难复杂信访案件开展听证评议，助推重点案件信访人息诉罢访。持续关注重点群体和重点信访对象，多措并举、落实压实稳控工作责任。</w:t>
      </w:r>
    </w:p>
    <w:p>
      <w:pPr>
        <w:pStyle w:val="2"/>
        <w:spacing w:line="360" w:lineRule="auto"/>
        <w:ind w:leftChars="0" w:firstLine="723" w:firstLineChars="2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落实县镇领导常态接访包案。</w:t>
      </w:r>
      <w:r>
        <w:rPr>
          <w:rFonts w:hint="eastAsia" w:ascii="仿宋" w:hAnsi="仿宋" w:eastAsia="仿宋" w:cs="仿宋"/>
          <w:sz w:val="32"/>
          <w:szCs w:val="32"/>
        </w:rPr>
        <w:t>坚持领导干部定期接访、下访、约访、回访工作机制，定期分析研判信访形势，梳理重点信访问题落实县级领导包案化解，科学制定县级领导坐班接访日程安排，在重要时间节点每天落实一名县级领导坐班接访，解决突出问题。各镇各部门严格落实科级领导接访、包案工作责任，通过高位推动，下大力气解决一批突出、疑难信访问题。</w:t>
      </w:r>
    </w:p>
    <w:p>
      <w:pPr>
        <w:spacing w:line="360" w:lineRule="auto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强化重要时期信访安全保障。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科学、快速、管用的信访保障措施和工作方案，抽调精干力量在重要节点和会议期间开展驻京、驻会、驻站工作，确保重要时间节点正常信访工作秩序。全面落实重点群体和重点对象稳控工作责任，及时启动信访信息“零报告”机制。</w:t>
      </w:r>
    </w:p>
    <w:p>
      <w:pPr>
        <w:spacing w:line="360" w:lineRule="auto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（七）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加强网上信访工作指导督导。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集中培训、实地指导、跟班学习等方式，全面加强各镇、各部门信访业务培训，紧盯网上信访信息系统应用存在的突出问题实地检查督导，定期开展网上信访案件办理评查、巡查，重点对信访事项登记的规范度、信访事项的及时受理率和按期办结率、网上信访案件的办理质量、上报材料规范度、信访群众的参评率和满意度进行抽查检查，对不符合结案条件的坚决退回重办并予以通报。</w:t>
      </w:r>
    </w:p>
    <w:p>
      <w:pPr>
        <w:spacing w:line="360" w:lineRule="auto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（八）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创新方法化解信访突出问题。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探索“互联网+信访”工作模式，全面应用好信访信息系统、智慧信访平台、民情114抖音信访和微信四个网上平台。全面整合信访局、书记县长服务热线、领导批示等多个渠道，形成统一受理、统一办理、统一查询、统一评价、统一回访的闭环办理流程，解决一事多投、重复交叉办理、工作质效不高等问题。继续做好微信群、工作群管理，高度关注网上舆情，高质量开展网上信访工作。</w:t>
      </w:r>
    </w:p>
    <w:p>
      <w:pPr>
        <w:spacing w:line="360" w:lineRule="auto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（九）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全力建成社会治理服务中心。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全力配合县社会治理服务中心建设，按照建设进度要求，严格遵守常驻、随驻规定，确保中心建设稳步推进，达到预期目标。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从预算单位构成看，本部门的部门预算只包括部门本级（机关）预算，无二级单位预算。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紫阳县信访局部门本级（机关）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sz w:val="32"/>
          <w:szCs w:val="32"/>
        </w:rPr>
        <w:t>2022年底，本部门人员编制13人，其中行政编制5人、事业编制8人；实有人员13人，其中行政5人、事业8人。单位管理的离退休人员6人。</w:t>
      </w:r>
    </w:p>
    <w:p>
      <w:pPr>
        <w:spacing w:line="360" w:lineRule="auto"/>
        <w:ind w:firstLine="480"/>
        <w:jc w:val="center"/>
      </w:pPr>
      <w:r>
        <w:drawing>
          <wp:inline distT="0" distB="0" distL="114300" distR="114300">
            <wp:extent cx="5267325" cy="3180715"/>
            <wp:effectExtent l="4445" t="4445" r="5080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2023年本部门预算收入226.7万元，其中一般公共预算拨款收入226.7万元、政府性基金拨款收入0万元，2023年本部门预算收入较上年增加35.87万元，主要原因是人员工资调整；2023年本部门预算支出226.7万元，其中一般公共预算拨款支出226.7万元、政府性基金拨款支出0万元，2023年本部门预算支出较上年增加35.87万元，主要原因是人员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财政拨款收入226.7万元，其中一般公共预算拨款收入226.7万元、政府性基金拨款收入0万元，2023年本部门财政拨款收入较上年增加35.87万元，主要原因是人员工资调整；2023年本部门财政拨款支出226.7万元，其中一般公共预算拨款支出226.7万元、政府性基金拨款支出0万元，2023年本部门财政拨款支出较上年增加35.87万元，主要原因是人员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2023年本部门当年一般公共预算拨款支出226.7万元，较上年增加35.87万元，主要原因是人员工资调整。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本部门2023年当年一般公共预算支出226.7万元，其中：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（1）行政运行（2010301）68.12万元，较上年增加68.12万元，原因是填报口径变化，行政人员工资列入该科目预算；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（2）信访事务（2010308）54.72万元，较上年减少87.87万元，原因是填报口径变化，人员经费分别列入行政运行和其他政府办公厅（室）及相关机构事务支出科目预算；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（3）其他政府办公厅（室）及相关机构事务支出（2010399）64.27万元，较上年增加47.83万元，原因是填报口径变化，事业人员工资列入该科目预算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ind w:left="480" w:firstLine="480"/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（4）机关事业单位基本养老保险缴费支出（2080505）17.66万元，较上年增加4.02万元，原因是人员和工资调整；</w:t>
      </w:r>
    </w:p>
    <w:p>
      <w:pPr>
        <w:spacing w:line="360" w:lineRule="auto"/>
        <w:ind w:firstLine="720" w:firstLineChars="225"/>
      </w:pPr>
      <w:r>
        <w:rPr>
          <w:rFonts w:hint="eastAsia" w:ascii="仿宋" w:hAnsi="仿宋" w:eastAsia="仿宋" w:cs="仿宋"/>
          <w:sz w:val="32"/>
          <w:szCs w:val="32"/>
        </w:rPr>
        <w:t>（5）行政单位医疗（2101101）8.68万元，较上年增加2.01万元，原因是人员和工资调整；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（6）住房公积金（2210201）13.25万元，较上年增加1.76万元，原因是人员和工资调整。</w:t>
      </w:r>
    </w:p>
    <w:p>
      <w:pPr>
        <w:spacing w:line="360" w:lineRule="auto"/>
        <w:ind w:firstLine="723" w:firstLineChars="2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720" w:firstLineChars="2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2023年本部门当年一般公共预算支出226.7万元，其中：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工资福利支出（301）161.01万元，较上年增加28.12万元，原因是人员调入；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商品和服务支出（302）64.68万元，较上年增加7.94万元，原因是人员调入，支出增加；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对个人和家庭的补助支出（303）1.01万元，较上年减少0.19万元，原因是退休人员减少，费用相应减少。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2023年本部门当年一般公共预算支出226.7万元，其中：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机关工资福利支出（501）132.89万元，较上年增加28.12万元，原因是人员调入和当年工资调整；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机关商品和服务支出（502）64.68万元，较上年增加7.94万元，原因是人员调入，支出增加；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对个人和家庭补助支出（509）1.01万元，较上年减少0.19万元，原因是退休人员减少，费用相应减少。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1）2023年本部门当年一般公共预算“三公”经费预算支出0.7万元，较上年增加0.05万元（7.69%），增加的主要原因是公用经费预算增加，三公经费预算比例增加。其中：因公出国（境）经费0万元，较上年无变化；公务接待费0.7万元，较上年增加0.05万元（7.69%），增加的主要原因是公用经费预算增加，三公经费预算比例增加；公务用车运行费0万元，较上年无变化；公务用车购置费0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（2）2023年本部门当年会议费预算支出0万元，较上年无变化。培训费0万元，较上年无变化。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本部门无2022年结转的财政拨款‘三公’经费和会议费、培训费支出。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截止2022年底，本部门所属预算单位共有车辆0辆，单价20万元以上的设备0台（套）。2023年当年部门预算安排购置车辆0辆；安排购置单价20万元以上的设备0台（套）。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本部门无2022年结转的财政拨款支出资产购置。</w:t>
      </w:r>
    </w:p>
    <w:p>
      <w:pPr>
        <w:numPr>
          <w:ilvl w:val="0"/>
          <w:numId w:val="6"/>
        </w:numPr>
        <w:spacing w:line="360" w:lineRule="auto"/>
        <w:ind w:firstLine="48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本部门无2022年结转的政府采购资金支出。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2023年本部门绩效目标管理全覆盖，涉及当年一般公共预算拨款226.7万元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本部门无2022年结转的财政拨款支出涉及的绩效目标管理。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本部门当年机关运行经费预算安排7.72万元，较上年减少9.02万元，主要原因是公务交通补贴调整列入人员经费预算。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本部门无2022年结转的财政拨款机关运行经费支出。</w:t>
      </w:r>
    </w:p>
    <w:p>
      <w:pPr>
        <w:spacing w:line="360" w:lineRule="auto"/>
        <w:ind w:left="96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2.“三公”经费</w:t>
      </w:r>
      <w:r>
        <w:rPr>
          <w:rFonts w:hint="eastAsia" w:ascii="仿宋" w:hAnsi="仿宋" w:eastAsia="仿宋"/>
          <w:sz w:val="32"/>
          <w:lang w:eastAsia="zh-CN"/>
        </w:rPr>
        <w:t>：</w:t>
      </w:r>
      <w:r>
        <w:rPr>
          <w:rFonts w:hint="eastAsia" w:ascii="仿宋" w:hAnsi="仿宋" w:eastAsia="仿宋"/>
          <w:sz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2"/>
        <w:ind w:left="480"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left="480"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leftChars="0" w:firstLine="0" w:firstLineChars="0"/>
      </w:pPr>
    </w:p>
    <w:p>
      <w:pPr>
        <w:pStyle w:val="2"/>
        <w:ind w:leftChars="0"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紫阳县信访局</w:t>
      </w:r>
    </w:p>
    <w:p>
      <w:pPr>
        <w:pStyle w:val="2"/>
        <w:ind w:left="480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2023年3月13日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42EB8BD0"/>
    <w:multiLevelType w:val="singleLevel"/>
    <w:tmpl w:val="42EB8B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0204CD"/>
    <w:rsid w:val="00C10E8D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12625E5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D78780D"/>
    <w:rsid w:val="1E0072C5"/>
    <w:rsid w:val="1E1E7AD2"/>
    <w:rsid w:val="1EAB5E70"/>
    <w:rsid w:val="1ED0381D"/>
    <w:rsid w:val="20FE50B8"/>
    <w:rsid w:val="210F400E"/>
    <w:rsid w:val="22107871"/>
    <w:rsid w:val="229A281A"/>
    <w:rsid w:val="22FC7FE4"/>
    <w:rsid w:val="2383657E"/>
    <w:rsid w:val="23B51503"/>
    <w:rsid w:val="23C94306"/>
    <w:rsid w:val="23F45765"/>
    <w:rsid w:val="242E73FF"/>
    <w:rsid w:val="246C5345"/>
    <w:rsid w:val="24AB40AF"/>
    <w:rsid w:val="24E07B7D"/>
    <w:rsid w:val="24FC6952"/>
    <w:rsid w:val="253C0FD4"/>
    <w:rsid w:val="25AC6988"/>
    <w:rsid w:val="26CC76FD"/>
    <w:rsid w:val="272308AF"/>
    <w:rsid w:val="28064C78"/>
    <w:rsid w:val="2864072E"/>
    <w:rsid w:val="2A3E38E1"/>
    <w:rsid w:val="2BF2458F"/>
    <w:rsid w:val="2E131E61"/>
    <w:rsid w:val="2F3B562F"/>
    <w:rsid w:val="2FC8494E"/>
    <w:rsid w:val="314B37FB"/>
    <w:rsid w:val="31B733F7"/>
    <w:rsid w:val="385D1A98"/>
    <w:rsid w:val="38F70388"/>
    <w:rsid w:val="3A4434B4"/>
    <w:rsid w:val="3B055E9C"/>
    <w:rsid w:val="3B535373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3023FD"/>
    <w:rsid w:val="48422B9F"/>
    <w:rsid w:val="488947B6"/>
    <w:rsid w:val="4A681C08"/>
    <w:rsid w:val="4ADC78F6"/>
    <w:rsid w:val="4F036519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5984E93"/>
    <w:rsid w:val="56051C6B"/>
    <w:rsid w:val="563F4648"/>
    <w:rsid w:val="569E1158"/>
    <w:rsid w:val="57C07DEE"/>
    <w:rsid w:val="57F70F11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7CC7D17"/>
    <w:rsid w:val="68EA113C"/>
    <w:rsid w:val="699E67D8"/>
    <w:rsid w:val="69B23FEC"/>
    <w:rsid w:val="69E141D5"/>
    <w:rsid w:val="69F87A79"/>
    <w:rsid w:val="6A6D2592"/>
    <w:rsid w:val="6C540332"/>
    <w:rsid w:val="6DBE3A60"/>
    <w:rsid w:val="6E8A04A9"/>
    <w:rsid w:val="6F3075D5"/>
    <w:rsid w:val="6F5403ED"/>
    <w:rsid w:val="6FDD1942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3C053C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WXS&#25991;&#26723;\&#39044;&#31639;\2022\2022&#39044;&#31639;&#20844;&#24320;\&#29983;&#25104;&#26609;&#24418;&#2227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[生成柱形图1.xlsx]柱形图!数据透视表1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748055555555556"/>
          <c:y val="0.152083332339923"/>
          <c:w val="0.680472222222222"/>
          <c:h val="0.6422222242090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[生成柱形图1.xlsx]柱形图!$C$8</c:f>
              <c:strCache>
                <c:ptCount val="1"/>
                <c:pt idx="0">
                  <c:v>行政人员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[生成柱形图1.xlsx]柱形图!$B$9:$B$11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[生成柱形图1.xlsx]柱形图!$C$9:$C$11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[生成柱形图1.xlsx]柱形图!$D$8</c:f>
              <c:strCache>
                <c:ptCount val="1"/>
                <c:pt idx="0">
                  <c:v>事业人员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[生成柱形图1.xlsx]柱形图!$B$9:$B$11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[生成柱形图1.xlsx]柱形图!$D$9:$D$11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8431430"/>
        <c:axId val="987298069"/>
      </c:barChart>
      <c:catAx>
        <c:axId val="20843143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7298069"/>
        <c:crosses val="autoZero"/>
        <c:auto val="1"/>
        <c:lblAlgn val="ctr"/>
        <c:lblOffset val="100"/>
        <c:noMultiLvlLbl val="0"/>
      </c:catAx>
      <c:valAx>
        <c:axId val="98729806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43143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4745</Words>
  <Characters>5098</Characters>
  <Lines>37</Lines>
  <Paragraphs>10</Paragraphs>
  <TotalTime>21</TotalTime>
  <ScaleCrop>false</ScaleCrop>
  <LinksUpToDate>false</LinksUpToDate>
  <CharactersWithSpaces>5129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2023-03-24T03:26:00Z</cp:lastPrinted>
  <dcterms:modified xsi:type="dcterms:W3CDTF">2023-05-04T03:23:11Z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