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72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紫阳县招商服务中心</w:t>
      </w:r>
    </w:p>
    <w:p>
      <w:pPr>
        <w:spacing w:line="360" w:lineRule="auto"/>
        <w:ind w:firstLine="72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2023年部门综合预算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第一部分   部门概况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一、部门主要职责及机构设置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二、2023年年度部门工作任务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四、部门人员情况说明</w:t>
      </w:r>
    </w:p>
    <w:p>
      <w:pPr>
        <w:spacing w:line="360" w:lineRule="auto"/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第三部分   其他说明情况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六、部门预算“三公”经费等情况说明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八、部门政府采购情况说明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十一、专业名词解释</w:t>
      </w:r>
    </w:p>
    <w:p>
      <w:pPr>
        <w:spacing w:line="360" w:lineRule="auto"/>
        <w:ind w:firstLine="643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 部门概况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（一）部门主要职责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1.贯彻落实国家、省、市、县招商引资方针政策，参与全县招商引资和促进县内社会资本投资有关政策的制定， 并组织实施；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2.承担县委、县政府安排的招商引资任务，牵头全县招商引资及县内社会民间投资的组织、协调、管理和服务工作；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负责全县重点招商引资项目的策划、论证及评审等事务性工作，做好全县招商引资项目筛选及统筹管理，建立招商引资项目库；协调指导各镇、部门建立完善子项目库工作；负责招商引资网络信息平台的维护和管理，发布招商项目信息；负责全县招商引资情况的汇总统计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4.负责重大招商项目的推介、 洽谈， 提供投资咨询服务，配合各招商引资主体促进项目落地建设；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负责策划重大招商引资推介考察活动，牵头组织参加中、省、市组织的招商引资推介会、洽谈会、展销会等各枑经济合作活动；负责同国内外赴紫投资考察的工商企业、行业协会、商务机构的联系对接，并组织好相关投资考察及招商洽谈活动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6.参与全县重点招商引资项目的援建服务工作，协助投资商办理建审手续，协助组织外来企业对有关部门进行评议，配合搞好投资环境的优化及保障工作；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7.配合有关部门参与全县招商引资年度考核事务性工作；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8.承办县委、县政府交办的其他工作。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本部门现设有综合股、招商股、项目股、投资服务股四个股室，无下属单位。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二、2023年度部门工作任务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（一）围绕“4+3”重点产业链的建链、补链、强链，牵头建立紫阳县招商项目库，筛选一批关联性强、成长性好、附加值高的招商项目编制《紫阳县招商项目册》。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大开放招商力度，聚焦长三角、大湾区等重点区域，紧盯招大引强、招小聚多，常态化开展小分队靶向招商、清单式目标招商、产业链定制招商，引进培育一批链主企业和小优主体，完成招商签约项目8个、招商落地项目5个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扎实开展‘营商环境突破年’活动，强化招商项目全生命周期服务，着力形成项目从前期谋划、招商引资到落地建设、投产达效的完整闭环服务机制，确保项目快落地、快建设、快投产，提升项目签约率、开工率、进资率。完善优化招商引资优惠政策措施，做到审慎承诺、刚性兑现，确保项目招得进、留得住、能发展。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从预算单位构成看，本部门的部门预算包括部门本级（机关）预算，无二级预算单位。</w:t>
      </w:r>
    </w:p>
    <w:p>
      <w:pPr>
        <w:pStyle w:val="2"/>
        <w:ind w:firstLine="482"/>
      </w:pP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紫阳县招商服务中心本级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</w:tbl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四、部门人员情况说明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截止2022年底，本部门人员编制15人，其中行政编制0人、事业编制15人；实有人员12人，其中行政0人、事业12人。单位管理的离退休人员0人。</w:t>
      </w:r>
    </w:p>
    <w:p>
      <w:pPr>
        <w:spacing w:line="360" w:lineRule="auto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/>
        <w:jc w:val="center"/>
      </w:pPr>
      <w:r>
        <w:rPr>
          <w:rFonts w:hint="eastAsia"/>
        </w:rPr>
        <w:t xml:space="preserve">    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第二部分  收支情况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五、2023年部门预算收支说明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（一）收支预算总体情况。</w:t>
      </w:r>
    </w:p>
    <w:p>
      <w:pPr>
        <w:wordWrap w:val="0"/>
        <w:topLinePunct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算管理。2023年本部门预算收入251.63万元，其中一般公共预算拨款收入251.63万元、政府性基金拨款收入0.00万元，2023年本部门预算收入较上年增加3.34万元，主要原因是政策要求及人员变化，工资标准及配套资金产生变化；2023年本部门预算支出251.63万元，其中一般公共预算拨款支出251.63万元、政府性基金拨款支出0.00万元，2023年本部门预算支出较上年增加3.34万元，主要原因是政策要求及人员变化，工资标准及配套资金产生变化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（二）财政拨款收支情况。</w:t>
      </w:r>
    </w:p>
    <w:p>
      <w:pPr>
        <w:wordWrap w:val="0"/>
        <w:topLinePunct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财政拨款收入251.63万元，其中一般公共预算拨款收入251.63万元、政府性基金拨款收入0.00万元，2023年本部门财政拨款收入较上年增加3.34万元，主要原因是政策要求及人员变化，工资标准及配套资金产生变化；2023年本部门财政拨款支出251.63万元，其中一般公共预算拨款支出251.63万元、政府性基金拨款支出0.00万元，2023年本部门财政拨款支出较上年增加3.34万元，主要原因是政策要求及人员变化，工资标准及配套资金产生变化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（三）一般公共预算拨款支出明细情况。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一般公共预算当年拨款规模变化情况。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2023年本部门当年一般公共预算拨款支出251.63万元，较上年增加3.34万元，主要原因是预算调整，及人员变化工资标准及配套资金产生变化。</w:t>
      </w:r>
    </w:p>
    <w:p>
      <w:pPr>
        <w:spacing w:line="360" w:lineRule="auto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2、支出按功能科目分类的明细情况。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本部门2023年当年一般公共预算支出251.63万元，其中：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（1）招商引资（2011308）137.13万元，较上年减少84.06万元，原因是本年调整部分预算的功能科目；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（2）事业运行（2011350）85.48万元，较上年增加85.48万元，原因是本年调整部分预算的功能科目；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（3）机关事业单位基本养老保险缴费支出（2080505）12.87万元，较上年增加1.64万元，原因是人员增加，财政配套养老经费增加；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（4）事业单位医疗（2101102）6.35万元，较上年增加0.84万元，原因是人员增加，财政配套医疗经费增加；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（5）住房公积金（2210201）9.8万元，较上年增加9.8万元，原因是预算调整，财政配套公积金经费由各单位预算；</w:t>
      </w:r>
    </w:p>
    <w:p>
      <w:pPr>
        <w:kinsoku w:val="0"/>
        <w:overflowPunct w:val="0"/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支出按经济科目分类的明细情况。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（1）按照部门预算支出经济分类的类级科目说明。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2023年本部门当年一般公共预算支出251.63万元，其中：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工资福利支出（301）114.5万元，较上年增加13.14万元，原因是预算调整及人员变化工资标准及配套资金产生变化；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商品和服务支出（302）132.13万元，较上年减少15万元，原因是预算减少及预算科目调整；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资本性支出（310）5万元，较上年增加5万元，原因是部分资产报废，需购买新资产用于办公；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（2）按照政府预算支出经济分类的类级科目说明。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2023年本部门当年一般公共预算支出251.63万元，其中：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机关工资福利支出（501）114.5万元，较上年增加13.14万元，原因是预算调整及人员变化工资标准及配套资金产生变化；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机关商品和服务支出（502）132.13万元，较上年减少15万元，原因是预算减少及预算科目调整；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机关资本性支出（一）（503）5万元，较上年增加5万元，原因是部分资产报废，需购买新资产用于办公；</w:t>
      </w:r>
    </w:p>
    <w:p>
      <w:pPr>
        <w:kinsoku w:val="0"/>
        <w:overflowPunct w:val="0"/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2022年结转财政资金一般公共预算拨款支出情况。</w:t>
      </w:r>
    </w:p>
    <w:p>
      <w:pPr>
        <w:kinsoku w:val="0"/>
        <w:overflowPunct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本部门无2022年结转的一般公共预算拨款资金支出。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（四）政府性基金预算支出情况。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1、当年政府性基金预算支出情况。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本部门无当年政府性基金预算收支，并已公开空表。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2、上年结转政府性基金预算支出情况。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本部门无2022年结转的政府性基金预算拨款支出。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（五）国有资本经营预算拨款收支情况。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本部门无当年国有资本经营预算拨款收支，并在财政拨款收支总体情况表中列示。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本部门无2022年结转的国有资本经营预算拨款支出。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其他说明情况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六、部门预算“三公”经费等预算情况说明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2023年本部门当年一般公共预算“三公”经费预算支出20.65万元，较上年增加20万元（97%），增加的主要原因是与上年度批复口径不一样。其中：因公出国（境）经费0万元；公务接待费20.65万元，较上年增加20万元（97%），增加的主要原因是与上年度批复口径不一样；公务用车运行费0.00万元，较上年无变化；公务用车购置费0.00万元，较上年无变化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（2）2023年本部门当年会议费预算支出15万元，较上年增加15万元（100%），增加的主要原因是与上年度批复口径不一样。培训费0万元，较上年无变化。</w:t>
      </w:r>
    </w:p>
    <w:p>
      <w:pPr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会议费培训费明细 </w:t>
      </w:r>
    </w:p>
    <w:p>
      <w:pPr>
        <w:ind w:firstLine="48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单位：万元</w:t>
      </w:r>
    </w:p>
    <w:tbl>
      <w:tblPr>
        <w:tblStyle w:val="5"/>
        <w:tblW w:w="7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78"/>
        <w:gridCol w:w="2438"/>
        <w:gridCol w:w="933"/>
        <w:gridCol w:w="889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20" w:type="dxa"/>
          </w:tcPr>
          <w:p>
            <w:pPr>
              <w:spacing w:line="360" w:lineRule="auto"/>
              <w:ind w:firstLine="36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778" w:type="dxa"/>
          </w:tcPr>
          <w:p>
            <w:pPr>
              <w:spacing w:line="360" w:lineRule="auto"/>
              <w:ind w:firstLine="36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会议/培训名称</w:t>
            </w:r>
          </w:p>
        </w:tc>
        <w:tc>
          <w:tcPr>
            <w:tcW w:w="2438" w:type="dxa"/>
          </w:tcPr>
          <w:p>
            <w:pPr>
              <w:spacing w:line="360" w:lineRule="auto"/>
              <w:ind w:firstLine="36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时间</w:t>
            </w:r>
          </w:p>
        </w:tc>
        <w:tc>
          <w:tcPr>
            <w:tcW w:w="933" w:type="dxa"/>
          </w:tcPr>
          <w:p>
            <w:pPr>
              <w:spacing w:line="360" w:lineRule="auto"/>
              <w:ind w:firstLine="180" w:firstLineChars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人数</w:t>
            </w:r>
          </w:p>
        </w:tc>
        <w:tc>
          <w:tcPr>
            <w:tcW w:w="889" w:type="dxa"/>
          </w:tcPr>
          <w:p>
            <w:pPr>
              <w:spacing w:line="360" w:lineRule="auto"/>
              <w:ind w:firstLine="180" w:firstLineChars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金额</w:t>
            </w:r>
          </w:p>
        </w:tc>
        <w:tc>
          <w:tcPr>
            <w:tcW w:w="834" w:type="dxa"/>
          </w:tcPr>
          <w:p>
            <w:pPr>
              <w:spacing w:line="360" w:lineRule="auto"/>
              <w:ind w:firstLine="180" w:firstLineChars="10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0" w:type="dxa"/>
          </w:tcPr>
          <w:p>
            <w:pPr>
              <w:spacing w:line="360" w:lineRule="auto"/>
              <w:ind w:firstLine="300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</w:t>
            </w:r>
          </w:p>
        </w:tc>
        <w:tc>
          <w:tcPr>
            <w:tcW w:w="1778" w:type="dxa"/>
          </w:tcPr>
          <w:p>
            <w:pPr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招商引资推介、签约系列活动</w:t>
            </w:r>
          </w:p>
        </w:tc>
        <w:tc>
          <w:tcPr>
            <w:tcW w:w="2438" w:type="dxa"/>
          </w:tcPr>
          <w:p>
            <w:pPr>
              <w:spacing w:line="360" w:lineRule="auto"/>
              <w:ind w:firstLine="22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</w:rPr>
              <w:t>2023年1月1日—2023年12月31日</w:t>
            </w:r>
          </w:p>
        </w:tc>
        <w:tc>
          <w:tcPr>
            <w:tcW w:w="933" w:type="dxa"/>
          </w:tcPr>
          <w:p>
            <w:pPr>
              <w:spacing w:line="36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300人</w:t>
            </w:r>
          </w:p>
        </w:tc>
        <w:tc>
          <w:tcPr>
            <w:tcW w:w="889" w:type="dxa"/>
          </w:tcPr>
          <w:p>
            <w:pPr>
              <w:spacing w:line="360" w:lineRule="auto"/>
              <w:ind w:firstLine="300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15</w:t>
            </w:r>
          </w:p>
        </w:tc>
        <w:tc>
          <w:tcPr>
            <w:tcW w:w="834" w:type="dxa"/>
          </w:tcPr>
          <w:p>
            <w:pPr>
              <w:spacing w:line="360" w:lineRule="auto"/>
              <w:ind w:firstLine="300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本部门无2022年结转的财政拨款‘三公’经费和会议费、培训费支出。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七、部门国有资产占有使用及资产购置情况说明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截止2022年底，本部门所属预算单位共有车辆0辆，单价20万元以上的设备0台（套）。2023年当年部门预算安排购置车辆0辆；安排购置单价20万元以上的设备0台（套）。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本部门无2022年结转的财政拨款支出资产购置。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八、部门政府采购情况说明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2023年当年本部门政府采购预算共10万元，其中政府采购货物类预算0万元、政府采购服务类预算10万元、政府采购工程类预算0万元（详见公开报表中的政府采购表）。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本部门无2022年结转的政府采购资金支出。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九、部门预算绩效目标说明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2023年本部门绩效目标管理全覆盖，涉及当年一般公共预算拨款251.63万元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本部门无2022年结转的财政拨款支出涉及的绩效目标管理。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十、机关运行经费安排说明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本部门当年机关运行经费预算安排27.13万元，较上年增加20万元，主要原因是上年度批复口径不一样。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本部门无2022年结转的财政拨款机关运行经费支出。</w:t>
      </w:r>
    </w:p>
    <w:p>
      <w:pPr>
        <w:spacing w:line="360" w:lineRule="auto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十一、专业名词解释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  公开报表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（详见附表）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00397D"/>
    <w:rsid w:val="000A2F5A"/>
    <w:rsid w:val="00D70262"/>
    <w:rsid w:val="018F2D13"/>
    <w:rsid w:val="02953D9A"/>
    <w:rsid w:val="03791D26"/>
    <w:rsid w:val="0466605A"/>
    <w:rsid w:val="04F35073"/>
    <w:rsid w:val="059D790E"/>
    <w:rsid w:val="061D2748"/>
    <w:rsid w:val="06D7231D"/>
    <w:rsid w:val="075D6C6A"/>
    <w:rsid w:val="0773304F"/>
    <w:rsid w:val="08510731"/>
    <w:rsid w:val="089D1D43"/>
    <w:rsid w:val="0A252635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1247B5E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C092B1E"/>
    <w:rsid w:val="2F3B562F"/>
    <w:rsid w:val="2FC8494E"/>
    <w:rsid w:val="314B37FB"/>
    <w:rsid w:val="31B733F7"/>
    <w:rsid w:val="385D1A98"/>
    <w:rsid w:val="38F70388"/>
    <w:rsid w:val="3A4434B4"/>
    <w:rsid w:val="3B055E9C"/>
    <w:rsid w:val="3C280FA6"/>
    <w:rsid w:val="3D28036F"/>
    <w:rsid w:val="3D8407DF"/>
    <w:rsid w:val="3DFF32ED"/>
    <w:rsid w:val="3EDA0AFC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407CFE"/>
    <w:rsid w:val="58FE3115"/>
    <w:rsid w:val="592D7B67"/>
    <w:rsid w:val="59D947AF"/>
    <w:rsid w:val="59F96CB8"/>
    <w:rsid w:val="5A044ADE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AE709BB"/>
    <w:rsid w:val="6C540332"/>
    <w:rsid w:val="6DBE3A60"/>
    <w:rsid w:val="6E8A04A9"/>
    <w:rsid w:val="6F3075D5"/>
    <w:rsid w:val="6F5403ED"/>
    <w:rsid w:val="71A236EE"/>
    <w:rsid w:val="73843559"/>
    <w:rsid w:val="7471242D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  <w:rsid w:val="7F9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560" w:lineRule="exact"/>
      <w:textAlignment w:val="baseline"/>
    </w:pPr>
    <w:rPr>
      <w:rFonts w:ascii="Calibri" w:hAnsi="Calibri" w:cs="Calibri"/>
      <w:b/>
      <w:bCs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[工作簿1]Sheet1!$B$7</c:f>
              <c:strCache>
                <c:ptCount val="1"/>
                <c:pt idx="0">
                  <c:v>2022年事业编人数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[工作簿1]Sheet1!$C$6:$D$6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[工作簿1]Sheet1!$C$7:$D$7</c:f>
              <c:numCache>
                <c:formatCode>General</c:formatCode>
                <c:ptCount val="2"/>
                <c:pt idx="0">
                  <c:v>15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802525"/>
        <c:axId val="251811662"/>
      </c:barChart>
      <c:catAx>
        <c:axId val="30580252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1811662"/>
        <c:crosses val="autoZero"/>
        <c:auto val="1"/>
        <c:lblAlgn val="ctr"/>
        <c:lblOffset val="100"/>
        <c:noMultiLvlLbl val="0"/>
      </c:catAx>
      <c:valAx>
        <c:axId val="25181166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580252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[工作簿1]Sheet1!$C$11</c:f>
              <c:strCache>
                <c:ptCount val="1"/>
                <c:pt idx="0">
                  <c:v>一般公共预算拨款支出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[工作簿1]Sheet1!$D$10:$E$10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[工作簿1]Sheet1!$D$11:$E$11</c:f>
              <c:numCache>
                <c:formatCode>General</c:formatCode>
                <c:ptCount val="2"/>
                <c:pt idx="0">
                  <c:v>248.29</c:v>
                </c:pt>
                <c:pt idx="1">
                  <c:v>251.63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46712888"/>
        <c:axId val="871230434"/>
      </c:barChart>
      <c:catAx>
        <c:axId val="646712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1230434"/>
        <c:crosses val="autoZero"/>
        <c:auto val="1"/>
        <c:lblAlgn val="ctr"/>
        <c:lblOffset val="100"/>
        <c:noMultiLvlLbl val="0"/>
      </c:catAx>
      <c:valAx>
        <c:axId val="87123043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46712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3693</Words>
  <Characters>4049</Characters>
  <Lines>30</Lines>
  <Paragraphs>8</Paragraphs>
  <TotalTime>50</TotalTime>
  <ScaleCrop>false</ScaleCrop>
  <LinksUpToDate>false</LinksUpToDate>
  <CharactersWithSpaces>4116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2023-05-04T03:24:46Z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