
<file path=[Content_Types].xml><?xml version="1.0" encoding="utf-8"?>
<Types xmlns="http://schemas.openxmlformats.org/package/2006/content-types">
  <Default Extension="xml" ContentType="application/xml"/>
  <Default Extension="xls" ContentType="application/vnd.ms-exce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紫阳县文化和旅游广电局</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1.贯彻落实中省市关于维护文物、旅游、广播电影电视、新闻出版工作的方针政策和法律法规，拟定全县维护文物旅游产业规划和年度计划并组织实施；</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2.负责推进全县维护文物旅游广电领域的公共服务体系建设、基础设施建设和体制机制改革；文化旅游新经验的推广应用；拟定旅游产业管理规范性文件文化艺术创作、舞台艺术精品工程计划并组织实施</w:t>
      </w:r>
      <w:r>
        <w:rPr>
          <w:rFonts w:hint="eastAsia" w:ascii="仿宋" w:hAnsi="仿宋" w:eastAsia="仿宋" w:cs="仿宋"/>
          <w:sz w:val="32"/>
          <w:szCs w:val="32"/>
          <w:lang w:eastAsia="zh-CN"/>
        </w:rPr>
        <w:t>；</w:t>
      </w:r>
      <w:bookmarkStart w:id="0" w:name="_GoBack"/>
      <w:bookmarkEnd w:id="0"/>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3.负责全县广播电视覆盖实施和管理；建立健全广播电视村村通工资长效机制，构建农村广播电视的公共服务体系；拟定全县文物保护及非物质遗产保护规划，优秀民间文化和地域文化的传承普及工作；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4.组织全县维护市场综合执法工作；文化营业场所实行经营许可证管理和出版物市场管理；组织协调全县维护市场“扫黄打非”工作，组织查处非法出版物和非法出版活动的案件；指导文化文物旅游广电系统教育培训和人才培训计划，组织实施从业人员职业资格和等级资格管理工作。</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本部门现设有政办股、文化文物股、旅游股、广电股四个股室，另有紫阳县文化馆、紫阳县民歌汉剧艺术研究中心下属单位。</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spacing w:line="360" w:lineRule="auto"/>
        <w:ind w:firstLine="640"/>
        <w:rPr>
          <w:rFonts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（一）突出设施提升，狠抓项目建设。</w:t>
      </w:r>
    </w:p>
    <w:p>
      <w:pPr>
        <w:pStyle w:val="2"/>
        <w:spacing w:after="0" w:line="560" w:lineRule="exact"/>
        <w:ind w:firstLine="64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一是全面推进文笔山、大巴山茶马古道度假景区规划的编制工作，全力实施大巴山茶马古道创AAAA级景区工作，指导文旅公司落地创A涉及的各类工程建设；全面实施全域旅游规划的实施；配合擂鼓台景区运营公司，落地《擂鼓台旅游发展规划》。二是指导蒿坪镇做好创建AAA级景区工作，同时指导蒿坪镇做好省级旅游特色名镇、省级旅游示范村的创建工作。三是积极推进重点旅游项目实施，完成文笔山景区六期步道、大巴山茶马古道景区二期工程、擂鼓台景区游客中心建设项目实施。四是加快大巴山茶马古道AAAA级旅游景区和文笔山省级旅游度假区创建工作，牵头指导蒿坪镇金石村“紫阳味道”特色餐饮区建设。</w:t>
      </w:r>
    </w:p>
    <w:p>
      <w:pPr>
        <w:widowControl/>
        <w:spacing w:line="560" w:lineRule="exact"/>
        <w:ind w:firstLine="640"/>
        <w:textAlignment w:val="top"/>
        <w:rPr>
          <w:rFonts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（二）突出文化惠民，提升服务效能。</w:t>
      </w:r>
    </w:p>
    <w:p>
      <w:pPr>
        <w:widowControl/>
        <w:spacing w:line="560" w:lineRule="exact"/>
        <w:ind w:firstLine="640"/>
        <w:textAlignment w:val="top"/>
        <w:rPr>
          <w:rFonts w:ascii="仿宋_GB2312" w:hAnsi="仿宋_GB2312" w:eastAsia="仿宋_GB2312" w:cs="仿宋_GB2312"/>
          <w:color w:val="4F81BD"/>
          <w:sz w:val="32"/>
          <w:szCs w:val="32"/>
        </w:rPr>
      </w:pPr>
      <w:r>
        <w:rPr>
          <w:rFonts w:hint="eastAsia" w:ascii="仿宋_GB2312" w:hAnsi="仿宋_GB2312" w:eastAsia="仿宋_GB2312" w:cs="仿宋_GB2312"/>
          <w:sz w:val="32"/>
          <w:szCs w:val="32"/>
        </w:rPr>
        <w:t>一是持续推进公共数字文化建设，不断提升服务水平。二是</w:t>
      </w:r>
      <w:r>
        <w:rPr>
          <w:rFonts w:hint="eastAsia" w:ascii="仿宋_GB2312" w:hAnsi="仿宋_GB2312" w:eastAsia="仿宋_GB2312" w:cs="仿宋_GB2312"/>
          <w:color w:val="000000"/>
          <w:kern w:val="0"/>
          <w:sz w:val="32"/>
          <w:szCs w:val="32"/>
          <w:lang w:bidi="ar"/>
        </w:rPr>
        <w:t>围绕乡村振兴、紫阳味道、富硒茶观光园、焕古硒茶小镇、汉王擂鼓台等重要内容及旅游景点创作一批有亮点、有卖点、有看点的舞台精品，</w:t>
      </w:r>
      <w:r>
        <w:rPr>
          <w:rFonts w:hint="eastAsia" w:ascii="仿宋_GB2312" w:hAnsi="仿宋_GB2312" w:eastAsia="仿宋_GB2312" w:cs="仿宋_GB2312"/>
          <w:sz w:val="32"/>
          <w:szCs w:val="32"/>
        </w:rPr>
        <w:t>精心打磨</w:t>
      </w:r>
      <w:r>
        <w:rPr>
          <w:rFonts w:hint="eastAsia" w:ascii="仿宋_GB2312" w:hAnsi="仿宋_GB2312" w:eastAsia="仿宋_GB2312" w:cs="仿宋_GB2312"/>
          <w:color w:val="000000"/>
          <w:kern w:val="0"/>
          <w:sz w:val="32"/>
          <w:szCs w:val="32"/>
          <w:lang w:bidi="ar"/>
        </w:rPr>
        <w:t>音乐电影《贡茶传奇》</w:t>
      </w:r>
      <w:r>
        <w:rPr>
          <w:rFonts w:hint="eastAsia" w:ascii="仿宋_GB2312" w:hAnsi="仿宋_GB2312" w:eastAsia="仿宋_GB2312" w:cs="仿宋_GB2312"/>
          <w:sz w:val="32"/>
          <w:szCs w:val="32"/>
        </w:rPr>
        <w:t>并实现市场化演出。三是加快推进9本文化丛书出版工作。四是四围绕“春茶、夏水、秋收、冬养”四季文旅主题活动，策划组织好传统节日、重要节日庆典活动。五是充分利用县“文图”两馆优势资源，广泛开展“书香紫阳”全民阅读推广活动，加大公益性辅导培训力度，积极开展“菜单式文化服务”“文化文艺志愿服务”等文化惠民活动。六是</w:t>
      </w:r>
      <w:r>
        <w:rPr>
          <w:rFonts w:hint="eastAsia" w:ascii="仿宋_GB2312" w:hAnsi="仿宋_GB2312" w:eastAsia="仿宋_GB2312" w:cs="仿宋_GB2312"/>
          <w:color w:val="000000"/>
          <w:kern w:val="0"/>
          <w:sz w:val="32"/>
          <w:szCs w:val="32"/>
          <w:lang w:bidi="ar"/>
        </w:rPr>
        <w:t>完成对县内部分乡镇30名农民歌手视频拍摄、录音曲谱整理，并建立资料库，完成收集相关音视频资料30套。</w:t>
      </w:r>
      <w:r>
        <w:rPr>
          <w:rFonts w:hint="eastAsia" w:ascii="仿宋_GB2312" w:hAnsi="仿宋_GB2312" w:eastAsia="仿宋_GB2312" w:cs="仿宋_GB2312"/>
          <w:sz w:val="32"/>
          <w:szCs w:val="32"/>
        </w:rPr>
        <w:t>七是</w:t>
      </w:r>
      <w:r>
        <w:rPr>
          <w:rFonts w:hint="eastAsia" w:ascii="仿宋_GB2312" w:hAnsi="仿宋_GB2312" w:eastAsia="仿宋_GB2312" w:cs="仿宋_GB2312"/>
          <w:color w:val="000000"/>
          <w:kern w:val="0"/>
          <w:sz w:val="32"/>
          <w:szCs w:val="32"/>
          <w:lang w:bidi="ar"/>
        </w:rPr>
        <w:t>做好紫阳民歌“六进”工作，持续</w:t>
      </w:r>
      <w:r>
        <w:rPr>
          <w:rFonts w:hint="eastAsia" w:ascii="仿宋_GB2312" w:hAnsi="仿宋_GB2312" w:eastAsia="仿宋_GB2312" w:cs="仿宋_GB2312"/>
          <w:sz w:val="32"/>
          <w:szCs w:val="32"/>
        </w:rPr>
        <w:t>推进</w:t>
      </w:r>
      <w:r>
        <w:rPr>
          <w:rFonts w:hint="eastAsia" w:ascii="仿宋_GB2312" w:hAnsi="仿宋_GB2312" w:eastAsia="仿宋_GB2312" w:cs="仿宋_GB2312"/>
          <w:color w:val="000000"/>
          <w:kern w:val="0"/>
          <w:sz w:val="32"/>
          <w:szCs w:val="32"/>
          <w:lang w:bidi="ar"/>
        </w:rPr>
        <w:t>“戏曲进乡村”惠民演出和</w:t>
      </w:r>
      <w:r>
        <w:rPr>
          <w:rFonts w:hint="eastAsia" w:ascii="仿宋_GB2312" w:hAnsi="仿宋_GB2312" w:eastAsia="仿宋_GB2312" w:cs="仿宋_GB2312"/>
          <w:sz w:val="32"/>
          <w:szCs w:val="32"/>
        </w:rPr>
        <w:t>农村公益性电影放映</w:t>
      </w:r>
      <w:r>
        <w:rPr>
          <w:rFonts w:hint="eastAsia" w:ascii="仿宋_GB2312" w:hAnsi="仿宋_GB2312" w:eastAsia="仿宋_GB2312" w:cs="仿宋_GB2312"/>
          <w:color w:val="2B2B2B"/>
          <w:kern w:val="0"/>
          <w:sz w:val="32"/>
          <w:szCs w:val="32"/>
        </w:rPr>
        <w:t>，</w:t>
      </w:r>
      <w:r>
        <w:rPr>
          <w:rFonts w:hint="eastAsia" w:ascii="仿宋_GB2312" w:hAnsi="仿宋_GB2312" w:eastAsia="仿宋_GB2312" w:cs="仿宋_GB2312"/>
          <w:sz w:val="32"/>
          <w:szCs w:val="32"/>
        </w:rPr>
        <w:t>进一步提升公共服务效能。</w:t>
      </w:r>
    </w:p>
    <w:p>
      <w:pPr>
        <w:spacing w:line="560" w:lineRule="exact"/>
        <w:ind w:firstLine="640"/>
        <w:rPr>
          <w:rFonts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（三）突出保护利用，强化文物安全。</w:t>
      </w:r>
    </w:p>
    <w:p>
      <w:pPr>
        <w:spacing w:line="560" w:lineRule="exact"/>
        <w:ind w:firstLine="64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是积极与省市主管局沟通汇报，尽快启动瓦房店会馆群防雷工程、瓦房店会馆群屋面抢修保护项目及东城门中原军区布告数字化保护及利用项目。二是将我县革命文物遗址、旧址积极申报为省级文物保护单位。三是按照省市文物局要求，</w:t>
      </w:r>
      <w:r>
        <w:rPr>
          <w:rFonts w:hint="eastAsia" w:ascii="仿宋_GB2312" w:hAnsi="仿宋_GB2312" w:eastAsia="仿宋_GB2312" w:cs="仿宋_GB2312"/>
          <w:sz w:val="32"/>
          <w:szCs w:val="32"/>
        </w:rPr>
        <w:t>制作我县县级文物保护单位及一般文物责任标识标牌界桩安装</w:t>
      </w:r>
      <w:r>
        <w:rPr>
          <w:rFonts w:hint="eastAsia" w:ascii="仿宋_GB2312" w:hAnsi="仿宋_GB2312" w:eastAsia="仿宋_GB2312" w:cs="仿宋_GB2312"/>
          <w:color w:val="000000"/>
          <w:kern w:val="0"/>
          <w:sz w:val="32"/>
          <w:szCs w:val="32"/>
          <w:lang w:bidi="ar"/>
        </w:rPr>
        <w:t>并制定保护方案。三是加强我县重点文物保护和安全管理，对全县田野文物进行巡查，摸清田野文物保护现状及存在的问题。四是加大我县零散文物征集及与茶叶、民俗相关物件等用品。</w:t>
      </w:r>
    </w:p>
    <w:p>
      <w:pPr>
        <w:widowControl/>
        <w:spacing w:line="560" w:lineRule="exact"/>
        <w:ind w:firstLine="640"/>
        <w:textAlignment w:val="top"/>
        <w:rPr>
          <w:rFonts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（四）突出市场营销，加强宣传推介。</w:t>
      </w:r>
    </w:p>
    <w:p>
      <w:pPr>
        <w:widowControl/>
        <w:spacing w:line="560" w:lineRule="exact"/>
        <w:ind w:firstLine="64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color w:val="000000"/>
          <w:kern w:val="0"/>
          <w:sz w:val="32"/>
          <w:szCs w:val="32"/>
          <w:lang w:bidi="ar"/>
        </w:rPr>
        <w:t>打破传统舞台演艺的束缚，专注“抖音”“快手”等平台，打造少而精的紫阳旅游景点，生产一系列群众喜爱又能广泛传播的视频作品，打造一批社会舆论好、关注度高的网红主播。</w:t>
      </w:r>
      <w:r>
        <w:rPr>
          <w:rFonts w:hint="eastAsia" w:ascii="仿宋_GB2312" w:hAnsi="仿宋_GB2312" w:eastAsia="仿宋_GB2312" w:cs="仿宋_GB2312"/>
          <w:sz w:val="32"/>
          <w:szCs w:val="32"/>
        </w:rPr>
        <w:t>二是打造网红打卡地，通过品牌效应，提高知名度，吸引游客。积极参与旅游推介会、旅游交易会等推广活动，有效拓展旅游客源市场。运用好新媒体宣传，挖掘我县独特的自然、文化资源制作高质量旅游宣传片，抓好紫阳文旅抖音号、文旅紫阳微信公众号等媒体宣传，持续提升我县旅游知名度和影响力。</w:t>
      </w:r>
    </w:p>
    <w:p>
      <w:pPr>
        <w:spacing w:line="560" w:lineRule="exact"/>
        <w:ind w:firstLine="640"/>
        <w:rPr>
          <w:rFonts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（五）突出市场安全，强化履职尽责。</w:t>
      </w:r>
    </w:p>
    <w:p>
      <w:pPr>
        <w:spacing w:line="360" w:lineRule="auto"/>
        <w:ind w:firstLine="640"/>
        <w:rPr>
          <w:rFonts w:ascii="仿宋" w:hAnsi="仿宋" w:eastAsia="仿宋" w:cs="仿宋"/>
          <w:sz w:val="32"/>
          <w:szCs w:val="32"/>
          <w:highlight w:val="green"/>
        </w:rPr>
      </w:pPr>
      <w:r>
        <w:rPr>
          <w:rFonts w:hint="eastAsia" w:ascii="仿宋_GB2312" w:hAnsi="仿宋_GB2312" w:eastAsia="仿宋_GB2312" w:cs="仿宋_GB2312"/>
          <w:sz w:val="32"/>
          <w:szCs w:val="32"/>
        </w:rPr>
        <w:t>一是全力做好行业领域疫情防控工作，重点抓好网吧、KTV、电影院、大型游艺场、旅游景区、校外艺术培训机构等人员密集场所疫情防控责任落实，加强日常监管、督促指导，确保行业领域疫情防控安全平稳大局。二是全力做好行业领域执法检查力度，从严落实疫情防控、安全生产、扫黑除恶、扫黄打非、平安建设等工作要求，加强对校园周边网吧、图书印刷出版市场、KTV、影院等日常执法监督检查力度，营造紫阳县文化娱乐场所良好经营风气和氛围。三是全力做好广播电视安全播出工作，加强对广播电视制播、转播、有线无线传输、发射管理，做好重大节假日广播电视安全播出应急预案，确保安全播出；继续做好农村有线电视户户通工程，应急广播提升工程，提高广播电视覆盖率；组织广电技术人员对全县广播电视传输、接收设备、广播电视“户户通”维修服务点进行全面检查维护，做好应急广播网维护维修工作，确保长期通、优质通。</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纳入本部门2023年部门预算编制范围的二级预算单位共有3个，包括：</w:t>
      </w:r>
    </w:p>
    <w:tbl>
      <w:tblPr>
        <w:tblStyle w:val="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098"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紫阳县文化和旅游广电局（机关）</w:t>
            </w:r>
          </w:p>
        </w:tc>
        <w:tc>
          <w:tcPr>
            <w:tcW w:w="2087"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2</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紫阳县文化馆</w:t>
            </w:r>
          </w:p>
        </w:tc>
        <w:tc>
          <w:tcPr>
            <w:tcW w:w="2087"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3</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紫阳县民歌汉剧艺术研究中心</w:t>
            </w:r>
          </w:p>
        </w:tc>
        <w:tc>
          <w:tcPr>
            <w:tcW w:w="2087" w:type="dxa"/>
          </w:tcPr>
          <w:p>
            <w:pPr>
              <w:spacing w:line="360" w:lineRule="auto"/>
              <w:ind w:firstLine="0" w:firstLineChars="0"/>
              <w:rPr>
                <w:rFonts w:ascii="仿宋" w:hAnsi="仿宋" w:eastAsia="仿宋" w:cs="仿宋"/>
                <w:sz w:val="32"/>
                <w:szCs w:val="32"/>
              </w:rPr>
            </w:pPr>
          </w:p>
        </w:tc>
      </w:tr>
    </w:tbl>
    <w:p>
      <w:pPr>
        <w:spacing w:line="360" w:lineRule="auto"/>
        <w:ind w:firstLine="640"/>
        <w:rPr>
          <w:rFonts w:ascii="仿宋" w:hAnsi="仿宋" w:eastAsia="仿宋" w:cs="仿宋"/>
          <w:sz w:val="32"/>
          <w:szCs w:val="32"/>
        </w:rPr>
      </w:pP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四、部门人员情况说明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截止2022年底，本部门人员编制56人，其中行政编制12人、事业编制44人；实有人员51人，其中行政12人、事业39人。单位管理的离退休人员62人。</w:t>
      </w:r>
    </w:p>
    <w:p>
      <w:pPr>
        <w:spacing w:line="360" w:lineRule="auto"/>
        <w:ind w:firstLine="880"/>
        <w:rPr>
          <w:rFonts w:ascii="仿宋" w:hAnsi="仿宋" w:eastAsia="仿宋" w:cs="仿宋"/>
          <w:sz w:val="32"/>
          <w:szCs w:val="32"/>
        </w:rPr>
      </w:pPr>
      <w:r>
        <w:rPr>
          <w:rFonts w:ascii="黑体" w:hAnsi="宋体" w:eastAsia="黑体"/>
          <w:color w:val="000000"/>
          <w:kern w:val="0"/>
          <w:sz w:val="44"/>
          <w:szCs w:val="44"/>
          <w:lang w:bidi="ar"/>
        </w:rPr>
        <w:pict>
          <v:shape id="Object 11" o:spid="_x0000_s1026" o:spt="75" type="#_x0000_t75" style="position:absolute;left:0pt;margin-left:22.9pt;margin-top:392.75pt;height:215.55pt;width:354.9pt;mso-position-vertical-relative:page;mso-wrap-distance-bottom:0pt;mso-wrap-distance-top:0pt;z-index:251659264;mso-width-relative:page;mso-height-relative:page;" o:ole="t" filled="f" o:preferrelative="t" stroked="f" coordsize="21600,21600">
            <v:path/>
            <v:fill on="f" focussize="0,0"/>
            <v:stroke on="f" joinstyle="miter"/>
            <v:imagedata r:id="rId13" o:title=""/>
            <o:lock v:ext="edit" aspectratio="t"/>
            <w10:wrap type="topAndBottom"/>
          </v:shape>
          <o:OLEObject Type="Embed" ProgID="Excel.Chart.8" ShapeID="Object 11" DrawAspect="Content" ObjectID="_1468075725" r:id="rId12">
            <o:LockedField>false</o:LockedField>
          </o:OLEObject>
        </w:pict>
      </w: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741.93万元，其中一般公共预算拨款收入741.93万元、政府性基金拨款收入0万元，2023年本部门预算收入较上年增加741.93万元，主要原因是</w:t>
      </w:r>
      <w:r>
        <w:rPr>
          <w:rFonts w:hint="eastAsia" w:ascii="仿宋_GB2312" w:hAnsi="仿宋_GB2312" w:eastAsia="仿宋_GB2312" w:cs="仿宋_GB2312"/>
          <w:sz w:val="32"/>
          <w:szCs w:val="32"/>
        </w:rPr>
        <w:t>2023年为本部门首轮整体预算公开</w:t>
      </w:r>
      <w:r>
        <w:rPr>
          <w:rFonts w:hint="eastAsia" w:ascii="仿宋" w:hAnsi="仿宋" w:eastAsia="仿宋" w:cs="仿宋"/>
          <w:sz w:val="32"/>
          <w:szCs w:val="32"/>
        </w:rPr>
        <w:t>；2023年本部门预算支出741.93万元，其中一般公共预算拨款支出741.93万元、政府性基金拨款支出0万元，2023年本部门预算支出较上年增加741.93万元，主要原因是</w:t>
      </w:r>
      <w:r>
        <w:rPr>
          <w:rFonts w:hint="eastAsia" w:ascii="仿宋_GB2312" w:hAnsi="仿宋_GB2312" w:eastAsia="仿宋_GB2312" w:cs="仿宋_GB2312"/>
          <w:sz w:val="32"/>
          <w:szCs w:val="32"/>
        </w:rPr>
        <w:t>2023年为本部门首轮整体预算公开</w:t>
      </w:r>
      <w:r>
        <w:rPr>
          <w:rFonts w:hint="eastAsia" w:ascii="仿宋" w:hAnsi="仿宋" w:eastAsia="仿宋" w:cs="仿宋"/>
          <w:sz w:val="32"/>
          <w:szCs w:val="32"/>
        </w:rPr>
        <w:t>。</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2023年本部门财政拨款收入741.93万元，其中一般公共预算拨款收入741.93万元、政府性基金拨款收入0万元，2023年本部门财政拨款收入较上年增加741.93万元，主要原因是</w:t>
      </w:r>
      <w:r>
        <w:rPr>
          <w:rFonts w:hint="eastAsia" w:ascii="仿宋_GB2312" w:hAnsi="仿宋_GB2312" w:eastAsia="仿宋_GB2312" w:cs="仿宋_GB2312"/>
          <w:sz w:val="32"/>
          <w:szCs w:val="32"/>
        </w:rPr>
        <w:t>2023年为本部门首轮整体预算公开</w:t>
      </w:r>
      <w:r>
        <w:rPr>
          <w:rFonts w:hint="eastAsia" w:ascii="仿宋" w:hAnsi="仿宋" w:eastAsia="仿宋" w:cs="仿宋"/>
          <w:sz w:val="32"/>
          <w:szCs w:val="32"/>
        </w:rPr>
        <w:t>；2023年本部门财政拨款支出741.93万元，其中一般公共预算拨款支出741.93万元、政府性基金拨款支出0万元，2023年本部门财政拨款支出较上年增加741.93万元，主要原因是</w:t>
      </w:r>
      <w:r>
        <w:rPr>
          <w:rFonts w:hint="eastAsia" w:ascii="仿宋_GB2312" w:hAnsi="仿宋_GB2312" w:eastAsia="仿宋_GB2312" w:cs="仿宋_GB2312"/>
          <w:sz w:val="32"/>
          <w:szCs w:val="32"/>
        </w:rPr>
        <w:t>2023年为本部门首轮整体预算公开</w:t>
      </w:r>
      <w:r>
        <w:rPr>
          <w:rFonts w:hint="eastAsia" w:ascii="仿宋" w:hAnsi="仿宋" w:eastAsia="仿宋" w:cs="仿宋"/>
          <w:sz w:val="32"/>
          <w:szCs w:val="32"/>
        </w:rPr>
        <w:t>。</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2023年本部门当年一般公共预算拨款支出741.93万元，较上年增加741.93万元，主要原因是</w:t>
      </w:r>
      <w:r>
        <w:rPr>
          <w:rFonts w:hint="eastAsia" w:ascii="仿宋_GB2312" w:hAnsi="仿宋_GB2312" w:eastAsia="仿宋_GB2312" w:cs="仿宋_GB2312"/>
          <w:sz w:val="32"/>
          <w:szCs w:val="32"/>
        </w:rPr>
        <w:t>2023年为本部门首轮整体预算公开</w:t>
      </w:r>
      <w:r>
        <w:rPr>
          <w:rFonts w:hint="eastAsia" w:ascii="仿宋" w:hAnsi="仿宋" w:eastAsia="仿宋" w:cs="仿宋"/>
          <w:sz w:val="32"/>
          <w:szCs w:val="32"/>
        </w:rPr>
        <w:t>。</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本部门2023年当年一般公共预算支出741.93万元，其中：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（1）行政运行（2070101）342.1万元；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（2）文化展示及纪念机构（2070105）97.63万元；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（3）群众文化（2070109）158.01万元；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（4）机关事业单位基本养老保险缴费支出（2080505）64.34万元；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（3）行政单位医疗（2101101）19.38万元；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（4）事业单位医疗（2101102）12.2万元；</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（5）住房公积金（2210101）48.27万元。</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2023年本部门当年一般公共预算支出741.93万元，其中：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工资福利支出（301）583.05万元；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商品和服务支出（302）90.69万元；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对个人和家庭的补助支出（303）68.19万元；</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2023年本部门当年一般公共预算支出741.93万元，其中：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机关工资福利支出（501）357.8万元；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机关商品和服务支出（502）67万元；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对事业单位经常性补助（505）248.94万元；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对个人和家庭的补助（509）68.19万元；</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本部门无2022年结转的财政拨款‘三公’经费支出。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（1）2023年本部门当年一般公共预算“三公”经费预算支出2.64万元，较上年减少0.06万元（2%），减少的主要原因是人员减少。其中：因公出国（境）经费0万元，</w:t>
      </w:r>
      <w:r>
        <w:rPr>
          <w:rFonts w:hint="eastAsia" w:ascii="仿宋_GB2312" w:hAnsi="仿宋_GB2312" w:eastAsia="仿宋_GB2312" w:cs="仿宋_GB2312"/>
          <w:sz w:val="32"/>
          <w:szCs w:val="32"/>
        </w:rPr>
        <w:t>较上年持平</w:t>
      </w:r>
      <w:r>
        <w:rPr>
          <w:rFonts w:hint="eastAsia" w:ascii="仿宋" w:hAnsi="仿宋" w:eastAsia="仿宋" w:cs="仿宋"/>
          <w:sz w:val="32"/>
          <w:szCs w:val="32"/>
        </w:rPr>
        <w:t>；公务接待费2.64万元，较上年减少0.06万元（2%），减少的主要原因是人员减少；公务用车运行费0万元，</w:t>
      </w:r>
      <w:r>
        <w:rPr>
          <w:rFonts w:hint="eastAsia" w:ascii="仿宋_GB2312" w:hAnsi="仿宋_GB2312" w:eastAsia="仿宋_GB2312" w:cs="仿宋_GB2312"/>
          <w:sz w:val="32"/>
          <w:szCs w:val="32"/>
        </w:rPr>
        <w:t>较上年持平</w:t>
      </w:r>
      <w:r>
        <w:rPr>
          <w:rFonts w:hint="eastAsia" w:ascii="仿宋" w:hAnsi="仿宋" w:eastAsia="仿宋" w:cs="仿宋"/>
          <w:sz w:val="32"/>
          <w:szCs w:val="32"/>
        </w:rPr>
        <w:t>；公务用车购置费0万元，</w:t>
      </w:r>
      <w:r>
        <w:rPr>
          <w:rFonts w:hint="eastAsia" w:ascii="仿宋_GB2312" w:hAnsi="仿宋_GB2312" w:eastAsia="仿宋_GB2312" w:cs="仿宋_GB2312"/>
          <w:sz w:val="32"/>
          <w:szCs w:val="32"/>
        </w:rPr>
        <w:t>较上年持平</w:t>
      </w:r>
      <w:r>
        <w:rPr>
          <w:rFonts w:hint="eastAsia" w:ascii="仿宋" w:hAnsi="仿宋" w:eastAsia="仿宋" w:cs="仿宋"/>
          <w:sz w:val="32"/>
          <w:szCs w:val="32"/>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（2）2023年本部门当年会议费预算支出0万元，</w:t>
      </w:r>
      <w:r>
        <w:rPr>
          <w:rFonts w:hint="eastAsia" w:ascii="仿宋_GB2312" w:hAnsi="仿宋_GB2312" w:eastAsia="仿宋_GB2312" w:cs="仿宋_GB2312"/>
          <w:sz w:val="32"/>
          <w:szCs w:val="32"/>
        </w:rPr>
        <w:t>较上年持平</w:t>
      </w:r>
      <w:r>
        <w:rPr>
          <w:rFonts w:hint="eastAsia" w:ascii="仿宋" w:hAnsi="仿宋" w:eastAsia="仿宋" w:cs="仿宋"/>
          <w:sz w:val="32"/>
          <w:szCs w:val="32"/>
        </w:rPr>
        <w:t>。培训费0万元，较上年减少2万元（100%），减少的主要原因是本年暂时无培训计划。</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本部门无2022年结转的财政拨款‘三公’经费和会议费、培训费支出。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截止2022年底，本部门所属预算单位共有车辆1辆，单价20万元以上的设备1台（套）。2023年当年部门预算安排购置车辆0辆；安排购置单价20万元以上的设备0台（套）。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5"/>
        </w:numPr>
        <w:spacing w:line="360" w:lineRule="auto"/>
        <w:ind w:firstLine="480" w:firstLineChars="0"/>
        <w:rPr>
          <w:rFonts w:ascii="仿宋" w:hAnsi="仿宋" w:eastAsia="仿宋" w:cs="仿宋"/>
          <w:b/>
          <w:bCs/>
          <w:sz w:val="32"/>
          <w:szCs w:val="32"/>
        </w:rPr>
      </w:pPr>
      <w:r>
        <w:rPr>
          <w:rFonts w:hint="eastAsia" w:ascii="仿宋" w:hAnsi="仿宋" w:eastAsia="仿宋" w:cs="仿宋"/>
          <w:b/>
          <w:bCs/>
          <w:sz w:val="32"/>
          <w:szCs w:val="32"/>
        </w:rPr>
        <w:t>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2023年当年本部门政府采购预算共0万元，其中政府采购货物类预算0万元、政府采购服务类预算0万元、政府采购工程类预算0万元（详见公开报表中的政府采购表）。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2023年本部门绩效目标管理全覆盖，涉及当年一般公共预算拨款741.93万元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本部门无2022年结转的财政拨款支出涉及的绩效目标管理。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本部门当年机关运行经费预算安排29.1万元，较上年减少16.36万元，主要原因是厉行节约，压缩不必要的开支。</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本部门无2022年结转的财政拨款机关运行经费支出。</w:t>
      </w:r>
    </w:p>
    <w:p>
      <w:pPr>
        <w:spacing w:line="360" w:lineRule="auto"/>
        <w:ind w:left="960" w:firstLine="0" w:firstLineChars="0"/>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两个及两个以上，必须有，机关运行经费默认为第1个名词解释，其他专业名词解释可由部门根据业务内容等自行选择。</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sz w:val="32"/>
          <w:szCs w:val="32"/>
        </w:rPr>
        <w:t>“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4F456A"/>
    <w:rsid w:val="00D70262"/>
    <w:rsid w:val="00F5721E"/>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30678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85D1A98"/>
    <w:rsid w:val="38F70388"/>
    <w:rsid w:val="3A4434B4"/>
    <w:rsid w:val="3B055E9C"/>
    <w:rsid w:val="3D28036F"/>
    <w:rsid w:val="3D8407DF"/>
    <w:rsid w:val="3DFF32ED"/>
    <w:rsid w:val="3F503091"/>
    <w:rsid w:val="4008265B"/>
    <w:rsid w:val="41851E44"/>
    <w:rsid w:val="420B5D06"/>
    <w:rsid w:val="4248700C"/>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E53F3C"/>
    <w:rsid w:val="5BF47018"/>
    <w:rsid w:val="5C653576"/>
    <w:rsid w:val="5E5C14C1"/>
    <w:rsid w:val="5E63269D"/>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3"/>
    <w:basedOn w:val="1"/>
    <w:next w:val="3"/>
    <w:qFormat/>
    <w:uiPriority w:val="99"/>
    <w:pPr>
      <w:spacing w:after="120"/>
    </w:pPr>
    <w:rPr>
      <w:sz w:val="16"/>
      <w:szCs w:val="16"/>
    </w:rPr>
  </w:style>
  <w:style w:type="paragraph" w:styleId="3">
    <w:name w:val="footer"/>
    <w:basedOn w:val="1"/>
    <w:next w:val="4"/>
    <w:qFormat/>
    <w:uiPriority w:val="0"/>
    <w:pPr>
      <w:tabs>
        <w:tab w:val="center" w:pos="4153"/>
        <w:tab w:val="right" w:pos="8306"/>
      </w:tabs>
      <w:snapToGrid w:val="0"/>
      <w:jc w:val="left"/>
    </w:pPr>
    <w:rPr>
      <w:sz w:val="18"/>
    </w:rPr>
  </w:style>
  <w:style w:type="paragraph" w:customStyle="1" w:styleId="4">
    <w:name w:val="p0"/>
    <w:basedOn w:val="1"/>
    <w:next w:val="5"/>
    <w:qFormat/>
    <w:uiPriority w:val="0"/>
    <w:pPr>
      <w:widowControl/>
    </w:pPr>
    <w:rPr>
      <w:kern w:val="0"/>
      <w:szCs w:val="21"/>
    </w:rPr>
  </w:style>
  <w:style w:type="paragraph" w:styleId="5">
    <w:name w:val="index 7"/>
    <w:basedOn w:val="1"/>
    <w:next w:val="1"/>
    <w:qFormat/>
    <w:uiPriority w:val="0"/>
    <w:pPr>
      <w:ind w:left="2520"/>
    </w:pPr>
  </w:style>
  <w:style w:type="paragraph" w:styleId="6">
    <w:name w:val="header"/>
    <w:basedOn w:val="1"/>
    <w:link w:val="9"/>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页眉 字符"/>
    <w:basedOn w:val="8"/>
    <w:link w:val="6"/>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oleObject" Target="embeddings/Workbook1.xls"/><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4553</Words>
  <Characters>4930</Characters>
  <Lines>36</Lines>
  <Paragraphs>10</Paragraphs>
  <TotalTime>1</TotalTime>
  <ScaleCrop>false</ScaleCrop>
  <LinksUpToDate>false</LinksUpToDate>
  <CharactersWithSpaces>4963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2023-05-04T03:01:55Z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219869D93DF44B3A9A893EDC4229DDD3</vt:lpwstr>
  </property>
</Properties>
</file>