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jc w:val="center"/>
        <w:rPr>
          <w:rFonts w:ascii="黑体" w:hAnsi="黑体" w:eastAsia="黑体" w:cs="黑体"/>
          <w:sz w:val="32"/>
          <w:szCs w:val="32"/>
        </w:rPr>
      </w:pPr>
    </w:p>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紫阳县司法局</w:t>
      </w:r>
    </w:p>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2023年部门综合预算</w:t>
      </w:r>
    </w:p>
    <w:p>
      <w:pPr>
        <w:spacing w:line="360" w:lineRule="auto"/>
        <w:ind w:firstLine="640"/>
        <w:rPr>
          <w:rFonts w:ascii="仿宋" w:hAnsi="仿宋" w:eastAsia="仿宋" w:cs="仿宋"/>
          <w:sz w:val="32"/>
          <w:szCs w:val="32"/>
        </w:rPr>
      </w:pP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目  录</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第一部分   部门概况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一、部门主要职责及机构设置</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二、2023年年度部门工作任务</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三、部门预算单位构成</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四、部门人员情况说明</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五、2023年部门预算收支说明</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六、部门预算“三公”经费等情况说明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七、部门国有资产占有使用及资产购置情况说明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八、部门政府采购情况说明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九、部门预算绩效目标说明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十、机关运行经费安排说明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十一、专业名词解释</w:t>
      </w:r>
    </w:p>
    <w:p>
      <w:pPr>
        <w:spacing w:line="360" w:lineRule="auto"/>
        <w:ind w:firstLine="643"/>
        <w:jc w:val="center"/>
        <w:rPr>
          <w:rFonts w:ascii="仿宋" w:hAnsi="仿宋" w:eastAsia="仿宋" w:cs="仿宋"/>
          <w:sz w:val="32"/>
          <w:szCs w:val="32"/>
        </w:rPr>
      </w:pPr>
      <w:r>
        <w:rPr>
          <w:rFonts w:hint="eastAsia" w:ascii="仿宋" w:hAnsi="仿宋" w:eastAsia="仿宋" w:cs="仿宋"/>
          <w:b/>
          <w:bCs/>
          <w:sz w:val="32"/>
          <w:szCs w:val="32"/>
        </w:rPr>
        <w:t>第四部分   公开报表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（具体部门预算公开报表）</w:t>
      </w:r>
    </w:p>
    <w:p>
      <w:pPr>
        <w:spacing w:line="360" w:lineRule="auto"/>
        <w:ind w:firstLine="643"/>
        <w:jc w:val="center"/>
        <w:rPr>
          <w:rFonts w:ascii="仿宋" w:hAnsi="仿宋" w:eastAsia="仿宋" w:cs="仿宋"/>
          <w:b/>
          <w:bCs/>
          <w:sz w:val="32"/>
          <w:szCs w:val="32"/>
        </w:rPr>
      </w:pPr>
    </w:p>
    <w:p>
      <w:pPr>
        <w:spacing w:line="360" w:lineRule="auto"/>
        <w:ind w:firstLine="643"/>
        <w:jc w:val="center"/>
        <w:rPr>
          <w:rFonts w:ascii="仿宋" w:hAnsi="仿宋" w:eastAsia="仿宋" w:cs="仿宋"/>
          <w:sz w:val="32"/>
          <w:szCs w:val="32"/>
        </w:rPr>
      </w:pPr>
      <w:r>
        <w:rPr>
          <w:rFonts w:hint="eastAsia" w:ascii="仿宋" w:hAnsi="仿宋" w:eastAsia="仿宋" w:cs="仿宋"/>
          <w:b/>
          <w:bCs/>
          <w:sz w:val="32"/>
          <w:szCs w:val="32"/>
        </w:rPr>
        <w:t>第一部分  部门概况</w:t>
      </w:r>
    </w:p>
    <w:p>
      <w:pPr>
        <w:spacing w:line="360" w:lineRule="auto"/>
        <w:ind w:firstLine="640"/>
        <w:rPr>
          <w:rFonts w:ascii="黑体" w:hAnsi="黑体" w:eastAsia="黑体" w:cs="黑体"/>
          <w:sz w:val="32"/>
          <w:szCs w:val="32"/>
        </w:rPr>
      </w:pPr>
      <w:r>
        <w:rPr>
          <w:rFonts w:hint="eastAsia" w:ascii="黑体" w:hAnsi="黑体" w:eastAsia="黑体" w:cs="黑体"/>
          <w:sz w:val="32"/>
          <w:szCs w:val="32"/>
        </w:rPr>
        <w:t>一、部门主要职责及机构设置</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（一）部门主要职责</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1.承担全面依法治县重大问题的政策研究，协调有关方面提出全面依法治县中长期规划建议，负责有关重大决策部署的法治督查工作。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2.负责县政府重大行政决策、行政规范性文件的合法性审核；承办各镇和县政府各部门行政规范性文件的备案审查工作；办理县政府及县政府办公室制定的行政规范性文件向县人大常委会的报送备案工作。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3.负责指导、监督全县依法行政工作。承担综合协调和指导监督行政执法工作，推进严格规范文明执法；承担组织协调和监督推进全县司法行政体制改革有关工作；指导、监督全县行政复议和行政应诉工作；承办向县政府申请的行政复议案件和诉讼县政府的行政应诉案件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4.负责拟订全县法治宣传教育规划，组织实施全县普法宣传工作。指导全县依法治理和法治创建工作；指导全县人民调解工作和人民陪审员、人民监督员选任管理工作；推进司法所建设。</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5.负责指导、管理全县社区矫正工作；指导全县刑满释放人员帮教安置工作。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6.负责全县公共法律服务体系和平台建设，指导监督律师、法律援助、公证、仲裁和基层法律服务管理工作。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7.负责本系统警车管理工作，指导、监督本系统财务、装备、设施、场所等保障工作。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8.监督指导全县司法行政系统队伍建设、思想作风建设、工作作风建设。</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9.负责指导和组织协调本系统的对外交流与合作工作。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10.完成县委、县政府交办的其他任务。</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（二）机构设置</w:t>
      </w:r>
    </w:p>
    <w:p>
      <w:pPr>
        <w:spacing w:line="360" w:lineRule="auto"/>
        <w:ind w:firstLine="640"/>
        <w:rPr>
          <w:rFonts w:ascii="仿宋" w:hAnsi="仿宋" w:eastAsia="仿宋" w:cs="仿宋"/>
          <w:sz w:val="32"/>
          <w:szCs w:val="32"/>
          <w:highlight w:val="green"/>
        </w:rPr>
      </w:pPr>
      <w:r>
        <w:rPr>
          <w:rFonts w:hint="eastAsia" w:ascii="仿宋" w:hAnsi="仿宋" w:eastAsia="仿宋" w:cs="仿宋"/>
          <w:sz w:val="32"/>
          <w:szCs w:val="32"/>
        </w:rPr>
        <w:t>本部门现设有政办股、普法与依法治理股、法制股、人民参与和促进法治股、律师工作股、公共法律服务管理股、行政复议与应诉股、社区矫正股8个股室，另有矛盾纠纷调解中心、紫阳县公证处2个下属单位。</w:t>
      </w:r>
    </w:p>
    <w:p>
      <w:pPr>
        <w:spacing w:line="360" w:lineRule="auto"/>
        <w:ind w:firstLine="640"/>
        <w:rPr>
          <w:rFonts w:ascii="黑体" w:hAnsi="黑体" w:eastAsia="黑体" w:cs="黑体"/>
          <w:sz w:val="32"/>
          <w:szCs w:val="32"/>
        </w:rPr>
      </w:pPr>
      <w:r>
        <w:rPr>
          <w:rFonts w:hint="eastAsia" w:ascii="黑体" w:hAnsi="黑体" w:eastAsia="黑体" w:cs="黑体"/>
          <w:sz w:val="32"/>
          <w:szCs w:val="32"/>
        </w:rPr>
        <w:t>二、2023年度部门工作任务</w:t>
      </w:r>
    </w:p>
    <w:p>
      <w:pPr>
        <w:numPr>
          <w:ilvl w:val="0"/>
          <w:numId w:val="1"/>
        </w:numPr>
        <w:spacing w:line="360" w:lineRule="auto"/>
        <w:ind w:firstLine="640"/>
        <w:rPr>
          <w:rFonts w:ascii="仿宋" w:hAnsi="仿宋" w:eastAsia="仿宋" w:cs="仿宋"/>
          <w:sz w:val="32"/>
          <w:szCs w:val="32"/>
        </w:rPr>
      </w:pPr>
      <w:r>
        <w:rPr>
          <w:rFonts w:hint="eastAsia" w:ascii="仿宋" w:hAnsi="仿宋" w:eastAsia="仿宋" w:cs="仿宋"/>
          <w:sz w:val="32"/>
          <w:szCs w:val="32"/>
        </w:rPr>
        <w:t>承担全面依法治县重大问题的政策研究，协调有关方面提出全面依法治县中长期规划建议，负责有关重大决策部署的法治督查工作</w:t>
      </w:r>
      <w:r>
        <w:rPr>
          <w:rFonts w:hint="eastAsia" w:ascii="仿宋" w:hAnsi="仿宋" w:eastAsia="仿宋" w:cs="仿宋"/>
          <w:sz w:val="32"/>
          <w:szCs w:val="32"/>
          <w:lang w:eastAsia="zh-CN"/>
        </w:rPr>
        <w:t>。</w:t>
      </w:r>
      <w:bookmarkStart w:id="0" w:name="_GoBack"/>
      <w:bookmarkEnd w:id="0"/>
    </w:p>
    <w:p>
      <w:pPr>
        <w:spacing w:line="360" w:lineRule="auto"/>
        <w:ind w:firstLine="640"/>
        <w:rPr>
          <w:rFonts w:ascii="仿宋" w:hAnsi="仿宋" w:eastAsia="仿宋" w:cs="仿宋"/>
          <w:sz w:val="32"/>
          <w:szCs w:val="32"/>
        </w:rPr>
      </w:pPr>
      <w:r>
        <w:rPr>
          <w:rFonts w:hint="eastAsia" w:ascii="仿宋" w:hAnsi="仿宋" w:eastAsia="仿宋" w:cs="仿宋"/>
          <w:sz w:val="32"/>
          <w:szCs w:val="32"/>
        </w:rPr>
        <w:t>（二）负责县政府重大行政决策、行政规范性文件的合法性审核；承办各镇和县政府各部门行政规范性文件的备案审查工作；办理县政府及县政府办公室制定的行政规范性文件向县人大常委会的报送备案工作。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三）负责指导、监督全县依法行政工作。承担综合协调和指导监督行政执法工作，推进严格规范文明执法；承担组织协调和监督推进全县司法行政体制改革有关工作；指导、监督全县行政复议和行政应诉工作；承办向县政府申请的行政复议案件和诉讼县政府的行政应诉案件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（四）负责拟订全县法治宣传教育规划，组织实施全县普法宣传工作。指导全县依法治理和法治创建工作；指导全县人民调解工作和人民陪审员、人民监督员选任管理工作；推进司法所建设。</w:t>
      </w:r>
    </w:p>
    <w:p>
      <w:pPr>
        <w:spacing w:line="360" w:lineRule="auto"/>
        <w:ind w:firstLine="0" w:firstLineChars="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（五）负责指导、管理全县社区矫正工作；指导全县刑满释放人员帮教安置工作。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（六）负责全县公共法律服务体系和平台建设，指导监督律师、法律援助、公证、仲裁和基层法律服务管理工作。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（七）负责本系统警车管理工作，指导、监督本系统财务、装备、设施、场所等保障工作。</w:t>
      </w:r>
    </w:p>
    <w:p>
      <w:pPr>
        <w:spacing w:line="360" w:lineRule="auto"/>
        <w:ind w:firstLine="0" w:firstLineChars="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（八）监督指导全县司法行政系统队伍建设、思想作风建设、工作作风建设。</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（九）负责指导和组织协调本系统的对外交流与合作工作。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（十）完成县委、县政府交办的其他任务。</w:t>
      </w:r>
    </w:p>
    <w:p>
      <w:pPr>
        <w:spacing w:line="360" w:lineRule="auto"/>
        <w:ind w:firstLine="640"/>
        <w:rPr>
          <w:rFonts w:ascii="仿宋" w:hAnsi="仿宋" w:eastAsia="仿宋" w:cs="仿宋"/>
          <w:sz w:val="32"/>
          <w:szCs w:val="32"/>
        </w:rPr>
      </w:pPr>
      <w:r>
        <w:rPr>
          <w:rFonts w:hint="eastAsia" w:ascii="黑体" w:hAnsi="黑体" w:eastAsia="黑体" w:cs="黑体"/>
          <w:sz w:val="32"/>
          <w:szCs w:val="32"/>
        </w:rPr>
        <w:t>三、部门预算单位构成</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从预算单位构成看，本部门的部门预算包括部门本级机关预算和所属事业单位预算。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纳入本部门2023年部门预算编制范围的二级预算单位共有0个，包括：</w:t>
      </w:r>
    </w:p>
    <w:tbl>
      <w:tblPr>
        <w:tblStyle w:val="4"/>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60"/>
        <w:gridCol w:w="5098"/>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序号</w:t>
            </w:r>
          </w:p>
        </w:tc>
        <w:tc>
          <w:tcPr>
            <w:tcW w:w="5098"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单位名称</w:t>
            </w:r>
          </w:p>
        </w:tc>
        <w:tc>
          <w:tcPr>
            <w:tcW w:w="2087"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1</w:t>
            </w:r>
          </w:p>
        </w:tc>
        <w:tc>
          <w:tcPr>
            <w:tcW w:w="5098" w:type="dxa"/>
          </w:tcPr>
          <w:p>
            <w:pPr>
              <w:spacing w:line="360" w:lineRule="auto"/>
              <w:ind w:firstLine="0" w:firstLineChars="0"/>
              <w:rPr>
                <w:rFonts w:ascii="仿宋" w:hAnsi="仿宋" w:eastAsia="仿宋" w:cs="仿宋"/>
                <w:sz w:val="32"/>
                <w:szCs w:val="32"/>
              </w:rPr>
            </w:pPr>
            <w:r>
              <w:rPr>
                <w:rFonts w:hint="eastAsia" w:ascii="仿宋" w:hAnsi="仿宋" w:eastAsia="仿宋" w:cs="仿宋"/>
                <w:sz w:val="32"/>
                <w:szCs w:val="32"/>
              </w:rPr>
              <w:t>紫阳县司法局部门本级</w:t>
            </w:r>
          </w:p>
        </w:tc>
        <w:tc>
          <w:tcPr>
            <w:tcW w:w="2087" w:type="dxa"/>
          </w:tcPr>
          <w:p>
            <w:pPr>
              <w:spacing w:line="360" w:lineRule="auto"/>
              <w:ind w:firstLine="0" w:firstLineChars="0"/>
              <w:rPr>
                <w:rFonts w:ascii="仿宋" w:hAnsi="仿宋" w:eastAsia="仿宋" w:cs="仿宋"/>
                <w:sz w:val="32"/>
                <w:szCs w:val="32"/>
              </w:rPr>
            </w:pPr>
          </w:p>
        </w:tc>
      </w:tr>
    </w:tbl>
    <w:p>
      <w:pPr>
        <w:spacing w:line="360" w:lineRule="auto"/>
        <w:ind w:firstLine="0" w:firstLineChars="0"/>
        <w:rPr>
          <w:rFonts w:ascii="仿宋" w:hAnsi="仿宋" w:eastAsia="仿宋" w:cs="仿宋"/>
          <w:sz w:val="32"/>
          <w:szCs w:val="32"/>
        </w:rPr>
      </w:pPr>
    </w:p>
    <w:p>
      <w:pPr>
        <w:spacing w:line="360" w:lineRule="auto"/>
        <w:ind w:firstLine="640"/>
        <w:rPr>
          <w:rFonts w:ascii="黑体" w:hAnsi="黑体" w:eastAsia="黑体" w:cs="黑体"/>
          <w:sz w:val="32"/>
          <w:szCs w:val="32"/>
        </w:rPr>
      </w:pPr>
      <w:r>
        <w:rPr>
          <w:rFonts w:hint="eastAsia" w:ascii="黑体" w:hAnsi="黑体" w:eastAsia="黑体" w:cs="黑体"/>
          <w:sz w:val="32"/>
          <w:szCs w:val="32"/>
        </w:rPr>
        <w:t>四、部门人员情况说明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截止2022年底，本部门人员编制66人，其中行政编制56人、事业编制10人；实有人员59人，其中行政50人、事业9人。单位管理的离退休人员33人。</w:t>
      </w:r>
    </w:p>
    <w:p>
      <w:pPr>
        <w:spacing w:line="360" w:lineRule="auto"/>
        <w:ind w:firstLine="480"/>
        <w:jc w:val="center"/>
      </w:pPr>
      <w:r>
        <w:rPr>
          <w:rFonts w:hint="eastAsia"/>
        </w:rPr>
        <w:drawing>
          <wp:inline distT="0" distB="0" distL="114300" distR="114300">
            <wp:extent cx="5010150" cy="3238500"/>
            <wp:effectExtent l="0" t="0" r="0" b="0"/>
            <wp:docPr id="1" name="图片 1" descr="0FLZ15T]5JS(AJM3M)ZZ1H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FLZ15T]5JS(AJM3M)ZZ1H9"/>
                    <pic:cNvPicPr>
                      <a:picLocks noChangeAspect="1"/>
                    </pic:cNvPicPr>
                  </pic:nvPicPr>
                  <pic:blipFill>
                    <a:blip r:embed="rId12"/>
                    <a:stretch>
                      <a:fillRect/>
                    </a:stretch>
                  </pic:blipFill>
                  <pic:spPr>
                    <a:xfrm>
                      <a:off x="0" y="0"/>
                      <a:ext cx="5010150" cy="3238500"/>
                    </a:xfrm>
                    <a:prstGeom prst="rect">
                      <a:avLst/>
                    </a:prstGeom>
                  </pic:spPr>
                </pic:pic>
              </a:graphicData>
            </a:graphic>
          </wp:inline>
        </w:drawing>
      </w:r>
    </w:p>
    <w:p>
      <w:pPr>
        <w:spacing w:line="360" w:lineRule="auto"/>
        <w:ind w:firstLine="480"/>
        <w:jc w:val="center"/>
        <w:rPr>
          <w:rFonts w:ascii="仿宋" w:hAnsi="仿宋" w:eastAsia="仿宋" w:cs="仿宋"/>
          <w:b/>
          <w:bCs/>
          <w:sz w:val="32"/>
          <w:szCs w:val="32"/>
        </w:rPr>
      </w:pPr>
      <w:r>
        <w:rPr>
          <w:rFonts w:hint="eastAsia"/>
        </w:rPr>
        <w:t xml:space="preserve">     </w:t>
      </w:r>
      <w:r>
        <w:rPr>
          <w:rFonts w:hint="eastAsia" w:ascii="仿宋" w:hAnsi="仿宋" w:eastAsia="仿宋" w:cs="仿宋"/>
          <w:b/>
          <w:bCs/>
          <w:sz w:val="32"/>
          <w:szCs w:val="32"/>
        </w:rPr>
        <w:t>第二部分  收支情况</w:t>
      </w:r>
    </w:p>
    <w:p>
      <w:pPr>
        <w:spacing w:line="360" w:lineRule="auto"/>
        <w:ind w:firstLine="640"/>
        <w:rPr>
          <w:rFonts w:ascii="黑体" w:hAnsi="黑体" w:eastAsia="黑体" w:cs="黑体"/>
          <w:sz w:val="32"/>
          <w:szCs w:val="32"/>
        </w:rPr>
      </w:pPr>
      <w:r>
        <w:rPr>
          <w:rFonts w:hint="eastAsia" w:ascii="黑体" w:hAnsi="黑体" w:eastAsia="黑体" w:cs="黑体"/>
          <w:sz w:val="32"/>
          <w:szCs w:val="32"/>
        </w:rPr>
        <w:t>五、2023年部门预算收支说明</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（一）收支预算总体情况。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按照综合预算的原则，本部门所有收入和支出均纳入部门预算管理。2023年本部门预算收入986.9万元，其中一般公共预算拨款收入986.9万元、政府性基金拨款收入0万元，2023年本部门预算收入较上年增加76.64万元，主要原因是一般公共预算拨款增加76.64万元；2023年本部门预算支出986.9万元，其中一般公共预算拨款支出986.9万元、政府性基金拨款支出0万元，2023年本部门预算支出较上年增加76.64万元，主要原因是人员经费和公共经费支出增加76.64万元，其中工资福利支出增加76.64万元，较上年度人员工资增加了基础绩效奖，在职人员工资、养老保险统筹部分较上年度均有所提升。</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（二）财政拨款收支情况。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财政拨款收入986.9万元，其中一般公共预算拨款收入986.9万元、政府性基金拨款收入0万元，2023年本部门财政拨款收入较上年增加76.64万元，主要原因是一般公共预算拨款增加76.64万元；2023年本部门财政拨款支出986.9万元，其中一般公共预算拨款支出986.9万元、政府性基金拨款支出0万元，2023年本部门财政拨款支出较上年增加76.64万元，主要原因是人员经费和公共经费支出增加76.64万元，其中工资福利支出增加76.64万元，较上年度人员工资增加了基础绩效奖，在职人员工资、养老保险统筹部分较上年度均有所提升。</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（三）一般公共预算拨款支出明细情况。</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一般公共预算拨款规模变化情况。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文字说明，部门当年一般公共预算拨款支出与上年对比的增减变化情况及变化原因。（可附图表）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当年一般公共预算拨款支出986.9万元，较上年增加76.64万元，主要原因是人员经费和公共经费支出增加76.64万元，其中工资福利支出增加76.64万元，较上年度人员工资增加了基础绩效奖，在职人员工资、养老保险统筹部分较上年度均有所提升。</w:t>
      </w:r>
    </w:p>
    <w:p>
      <w:pPr>
        <w:numPr>
          <w:ilvl w:val="0"/>
          <w:numId w:val="2"/>
        </w:numPr>
        <w:spacing w:line="360" w:lineRule="auto"/>
        <w:ind w:firstLine="640"/>
        <w:rPr>
          <w:rFonts w:ascii="仿宋" w:hAnsi="仿宋" w:eastAsia="仿宋" w:cs="仿宋"/>
          <w:sz w:val="32"/>
          <w:szCs w:val="32"/>
        </w:rPr>
      </w:pPr>
      <w:r>
        <w:rPr>
          <w:rFonts w:hint="eastAsia" w:ascii="仿宋" w:hAnsi="仿宋" w:eastAsia="仿宋" w:cs="仿宋"/>
          <w:sz w:val="32"/>
          <w:szCs w:val="32"/>
        </w:rPr>
        <w:t>支出按功能科目分类的明细情况。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文字说明，按照部门支出功能分类的类、款项级科目，说明当年一般公共预算拨款支出情况，将相关数据与上年对比，分析增减变化原因。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本部门2023年当年一般公共预算支出986.9万元，其中：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（1）行政运行（2040601）685.36万元，较上年减少13.54万元，主要原因是事业人员基本工资、津补贴调整到支出功能科目事业运行（2040650）；</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（2）基层司法业务（2040604）25万元，较上年增加25万元，主要原因是三调联动专业工作经费调整支出功能科目；</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（3）普法宣传（2040605）25万元，较上年增加5万元，主要原因是由扫黑除恶专项业务经费调整至普法宣传5万元；</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（4）法治建设（2040612）10万元，较上年持平，原因是本年度该项业务经费预算保持不变；</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（5）事业运行（2040650） 61.29万元，较上年增加43.41万元，主要原因是本年度事业人员增加1人，且本年度事业人员工资基数增加，事业人员基本工资、津补贴支出功能科目由行政运行（2040601）调整至事业运行（2040650）；</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（6）其他司法支出（2040699）4万元，较上年度减少21万元，主要原因是本年度扫黑除恶专项业务经费较上年度减少16万元，且该支出科目调整至普法宣传（2040605）5万元；</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（7）机关事业单位基本养老保险缴费支出（2080505）76.31万元，较上年度增加7.86万元，主要原因是本年度养老保险缴费基数比上年度提升；</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（8）行政单位医疗（2101101）37.53万元，较上年度增加4.49万元，主要原因是本年度基本医疗保险缴费基数比上年度提升，且在职人员人数不变的情况下，本单位管理的退休人员增加3人；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（9）住房公积金（2210201）57.41万元，较上年度减少2.58万元，主要原因是本年度预算公积金缴费基数中的年度考核奖（平均水平）较上年度减少；</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sz w:val="32"/>
          <w:szCs w:val="32"/>
        </w:rPr>
        <w:t>支出按经济科目分类的明细情况。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（1）按照部门预算支出经济分类的类级科目说明。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文字说明，说明当年一般公共预算拨款支出情况，将相关数据与上年对比，分析增减变化原因。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2023年本部门当年一般公共预算支出986.9万元，其中：</w:t>
      </w:r>
    </w:p>
    <w:p>
      <w:pPr>
        <w:spacing w:line="360" w:lineRule="auto"/>
        <w:ind w:firstLine="0" w:firstLineChars="0"/>
        <w:rPr>
          <w:rFonts w:ascii="仿宋" w:hAnsi="仿宋" w:eastAsia="仿宋" w:cs="仿宋"/>
          <w:sz w:val="32"/>
          <w:szCs w:val="32"/>
        </w:rPr>
      </w:pPr>
      <w:r>
        <w:rPr>
          <w:rFonts w:hint="eastAsia" w:ascii="仿宋" w:hAnsi="仿宋" w:eastAsia="仿宋" w:cs="仿宋"/>
          <w:sz w:val="32"/>
          <w:szCs w:val="32"/>
        </w:rPr>
        <w:t>工资福利支出（301）800.39万元，较上年增加87.17万元，主要原因是本年度工资、养老保险、医疗保险等较上年度增加87.17万元；</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商品和服务支出（302）182.95万元，较上年增加9.15万元，主要原因是本年度规范专项业务经费支出经济分类科目，9.15万元由对个人和家庭的补助（303）调整至商品和服务支出（302）；</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对个人和家庭的补助支出（303）3.56万元，较上年减少9.15万元，主要原因是本年度规范专项业务经费支出经济分类科目，9.15万元由对个人和家庭的补助（303）调整至商品和服务支出（302）；</w:t>
      </w:r>
    </w:p>
    <w:p>
      <w:pPr>
        <w:numPr>
          <w:ilvl w:val="0"/>
          <w:numId w:val="3"/>
        </w:numPr>
        <w:spacing w:line="360" w:lineRule="auto"/>
        <w:ind w:firstLine="640"/>
        <w:rPr>
          <w:rFonts w:ascii="仿宋" w:hAnsi="仿宋" w:eastAsia="仿宋" w:cs="仿宋"/>
          <w:sz w:val="32"/>
          <w:szCs w:val="32"/>
        </w:rPr>
      </w:pPr>
      <w:r>
        <w:rPr>
          <w:rFonts w:hint="eastAsia" w:ascii="仿宋" w:hAnsi="仿宋" w:eastAsia="仿宋" w:cs="仿宋"/>
          <w:sz w:val="32"/>
          <w:szCs w:val="32"/>
        </w:rPr>
        <w:t>按照政府预算支出经济分类的类级科目说明。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2023年本部门当年一般公共预算支出986.9万元，其中：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机关工资福利支出（501）800.39万元，较上年增加87.17万元，原因是本年度工资、养老保险、医疗保险等较上年度增加87.17万元；</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机关商品和服务支出（502）182.95万元，较上年增加9.15万元，原因是本年度规范专项业务经费支出经济分类科目，9.15万元由对个人和家庭的补助（509）调整至商品和服务支出（502）；</w:t>
      </w:r>
    </w:p>
    <w:p>
      <w:pPr>
        <w:spacing w:line="360" w:lineRule="auto"/>
        <w:ind w:firstLine="640"/>
        <w:rPr>
          <w:rFonts w:ascii="仿宋" w:hAnsi="仿宋" w:eastAsia="仿宋" w:cs="仿宋"/>
          <w:b/>
          <w:bCs/>
          <w:sz w:val="32"/>
          <w:szCs w:val="32"/>
        </w:rPr>
      </w:pPr>
      <w:r>
        <w:rPr>
          <w:rFonts w:hint="eastAsia" w:ascii="仿宋" w:hAnsi="仿宋" w:eastAsia="仿宋" w:cs="仿宋"/>
          <w:sz w:val="32"/>
          <w:szCs w:val="32"/>
        </w:rPr>
        <w:t>对个人和家庭的补助（509）3.56万元，较上年减少9.15万元，原因是本年度规范专项业务经费支出经济分类科目，9.15万元由对个人和家庭的补助（509）调整至商品和服务支出（502）。</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rPr>
        <w:t>2022年结转财政资金一般公共预算拨款支出情况。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本部门无2022年结转的一般公共预算拨款资金支出。</w:t>
      </w:r>
    </w:p>
    <w:p>
      <w:pPr>
        <w:numPr>
          <w:ilvl w:val="0"/>
          <w:numId w:val="4"/>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政府性基金预算支出情况。</w:t>
      </w:r>
    </w:p>
    <w:p>
      <w:pPr>
        <w:numPr>
          <w:ilvl w:val="0"/>
          <w:numId w:val="5"/>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当年政府性基金预算支出情况。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本部门无当年政府性基金预算收支，并已公开空表。</w:t>
      </w:r>
    </w:p>
    <w:p>
      <w:pPr>
        <w:numPr>
          <w:ilvl w:val="0"/>
          <w:numId w:val="5"/>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上年结转政府性基金预算支出情况。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本部门无2022年结转的政府性基金预算拨款支出。</w:t>
      </w:r>
    </w:p>
    <w:p>
      <w:pPr>
        <w:numPr>
          <w:ilvl w:val="0"/>
          <w:numId w:val="4"/>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国有资本经营预算拨款收支情况。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本部门无当年国有资本经营预算拨款收支，并在财政拨款收支总体情况表中列示。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本部门无2022年结转的国有资本经营预算拨款支出。</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0"/>
        <w:rPr>
          <w:rFonts w:ascii="黑体" w:hAnsi="黑体" w:eastAsia="黑体" w:cs="黑体"/>
          <w:sz w:val="32"/>
          <w:szCs w:val="32"/>
        </w:rPr>
      </w:pPr>
      <w:r>
        <w:rPr>
          <w:rFonts w:hint="eastAsia" w:ascii="黑体" w:hAnsi="黑体" w:eastAsia="黑体" w:cs="黑体"/>
          <w:sz w:val="32"/>
          <w:szCs w:val="32"/>
        </w:rPr>
        <w:t>六、部门预算“三公”经费等预算情况说明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一）2023年本部门当年一般公共预算“三公”经费预算支出9.75万元，较上年增加5.43万元（+125.69%），增加的主要原因是规范“三公”经费列支科目，由专项业务经费调整5.5万元至公车运行维护费。其中：因公出国（境）经费0万元，较上年持平，持平主要原因是无该项开支；公务接待费4.25万元，较上年减少0.07万元（-1.62%），减少的主要原因是严格执行公务接待相关规定，进行控制和压减；公务用车运行费5.5万元，较上年增加5.5万元（+100%），增加的主要原因是规范“三公”经费列支科目，由专项业务经费调整5.5万元至公车运行维护费；公务用车购置费0万元，较上年持平，持平的主要原因是无该项开支。</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二）2023年本部门当年会议费预算支出0万元，较上年持平，持平的主要原因是精简会议、节省成本。培训费1万元，较上年增加1万元（+100%），增加的主要原因是本年度创建法治政府建设，硬性要求开展法治工作培训。</w:t>
      </w:r>
    </w:p>
    <w:p>
      <w:pPr>
        <w:ind w:firstLine="0" w:firstLineChars="0"/>
        <w:jc w:val="center"/>
        <w:rPr>
          <w:rFonts w:ascii="黑体" w:hAnsi="黑体" w:eastAsia="黑体" w:cs="黑体"/>
          <w:sz w:val="32"/>
          <w:szCs w:val="32"/>
        </w:rPr>
      </w:pPr>
      <w:r>
        <w:rPr>
          <w:rFonts w:hint="eastAsia" w:ascii="黑体" w:hAnsi="黑体" w:eastAsia="黑体" w:cs="黑体"/>
          <w:sz w:val="32"/>
          <w:szCs w:val="32"/>
        </w:rPr>
        <w:t xml:space="preserve">会议费培训费明细 </w:t>
      </w:r>
    </w:p>
    <w:p>
      <w:pPr>
        <w:ind w:firstLine="480"/>
        <w:jc w:val="right"/>
        <w:rPr>
          <w:rFonts w:ascii="仿宋" w:hAnsi="仿宋" w:eastAsia="仿宋" w:cs="仿宋"/>
        </w:rPr>
      </w:pPr>
      <w:r>
        <w:rPr>
          <w:rFonts w:hint="eastAsia" w:ascii="仿宋" w:hAnsi="仿宋" w:eastAsia="仿宋" w:cs="仿宋"/>
        </w:rPr>
        <w:t>单位：万元</w:t>
      </w:r>
    </w:p>
    <w:tbl>
      <w:tblPr>
        <w:tblStyle w:val="4"/>
        <w:tblW w:w="7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037"/>
        <w:gridCol w:w="2438"/>
        <w:gridCol w:w="787"/>
        <w:gridCol w:w="896"/>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761" w:type="dxa"/>
          </w:tcPr>
          <w:p>
            <w:pPr>
              <w:spacing w:line="360" w:lineRule="auto"/>
              <w:ind w:firstLine="360"/>
              <w:jc w:val="center"/>
              <w:rPr>
                <w:rFonts w:ascii="黑体" w:hAnsi="黑体" w:eastAsia="黑体" w:cs="黑体"/>
                <w:sz w:val="18"/>
                <w:szCs w:val="18"/>
              </w:rPr>
            </w:pPr>
            <w:r>
              <w:rPr>
                <w:rFonts w:hint="eastAsia" w:ascii="黑体" w:hAnsi="黑体" w:eastAsia="黑体" w:cs="黑体"/>
                <w:sz w:val="18"/>
                <w:szCs w:val="18"/>
              </w:rPr>
              <w:t>序号</w:t>
            </w:r>
          </w:p>
        </w:tc>
        <w:tc>
          <w:tcPr>
            <w:tcW w:w="2037" w:type="dxa"/>
          </w:tcPr>
          <w:p>
            <w:pPr>
              <w:spacing w:line="360" w:lineRule="auto"/>
              <w:ind w:firstLine="360"/>
              <w:jc w:val="center"/>
              <w:rPr>
                <w:rFonts w:ascii="黑体" w:hAnsi="黑体" w:eastAsia="黑体" w:cs="黑体"/>
                <w:sz w:val="18"/>
                <w:szCs w:val="18"/>
              </w:rPr>
            </w:pPr>
            <w:r>
              <w:rPr>
                <w:rFonts w:hint="eastAsia" w:ascii="黑体" w:hAnsi="黑体" w:eastAsia="黑体" w:cs="黑体"/>
                <w:sz w:val="18"/>
                <w:szCs w:val="18"/>
              </w:rPr>
              <w:t>会议/培训名称</w:t>
            </w:r>
          </w:p>
        </w:tc>
        <w:tc>
          <w:tcPr>
            <w:tcW w:w="2438" w:type="dxa"/>
          </w:tcPr>
          <w:p>
            <w:pPr>
              <w:spacing w:line="360" w:lineRule="auto"/>
              <w:ind w:firstLine="360"/>
              <w:jc w:val="center"/>
              <w:rPr>
                <w:rFonts w:ascii="黑体" w:hAnsi="黑体" w:eastAsia="黑体" w:cs="黑体"/>
                <w:sz w:val="18"/>
                <w:szCs w:val="18"/>
              </w:rPr>
            </w:pPr>
            <w:r>
              <w:rPr>
                <w:rFonts w:hint="eastAsia" w:ascii="黑体" w:hAnsi="黑体" w:eastAsia="黑体" w:cs="黑体"/>
                <w:sz w:val="18"/>
                <w:szCs w:val="18"/>
              </w:rPr>
              <w:t>时间</w:t>
            </w:r>
          </w:p>
        </w:tc>
        <w:tc>
          <w:tcPr>
            <w:tcW w:w="787" w:type="dxa"/>
          </w:tcPr>
          <w:p>
            <w:pPr>
              <w:spacing w:line="360" w:lineRule="auto"/>
              <w:ind w:firstLine="360"/>
              <w:jc w:val="center"/>
              <w:rPr>
                <w:rFonts w:ascii="黑体" w:hAnsi="黑体" w:eastAsia="黑体" w:cs="黑体"/>
                <w:sz w:val="18"/>
                <w:szCs w:val="18"/>
              </w:rPr>
            </w:pPr>
            <w:r>
              <w:rPr>
                <w:rFonts w:hint="eastAsia" w:ascii="黑体" w:hAnsi="黑体" w:eastAsia="黑体" w:cs="黑体"/>
                <w:sz w:val="18"/>
                <w:szCs w:val="18"/>
              </w:rPr>
              <w:t>人数</w:t>
            </w:r>
          </w:p>
        </w:tc>
        <w:tc>
          <w:tcPr>
            <w:tcW w:w="896" w:type="dxa"/>
          </w:tcPr>
          <w:p>
            <w:pPr>
              <w:spacing w:line="360" w:lineRule="auto"/>
              <w:ind w:firstLine="360"/>
              <w:jc w:val="center"/>
              <w:rPr>
                <w:rFonts w:ascii="黑体" w:hAnsi="黑体" w:eastAsia="黑体" w:cs="黑体"/>
                <w:sz w:val="18"/>
                <w:szCs w:val="18"/>
              </w:rPr>
            </w:pPr>
            <w:r>
              <w:rPr>
                <w:rFonts w:hint="eastAsia" w:ascii="黑体" w:hAnsi="黑体" w:eastAsia="黑体" w:cs="黑体"/>
                <w:sz w:val="18"/>
                <w:szCs w:val="18"/>
              </w:rPr>
              <w:t>金额</w:t>
            </w:r>
          </w:p>
        </w:tc>
        <w:tc>
          <w:tcPr>
            <w:tcW w:w="796" w:type="dxa"/>
          </w:tcPr>
          <w:p>
            <w:pPr>
              <w:spacing w:line="360" w:lineRule="auto"/>
              <w:ind w:firstLine="360"/>
              <w:jc w:val="center"/>
              <w:rPr>
                <w:rFonts w:ascii="黑体" w:hAnsi="黑体" w:eastAsia="黑体" w:cs="黑体"/>
                <w:sz w:val="18"/>
                <w:szCs w:val="18"/>
              </w:rPr>
            </w:pPr>
            <w:r>
              <w:rPr>
                <w:rFonts w:hint="eastAsia" w:ascii="黑体" w:hAnsi="黑体" w:eastAsia="黑体" w:cs="黑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61" w:type="dxa"/>
          </w:tcPr>
          <w:p>
            <w:pPr>
              <w:spacing w:line="360" w:lineRule="auto"/>
              <w:ind w:firstLine="300"/>
              <w:jc w:val="center"/>
              <w:rPr>
                <w:rFonts w:ascii="仿宋_GB2312" w:hAnsi="仿宋_GB2312" w:eastAsia="仿宋_GB2312" w:cs="仿宋_GB2312"/>
                <w:sz w:val="15"/>
                <w:szCs w:val="15"/>
              </w:rPr>
            </w:pPr>
            <w:r>
              <w:rPr>
                <w:rFonts w:hint="eastAsia" w:ascii="仿宋_GB2312" w:hAnsi="仿宋_GB2312" w:eastAsia="仿宋_GB2312" w:cs="仿宋_GB2312"/>
                <w:sz w:val="15"/>
                <w:szCs w:val="15"/>
              </w:rPr>
              <w:t>1</w:t>
            </w:r>
          </w:p>
        </w:tc>
        <w:tc>
          <w:tcPr>
            <w:tcW w:w="2037" w:type="dxa"/>
          </w:tcPr>
          <w:p>
            <w:pPr>
              <w:spacing w:line="360" w:lineRule="auto"/>
              <w:ind w:firstLine="300"/>
              <w:rPr>
                <w:rFonts w:ascii="仿宋_GB2312" w:hAnsi="仿宋_GB2312" w:eastAsia="仿宋_GB2312" w:cs="仿宋_GB2312"/>
                <w:sz w:val="15"/>
                <w:szCs w:val="15"/>
              </w:rPr>
            </w:pPr>
            <w:r>
              <w:rPr>
                <w:rFonts w:hint="eastAsia" w:ascii="仿宋_GB2312" w:hAnsi="仿宋_GB2312" w:eastAsia="仿宋_GB2312" w:cs="仿宋_GB2312"/>
                <w:sz w:val="15"/>
                <w:szCs w:val="15"/>
              </w:rPr>
              <w:t>法治建设业务培训</w:t>
            </w:r>
          </w:p>
        </w:tc>
        <w:tc>
          <w:tcPr>
            <w:tcW w:w="2438" w:type="dxa"/>
          </w:tcPr>
          <w:p>
            <w:pPr>
              <w:spacing w:line="360" w:lineRule="auto"/>
              <w:ind w:firstLine="220"/>
              <w:rPr>
                <w:rFonts w:ascii="仿宋_GB2312" w:hAnsi="仿宋_GB2312" w:eastAsia="仿宋_GB2312" w:cs="仿宋_GB2312"/>
                <w:sz w:val="15"/>
                <w:szCs w:val="15"/>
              </w:rPr>
            </w:pPr>
            <w:r>
              <w:rPr>
                <w:rFonts w:hint="eastAsia" w:ascii="仿宋_GB2312" w:hAnsi="仿宋_GB2312" w:eastAsia="仿宋_GB2312" w:cs="仿宋_GB2312"/>
                <w:sz w:val="11"/>
                <w:szCs w:val="11"/>
              </w:rPr>
              <w:t>2023年7月10日-7月11日</w:t>
            </w:r>
          </w:p>
        </w:tc>
        <w:tc>
          <w:tcPr>
            <w:tcW w:w="787" w:type="dxa"/>
          </w:tcPr>
          <w:p>
            <w:pPr>
              <w:spacing w:line="360" w:lineRule="auto"/>
              <w:ind w:firstLine="0" w:firstLineChars="0"/>
              <w:rPr>
                <w:rFonts w:ascii="仿宋_GB2312" w:hAnsi="仿宋_GB2312" w:eastAsia="仿宋_GB2312" w:cs="仿宋_GB2312"/>
                <w:sz w:val="15"/>
                <w:szCs w:val="15"/>
              </w:rPr>
            </w:pPr>
            <w:r>
              <w:rPr>
                <w:rFonts w:hint="eastAsia" w:ascii="仿宋_GB2312" w:hAnsi="仿宋_GB2312" w:eastAsia="仿宋_GB2312" w:cs="仿宋_GB2312"/>
                <w:sz w:val="15"/>
                <w:szCs w:val="15"/>
              </w:rPr>
              <w:t>200人</w:t>
            </w:r>
          </w:p>
        </w:tc>
        <w:tc>
          <w:tcPr>
            <w:tcW w:w="896" w:type="dxa"/>
          </w:tcPr>
          <w:p>
            <w:pPr>
              <w:spacing w:line="360" w:lineRule="auto"/>
              <w:ind w:firstLine="0" w:firstLineChars="0"/>
              <w:rPr>
                <w:rFonts w:ascii="仿宋_GB2312" w:hAnsi="仿宋_GB2312" w:eastAsia="仿宋_GB2312" w:cs="仿宋_GB2312"/>
                <w:sz w:val="15"/>
                <w:szCs w:val="15"/>
              </w:rPr>
            </w:pPr>
            <w:r>
              <w:rPr>
                <w:rFonts w:hint="eastAsia" w:ascii="仿宋_GB2312" w:hAnsi="仿宋_GB2312" w:eastAsia="仿宋_GB2312" w:cs="仿宋_GB2312"/>
                <w:sz w:val="15"/>
                <w:szCs w:val="15"/>
              </w:rPr>
              <w:t>1</w:t>
            </w:r>
          </w:p>
        </w:tc>
        <w:tc>
          <w:tcPr>
            <w:tcW w:w="796" w:type="dxa"/>
          </w:tcPr>
          <w:p>
            <w:pPr>
              <w:spacing w:line="360" w:lineRule="auto"/>
              <w:ind w:firstLine="300"/>
              <w:rPr>
                <w:rFonts w:ascii="仿宋_GB2312" w:hAnsi="仿宋_GB2312" w:eastAsia="仿宋_GB2312" w:cs="仿宋_GB2312"/>
                <w:sz w:val="15"/>
                <w:szCs w:val="15"/>
              </w:rPr>
            </w:pPr>
          </w:p>
        </w:tc>
      </w:tr>
    </w:tbl>
    <w:p>
      <w:pPr>
        <w:spacing w:line="360" w:lineRule="auto"/>
        <w:ind w:firstLine="0" w:firstLineChars="0"/>
        <w:rPr>
          <w:rFonts w:ascii="仿宋" w:hAnsi="仿宋" w:eastAsia="仿宋" w:cs="仿宋"/>
          <w:sz w:val="32"/>
          <w:szCs w:val="32"/>
        </w:rPr>
      </w:pP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本部门无2022年结转的财政拨款‘三公’经费和会议费、培训费支出。</w:t>
      </w:r>
    </w:p>
    <w:p>
      <w:pPr>
        <w:spacing w:line="360" w:lineRule="auto"/>
        <w:ind w:firstLine="640"/>
        <w:rPr>
          <w:rFonts w:ascii="黑体" w:hAnsi="黑体" w:eastAsia="黑体" w:cs="黑体"/>
          <w:sz w:val="32"/>
          <w:szCs w:val="32"/>
        </w:rPr>
      </w:pPr>
      <w:r>
        <w:rPr>
          <w:rFonts w:hint="eastAsia" w:ascii="黑体" w:hAnsi="黑体" w:eastAsia="黑体" w:cs="黑体"/>
          <w:sz w:val="32"/>
          <w:szCs w:val="32"/>
        </w:rPr>
        <w:t>七、部门国有资产占有使用及资产购置情况说明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截止2022年底，本部门所属预算单位共有车辆2辆，单价20万元以上的设备0台（套）。2023年当年部门预算安排购置车辆0辆；安排购置单价20万元以上的设备0台（套）。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本部门无2022年结转的财政拨款支出资产购置。</w:t>
      </w:r>
    </w:p>
    <w:p>
      <w:pPr>
        <w:spacing w:line="360" w:lineRule="auto"/>
        <w:ind w:left="797" w:firstLine="0" w:firstLineChars="0"/>
        <w:rPr>
          <w:rFonts w:ascii="黑体" w:hAnsi="黑体" w:eastAsia="黑体" w:cs="黑体"/>
          <w:sz w:val="32"/>
          <w:szCs w:val="32"/>
        </w:rPr>
      </w:pPr>
      <w:r>
        <w:rPr>
          <w:rFonts w:hint="eastAsia" w:ascii="黑体" w:hAnsi="黑体" w:eastAsia="黑体" w:cs="黑体"/>
          <w:sz w:val="32"/>
          <w:szCs w:val="32"/>
        </w:rPr>
        <w:t>八、部门政府采购情况说明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2023年当年本部门政府采购预算共10万元，其中政府采购货物类预算0万元、政府采购服务类预算10万元、政府采购工程类预算0万元（详见公开报表中的政府采购表）。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本部门无2022年结转的政府采购资金支出。</w:t>
      </w:r>
    </w:p>
    <w:p>
      <w:pPr>
        <w:spacing w:line="360" w:lineRule="auto"/>
        <w:ind w:firstLine="640"/>
        <w:rPr>
          <w:rFonts w:ascii="黑体" w:hAnsi="黑体" w:eastAsia="黑体" w:cs="黑体"/>
          <w:sz w:val="32"/>
          <w:szCs w:val="32"/>
        </w:rPr>
      </w:pPr>
      <w:r>
        <w:rPr>
          <w:rFonts w:hint="eastAsia" w:ascii="黑体" w:hAnsi="黑体" w:eastAsia="黑体" w:cs="黑体"/>
          <w:sz w:val="32"/>
          <w:szCs w:val="32"/>
        </w:rPr>
        <w:t>九、部门预算绩效目标说明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2023年本部门绩效目标管理全覆盖，涉及当年一般公共预算拨款986.9万元</w:t>
      </w:r>
      <w:r>
        <w:rPr>
          <w:rFonts w:hint="eastAsia" w:ascii="仿宋" w:hAnsi="仿宋" w:eastAsia="仿宋" w:cs="仿宋"/>
          <w:sz w:val="32"/>
          <w:szCs w:val="32"/>
          <w:lang w:eastAsia="zh-CN"/>
        </w:rPr>
        <w:t>，</w:t>
      </w:r>
      <w:r>
        <w:rPr>
          <w:rFonts w:hint="eastAsia" w:ascii="仿宋" w:hAnsi="仿宋" w:eastAsia="仿宋" w:cs="仿宋"/>
          <w:sz w:val="32"/>
          <w:szCs w:val="32"/>
        </w:rPr>
        <w:t>当年政府性基金预算拨款0万元，当年国有资本经营预算拨款0万元（详见公开报表中的绩效目标表）。</w:t>
      </w:r>
    </w:p>
    <w:p>
      <w:pPr>
        <w:spacing w:line="360" w:lineRule="auto"/>
        <w:ind w:firstLine="640"/>
        <w:rPr>
          <w:rFonts w:ascii="仿宋" w:hAnsi="仿宋" w:eastAsia="仿宋" w:cs="仿宋"/>
          <w:sz w:val="32"/>
          <w:szCs w:val="32"/>
          <w:highlight w:val="red"/>
        </w:rPr>
      </w:pPr>
      <w:r>
        <w:rPr>
          <w:rFonts w:hint="eastAsia" w:ascii="仿宋" w:hAnsi="仿宋" w:eastAsia="仿宋" w:cs="仿宋"/>
          <w:sz w:val="32"/>
          <w:szCs w:val="32"/>
        </w:rPr>
        <w:t>本部门无2022年结转的财政拨款支出涉及的绩效目标管理。</w:t>
      </w:r>
    </w:p>
    <w:p>
      <w:pPr>
        <w:spacing w:line="360" w:lineRule="auto"/>
        <w:ind w:firstLine="640"/>
        <w:rPr>
          <w:rFonts w:ascii="黑体" w:hAnsi="黑体" w:eastAsia="黑体" w:cs="黑体"/>
          <w:sz w:val="32"/>
          <w:szCs w:val="32"/>
        </w:rPr>
      </w:pPr>
      <w:r>
        <w:rPr>
          <w:rFonts w:hint="eastAsia" w:ascii="黑体" w:hAnsi="黑体" w:eastAsia="黑体" w:cs="黑体"/>
          <w:sz w:val="32"/>
          <w:szCs w:val="32"/>
        </w:rPr>
        <w:t>十、机关运行经费安排说明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本部门当年机关运行经费预算安排52.23万元，较上年增加4.71万元，主要原因是本年度公用经费、公务接待费较上年度减少0.79万元，为规范“三公”经费列支科目，由专项业务经费调整5.5万元至公车运行维护费。</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本部门无2022年结转的财政拨款机关运行经费支出。</w:t>
      </w:r>
    </w:p>
    <w:p>
      <w:pPr>
        <w:spacing w:line="360" w:lineRule="auto"/>
        <w:ind w:firstLine="640"/>
        <w:rPr>
          <w:rFonts w:ascii="黑体" w:hAnsi="黑体" w:eastAsia="黑体" w:cs="黑体"/>
          <w:sz w:val="32"/>
          <w:szCs w:val="32"/>
        </w:rPr>
      </w:pPr>
      <w:r>
        <w:rPr>
          <w:rFonts w:hint="eastAsia" w:ascii="黑体" w:hAnsi="黑体" w:eastAsia="黑体" w:cs="黑体"/>
          <w:sz w:val="32"/>
          <w:szCs w:val="32"/>
        </w:rPr>
        <w:t>十一、专业名词解释</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机关运行经费：指各部门的公用经费，包括办公及印刷费、邮电费、差旅费、会议费、福利费、日常维修费、专用材料及一般设备购置费、办公用房水电费、办公用房取暖费、办公用房物业管理费、公务用车运行费以及其他费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三公”经费：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spacing w:line="360" w:lineRule="auto"/>
        <w:ind w:firstLine="640"/>
        <w:rPr>
          <w:rFonts w:ascii="仿宋" w:hAnsi="仿宋" w:eastAsia="仿宋" w:cs="仿宋"/>
          <w:sz w:val="32"/>
          <w:szCs w:val="32"/>
        </w:rPr>
      </w:pP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第四部分  公开报表</w:t>
      </w:r>
    </w:p>
    <w:p>
      <w:pPr>
        <w:spacing w:line="360" w:lineRule="auto"/>
        <w:ind w:firstLine="640"/>
        <w:jc w:val="center"/>
        <w:rPr>
          <w:rFonts w:ascii="仿宋" w:hAnsi="仿宋" w:eastAsia="仿宋" w:cs="仿宋"/>
          <w:sz w:val="32"/>
          <w:szCs w:val="32"/>
        </w:rPr>
      </w:pPr>
      <w:r>
        <w:rPr>
          <w:rFonts w:hint="eastAsia" w:ascii="仿宋" w:hAnsi="仿宋" w:eastAsia="仿宋" w:cs="仿宋"/>
          <w:sz w:val="32"/>
          <w:szCs w:val="32"/>
        </w:rPr>
        <w:t>（详见附件2内容）</w:t>
      </w:r>
    </w:p>
    <w:p>
      <w:pPr>
        <w:spacing w:line="360" w:lineRule="auto"/>
        <w:ind w:firstLine="640"/>
        <w:jc w:val="left"/>
        <w:rPr>
          <w:rFonts w:ascii="仿宋" w:hAnsi="仿宋" w:eastAsia="仿宋" w:cs="仿宋"/>
          <w:sz w:val="32"/>
          <w:szCs w:val="32"/>
        </w:rPr>
      </w:pPr>
    </w:p>
    <w:p>
      <w:pPr>
        <w:spacing w:line="360" w:lineRule="auto"/>
        <w:ind w:firstLine="640"/>
        <w:jc w:val="left"/>
        <w:rPr>
          <w:rFonts w:ascii="仿宋" w:hAnsi="仿宋" w:eastAsia="仿宋" w:cs="仿宋"/>
          <w:sz w:val="32"/>
          <w:szCs w:val="32"/>
        </w:rPr>
      </w:pPr>
    </w:p>
    <w:p>
      <w:pPr>
        <w:spacing w:line="360" w:lineRule="auto"/>
        <w:ind w:firstLine="640"/>
        <w:jc w:val="left"/>
        <w:rPr>
          <w:rFonts w:ascii="仿宋" w:hAnsi="仿宋" w:eastAsia="仿宋" w:cs="仿宋"/>
          <w:sz w:val="32"/>
          <w:szCs w:val="32"/>
        </w:rPr>
      </w:pPr>
    </w:p>
    <w:p>
      <w:pPr>
        <w:spacing w:line="360" w:lineRule="auto"/>
        <w:ind w:firstLine="640"/>
        <w:jc w:val="left"/>
        <w:rPr>
          <w:rFonts w:ascii="仿宋" w:hAnsi="仿宋" w:eastAsia="仿宋" w:cs="仿宋"/>
          <w:sz w:val="32"/>
          <w:szCs w:val="32"/>
        </w:rPr>
      </w:pPr>
      <w:r>
        <w:rPr>
          <w:rFonts w:hint="eastAsia" w:ascii="仿宋" w:hAnsi="仿宋" w:eastAsia="仿宋" w:cs="仿宋"/>
          <w:sz w:val="32"/>
          <w:szCs w:val="32"/>
        </w:rPr>
        <w:t xml:space="preserve">                              紫阳县司法局</w:t>
      </w:r>
    </w:p>
    <w:p>
      <w:pPr>
        <w:spacing w:line="360" w:lineRule="auto"/>
        <w:ind w:firstLine="640"/>
        <w:jc w:val="left"/>
        <w:rPr>
          <w:rFonts w:ascii="仿宋" w:hAnsi="仿宋" w:eastAsia="仿宋" w:cs="仿宋"/>
          <w:sz w:val="32"/>
          <w:szCs w:val="32"/>
        </w:rPr>
      </w:pPr>
      <w:r>
        <w:rPr>
          <w:rFonts w:hint="eastAsia" w:ascii="仿宋" w:hAnsi="仿宋" w:eastAsia="仿宋" w:cs="仿宋"/>
          <w:sz w:val="32"/>
          <w:szCs w:val="32"/>
        </w:rPr>
        <w:t xml:space="preserve">                             2023年3月13日</w:t>
      </w:r>
    </w:p>
    <w:p>
      <w:pPr>
        <w:ind w:firstLine="0" w:firstLineChars="0"/>
        <w:rPr>
          <w:rFonts w:ascii="仿宋" w:hAnsi="仿宋" w:eastAsia="仿宋" w:cs="仿宋"/>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A61CBF2F"/>
    <w:multiLevelType w:val="singleLevel"/>
    <w:tmpl w:val="A61CBF2F"/>
    <w:lvl w:ilvl="0" w:tentative="0">
      <w:start w:val="1"/>
      <w:numFmt w:val="chineseCounting"/>
      <w:suff w:val="nothing"/>
      <w:lvlText w:val="（%1）"/>
      <w:lvlJc w:val="left"/>
      <w:rPr>
        <w:rFonts w:hint="eastAsia"/>
      </w:rPr>
    </w:lvl>
  </w:abstractNum>
  <w:abstractNum w:abstractNumId="2">
    <w:nsid w:val="02686215"/>
    <w:multiLevelType w:val="singleLevel"/>
    <w:tmpl w:val="02686215"/>
    <w:lvl w:ilvl="0" w:tentative="0">
      <w:start w:val="2"/>
      <w:numFmt w:val="decimal"/>
      <w:suff w:val="nothing"/>
      <w:lvlText w:val="%1、"/>
      <w:lvlJc w:val="left"/>
    </w:lvl>
  </w:abstractNum>
  <w:abstractNum w:abstractNumId="3">
    <w:nsid w:val="27254C28"/>
    <w:multiLevelType w:val="singleLevel"/>
    <w:tmpl w:val="27254C28"/>
    <w:lvl w:ilvl="0" w:tentative="0">
      <w:start w:val="2"/>
      <w:numFmt w:val="decimal"/>
      <w:suff w:val="nothing"/>
      <w:lvlText w:val="（%1）"/>
      <w:lvlJc w:val="left"/>
    </w:lvl>
  </w:abstractNum>
  <w:abstractNum w:abstractNumId="4">
    <w:nsid w:val="5D0214CA"/>
    <w:multiLevelType w:val="singleLevel"/>
    <w:tmpl w:val="5D0214CA"/>
    <w:lvl w:ilvl="0" w:tentative="0">
      <w:start w:val="4"/>
      <w:numFmt w:val="chineseCounting"/>
      <w:suff w:val="nothing"/>
      <w:lvlText w:val="（%1）"/>
      <w:lvlJc w:val="left"/>
      <w:rPr>
        <w:rFonts w:hint="eastAsia"/>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ZjU1ODlkZTJkZjZjN2Y3OGYzOGQwZjIwYjkwNjQifQ=="/>
  </w:docVars>
  <w:rsids>
    <w:rsidRoot w:val="1ED0381D"/>
    <w:rsid w:val="001E2A64"/>
    <w:rsid w:val="0056204B"/>
    <w:rsid w:val="006836D3"/>
    <w:rsid w:val="007A51B4"/>
    <w:rsid w:val="00953D9C"/>
    <w:rsid w:val="009C4762"/>
    <w:rsid w:val="00D70262"/>
    <w:rsid w:val="00F87D96"/>
    <w:rsid w:val="018F2D13"/>
    <w:rsid w:val="01CD3E21"/>
    <w:rsid w:val="01D846CD"/>
    <w:rsid w:val="02953D9A"/>
    <w:rsid w:val="03343D40"/>
    <w:rsid w:val="03791D26"/>
    <w:rsid w:val="037B54CB"/>
    <w:rsid w:val="0466605A"/>
    <w:rsid w:val="04F35073"/>
    <w:rsid w:val="052A53FB"/>
    <w:rsid w:val="053C0C8A"/>
    <w:rsid w:val="058014BF"/>
    <w:rsid w:val="05BB24F7"/>
    <w:rsid w:val="05C0366A"/>
    <w:rsid w:val="06023C82"/>
    <w:rsid w:val="061D2748"/>
    <w:rsid w:val="06D7231D"/>
    <w:rsid w:val="075D6C6A"/>
    <w:rsid w:val="07632E46"/>
    <w:rsid w:val="0773304F"/>
    <w:rsid w:val="07C37441"/>
    <w:rsid w:val="07DA45E6"/>
    <w:rsid w:val="087B7D1C"/>
    <w:rsid w:val="089D1D43"/>
    <w:rsid w:val="08FC70AE"/>
    <w:rsid w:val="0A653AEA"/>
    <w:rsid w:val="0A801619"/>
    <w:rsid w:val="0AAB1747"/>
    <w:rsid w:val="0B473936"/>
    <w:rsid w:val="0B820553"/>
    <w:rsid w:val="0B8A1B09"/>
    <w:rsid w:val="0BCE4606"/>
    <w:rsid w:val="0C4072B2"/>
    <w:rsid w:val="0C805687"/>
    <w:rsid w:val="0CCC6D98"/>
    <w:rsid w:val="0D053BAB"/>
    <w:rsid w:val="0D594F94"/>
    <w:rsid w:val="0E1F698E"/>
    <w:rsid w:val="0E8A0CB9"/>
    <w:rsid w:val="0E992EBC"/>
    <w:rsid w:val="0F3330FE"/>
    <w:rsid w:val="0FA9052D"/>
    <w:rsid w:val="10163FB4"/>
    <w:rsid w:val="10955460"/>
    <w:rsid w:val="10A536CA"/>
    <w:rsid w:val="112F5B47"/>
    <w:rsid w:val="11317B11"/>
    <w:rsid w:val="128A74D9"/>
    <w:rsid w:val="12B55B02"/>
    <w:rsid w:val="12EA7F78"/>
    <w:rsid w:val="13070F69"/>
    <w:rsid w:val="13DD192D"/>
    <w:rsid w:val="1427662C"/>
    <w:rsid w:val="147F7E6C"/>
    <w:rsid w:val="14AB3737"/>
    <w:rsid w:val="14BE346A"/>
    <w:rsid w:val="14C85364"/>
    <w:rsid w:val="14E1184E"/>
    <w:rsid w:val="14FA613E"/>
    <w:rsid w:val="15051E29"/>
    <w:rsid w:val="15053ED9"/>
    <w:rsid w:val="156D6C3E"/>
    <w:rsid w:val="15BA67E3"/>
    <w:rsid w:val="15C076B6"/>
    <w:rsid w:val="15DA2525"/>
    <w:rsid w:val="15E03BEA"/>
    <w:rsid w:val="15EB6487"/>
    <w:rsid w:val="166918D6"/>
    <w:rsid w:val="16F5338F"/>
    <w:rsid w:val="172556D5"/>
    <w:rsid w:val="17377504"/>
    <w:rsid w:val="176724C1"/>
    <w:rsid w:val="183103F7"/>
    <w:rsid w:val="186A4456"/>
    <w:rsid w:val="187B69FE"/>
    <w:rsid w:val="18AF7F70"/>
    <w:rsid w:val="196A733A"/>
    <w:rsid w:val="19F142E2"/>
    <w:rsid w:val="1A431FF4"/>
    <w:rsid w:val="1A6E148E"/>
    <w:rsid w:val="1B356450"/>
    <w:rsid w:val="1B746107"/>
    <w:rsid w:val="1BBB0703"/>
    <w:rsid w:val="1C2A7637"/>
    <w:rsid w:val="1C534DE0"/>
    <w:rsid w:val="1C9D251F"/>
    <w:rsid w:val="1CD64124"/>
    <w:rsid w:val="1CEC2B3E"/>
    <w:rsid w:val="1DD54882"/>
    <w:rsid w:val="1E0072C5"/>
    <w:rsid w:val="1E1E7AD2"/>
    <w:rsid w:val="1E276524"/>
    <w:rsid w:val="1E8079E2"/>
    <w:rsid w:val="1EBD0C36"/>
    <w:rsid w:val="1ED0381D"/>
    <w:rsid w:val="1FDC333E"/>
    <w:rsid w:val="20020FF7"/>
    <w:rsid w:val="20FE50B8"/>
    <w:rsid w:val="210F400E"/>
    <w:rsid w:val="21713C4B"/>
    <w:rsid w:val="21F7620D"/>
    <w:rsid w:val="229A281A"/>
    <w:rsid w:val="237D6BE6"/>
    <w:rsid w:val="2383657E"/>
    <w:rsid w:val="23F45765"/>
    <w:rsid w:val="242E73FF"/>
    <w:rsid w:val="24304C40"/>
    <w:rsid w:val="24507E57"/>
    <w:rsid w:val="2463402E"/>
    <w:rsid w:val="246C5345"/>
    <w:rsid w:val="24AB40AF"/>
    <w:rsid w:val="24DC16EA"/>
    <w:rsid w:val="24FC6952"/>
    <w:rsid w:val="258673AF"/>
    <w:rsid w:val="26CC76FD"/>
    <w:rsid w:val="26D703BB"/>
    <w:rsid w:val="272308AF"/>
    <w:rsid w:val="274A6DDF"/>
    <w:rsid w:val="27A240F9"/>
    <w:rsid w:val="28064C78"/>
    <w:rsid w:val="28377363"/>
    <w:rsid w:val="2852419D"/>
    <w:rsid w:val="2864072E"/>
    <w:rsid w:val="29051210"/>
    <w:rsid w:val="29891E41"/>
    <w:rsid w:val="29B6075C"/>
    <w:rsid w:val="29CA4207"/>
    <w:rsid w:val="2A2C6C70"/>
    <w:rsid w:val="2A3E38E1"/>
    <w:rsid w:val="2B125E7A"/>
    <w:rsid w:val="2BF2458F"/>
    <w:rsid w:val="2C0C0B07"/>
    <w:rsid w:val="2C536736"/>
    <w:rsid w:val="2D0A773C"/>
    <w:rsid w:val="2D7076E7"/>
    <w:rsid w:val="2E4F2F2D"/>
    <w:rsid w:val="2ECD6C74"/>
    <w:rsid w:val="2ECE02F6"/>
    <w:rsid w:val="2F3B562F"/>
    <w:rsid w:val="2F5E78CC"/>
    <w:rsid w:val="2F6B42A1"/>
    <w:rsid w:val="2F923A19"/>
    <w:rsid w:val="2FC8494E"/>
    <w:rsid w:val="2FD97855"/>
    <w:rsid w:val="300C557A"/>
    <w:rsid w:val="301A5427"/>
    <w:rsid w:val="30744F00"/>
    <w:rsid w:val="31466869"/>
    <w:rsid w:val="314B37FB"/>
    <w:rsid w:val="315471D8"/>
    <w:rsid w:val="3172765E"/>
    <w:rsid w:val="31B733F7"/>
    <w:rsid w:val="32D33A39"/>
    <w:rsid w:val="33680D19"/>
    <w:rsid w:val="33A818E4"/>
    <w:rsid w:val="33D32F17"/>
    <w:rsid w:val="33ED121E"/>
    <w:rsid w:val="354D466A"/>
    <w:rsid w:val="35F82C60"/>
    <w:rsid w:val="37024FE0"/>
    <w:rsid w:val="37C30C14"/>
    <w:rsid w:val="380A05F1"/>
    <w:rsid w:val="38137C9C"/>
    <w:rsid w:val="385D1A98"/>
    <w:rsid w:val="38D429AD"/>
    <w:rsid w:val="38F70388"/>
    <w:rsid w:val="39783C80"/>
    <w:rsid w:val="399C171C"/>
    <w:rsid w:val="39E9751C"/>
    <w:rsid w:val="3A323E2F"/>
    <w:rsid w:val="3A4434B4"/>
    <w:rsid w:val="3B055E9C"/>
    <w:rsid w:val="3B077069"/>
    <w:rsid w:val="3B844B5E"/>
    <w:rsid w:val="3BBD597A"/>
    <w:rsid w:val="3D28036F"/>
    <w:rsid w:val="3D8407DF"/>
    <w:rsid w:val="3DFC6C2D"/>
    <w:rsid w:val="3DFF32ED"/>
    <w:rsid w:val="3E4405D4"/>
    <w:rsid w:val="3F503091"/>
    <w:rsid w:val="3F890995"/>
    <w:rsid w:val="4008265B"/>
    <w:rsid w:val="40270354"/>
    <w:rsid w:val="40BF3F42"/>
    <w:rsid w:val="411029F0"/>
    <w:rsid w:val="41594397"/>
    <w:rsid w:val="41851E44"/>
    <w:rsid w:val="41F06AA9"/>
    <w:rsid w:val="420B5D06"/>
    <w:rsid w:val="4248700C"/>
    <w:rsid w:val="42611755"/>
    <w:rsid w:val="42BB70A3"/>
    <w:rsid w:val="436112E1"/>
    <w:rsid w:val="440A3726"/>
    <w:rsid w:val="44CB693F"/>
    <w:rsid w:val="44E87F0C"/>
    <w:rsid w:val="45442C68"/>
    <w:rsid w:val="457C2402"/>
    <w:rsid w:val="465670F7"/>
    <w:rsid w:val="46712183"/>
    <w:rsid w:val="469A6FE4"/>
    <w:rsid w:val="471D22FA"/>
    <w:rsid w:val="472B48D8"/>
    <w:rsid w:val="4741375D"/>
    <w:rsid w:val="477F15A5"/>
    <w:rsid w:val="47A65E5C"/>
    <w:rsid w:val="47BE6D02"/>
    <w:rsid w:val="47C702DF"/>
    <w:rsid w:val="47F00E85"/>
    <w:rsid w:val="483C1819"/>
    <w:rsid w:val="48422B9F"/>
    <w:rsid w:val="488947B6"/>
    <w:rsid w:val="48A00AFD"/>
    <w:rsid w:val="48D03190"/>
    <w:rsid w:val="48FF3A76"/>
    <w:rsid w:val="495D6F8C"/>
    <w:rsid w:val="4A5971B6"/>
    <w:rsid w:val="4A767D68"/>
    <w:rsid w:val="4B0C5FD6"/>
    <w:rsid w:val="4B86222C"/>
    <w:rsid w:val="4BDC3BFA"/>
    <w:rsid w:val="4C0D46FC"/>
    <w:rsid w:val="4CC149FB"/>
    <w:rsid w:val="4D07739D"/>
    <w:rsid w:val="4EF456FF"/>
    <w:rsid w:val="4FB64197"/>
    <w:rsid w:val="503E1327"/>
    <w:rsid w:val="504B134F"/>
    <w:rsid w:val="50572E30"/>
    <w:rsid w:val="50574197"/>
    <w:rsid w:val="50D41344"/>
    <w:rsid w:val="50DB6B76"/>
    <w:rsid w:val="50E6454A"/>
    <w:rsid w:val="51450494"/>
    <w:rsid w:val="51AA26CF"/>
    <w:rsid w:val="51AA5E26"/>
    <w:rsid w:val="51F06651"/>
    <w:rsid w:val="52100AA2"/>
    <w:rsid w:val="52324C02"/>
    <w:rsid w:val="52C93A96"/>
    <w:rsid w:val="52F43916"/>
    <w:rsid w:val="531A3416"/>
    <w:rsid w:val="531E0F9C"/>
    <w:rsid w:val="532E5683"/>
    <w:rsid w:val="538C5F53"/>
    <w:rsid w:val="54474AB6"/>
    <w:rsid w:val="546926EB"/>
    <w:rsid w:val="54750C54"/>
    <w:rsid w:val="556A2277"/>
    <w:rsid w:val="557C1FAA"/>
    <w:rsid w:val="5582405A"/>
    <w:rsid w:val="56051C6B"/>
    <w:rsid w:val="563F4648"/>
    <w:rsid w:val="57C07DEE"/>
    <w:rsid w:val="57E827BE"/>
    <w:rsid w:val="58690F0C"/>
    <w:rsid w:val="58AB49D7"/>
    <w:rsid w:val="58F033DB"/>
    <w:rsid w:val="58FE3115"/>
    <w:rsid w:val="592D7B67"/>
    <w:rsid w:val="592F4711"/>
    <w:rsid w:val="59C26B25"/>
    <w:rsid w:val="59C94DFC"/>
    <w:rsid w:val="59D947AF"/>
    <w:rsid w:val="59F14D15"/>
    <w:rsid w:val="59F96CB8"/>
    <w:rsid w:val="5B022F52"/>
    <w:rsid w:val="5B4A51C5"/>
    <w:rsid w:val="5B9C6F02"/>
    <w:rsid w:val="5BA83AF8"/>
    <w:rsid w:val="5BD23E00"/>
    <w:rsid w:val="5BF47018"/>
    <w:rsid w:val="5C207B33"/>
    <w:rsid w:val="5C401F83"/>
    <w:rsid w:val="5C653576"/>
    <w:rsid w:val="5D375134"/>
    <w:rsid w:val="5D615063"/>
    <w:rsid w:val="5D8F6D1E"/>
    <w:rsid w:val="5DD21301"/>
    <w:rsid w:val="5DE04CE2"/>
    <w:rsid w:val="5E0F60B1"/>
    <w:rsid w:val="5E5B4E53"/>
    <w:rsid w:val="5E5C14C1"/>
    <w:rsid w:val="5F635E4B"/>
    <w:rsid w:val="5F732F12"/>
    <w:rsid w:val="5F7C7776"/>
    <w:rsid w:val="5FC52ECB"/>
    <w:rsid w:val="60404B5F"/>
    <w:rsid w:val="60464805"/>
    <w:rsid w:val="6134696F"/>
    <w:rsid w:val="617701F5"/>
    <w:rsid w:val="61A46529"/>
    <w:rsid w:val="61C827FF"/>
    <w:rsid w:val="61EE3D1B"/>
    <w:rsid w:val="62460F4D"/>
    <w:rsid w:val="628D3A49"/>
    <w:rsid w:val="62A365B5"/>
    <w:rsid w:val="62D653F0"/>
    <w:rsid w:val="630930CF"/>
    <w:rsid w:val="6311467A"/>
    <w:rsid w:val="631B3AEF"/>
    <w:rsid w:val="63CC234F"/>
    <w:rsid w:val="64CD637E"/>
    <w:rsid w:val="64DB4F3F"/>
    <w:rsid w:val="64EA6719"/>
    <w:rsid w:val="65085608"/>
    <w:rsid w:val="65420B1A"/>
    <w:rsid w:val="658E3D60"/>
    <w:rsid w:val="65B7439B"/>
    <w:rsid w:val="65C94D98"/>
    <w:rsid w:val="662B15AE"/>
    <w:rsid w:val="664D7777"/>
    <w:rsid w:val="66607F61"/>
    <w:rsid w:val="67606C1C"/>
    <w:rsid w:val="676942F4"/>
    <w:rsid w:val="67915D89"/>
    <w:rsid w:val="67EC2FBF"/>
    <w:rsid w:val="6808604B"/>
    <w:rsid w:val="68A45648"/>
    <w:rsid w:val="68AD274F"/>
    <w:rsid w:val="68EA113C"/>
    <w:rsid w:val="69180510"/>
    <w:rsid w:val="69286279"/>
    <w:rsid w:val="694110E9"/>
    <w:rsid w:val="697F058F"/>
    <w:rsid w:val="699E67D8"/>
    <w:rsid w:val="69B23FEC"/>
    <w:rsid w:val="69C73CE4"/>
    <w:rsid w:val="69E141D5"/>
    <w:rsid w:val="69F87A79"/>
    <w:rsid w:val="6A366774"/>
    <w:rsid w:val="6A5135AE"/>
    <w:rsid w:val="6A6276F2"/>
    <w:rsid w:val="6A8120E5"/>
    <w:rsid w:val="6AD93CCF"/>
    <w:rsid w:val="6B1E16E2"/>
    <w:rsid w:val="6B2C02A3"/>
    <w:rsid w:val="6BAC5115"/>
    <w:rsid w:val="6C540332"/>
    <w:rsid w:val="6D062D75"/>
    <w:rsid w:val="6D77157D"/>
    <w:rsid w:val="6DBE3A60"/>
    <w:rsid w:val="6DC6202A"/>
    <w:rsid w:val="6DC87723"/>
    <w:rsid w:val="6DCA78FF"/>
    <w:rsid w:val="6E8A04A9"/>
    <w:rsid w:val="6E922B12"/>
    <w:rsid w:val="6F3075D5"/>
    <w:rsid w:val="6F5403ED"/>
    <w:rsid w:val="6F7E4E45"/>
    <w:rsid w:val="6FEB735C"/>
    <w:rsid w:val="704E2384"/>
    <w:rsid w:val="70A703CB"/>
    <w:rsid w:val="70B21362"/>
    <w:rsid w:val="70F829D5"/>
    <w:rsid w:val="713C6D66"/>
    <w:rsid w:val="719646C8"/>
    <w:rsid w:val="71A236EE"/>
    <w:rsid w:val="72CE1C3F"/>
    <w:rsid w:val="73843559"/>
    <w:rsid w:val="74416441"/>
    <w:rsid w:val="74DD43BC"/>
    <w:rsid w:val="75061B64"/>
    <w:rsid w:val="754B7577"/>
    <w:rsid w:val="75AC088F"/>
    <w:rsid w:val="75D05CCE"/>
    <w:rsid w:val="75ED4AD2"/>
    <w:rsid w:val="75FE6CDF"/>
    <w:rsid w:val="760017AF"/>
    <w:rsid w:val="76590D5F"/>
    <w:rsid w:val="76795419"/>
    <w:rsid w:val="77562203"/>
    <w:rsid w:val="77AD3FB4"/>
    <w:rsid w:val="781B6398"/>
    <w:rsid w:val="7839395D"/>
    <w:rsid w:val="788B613B"/>
    <w:rsid w:val="78935A62"/>
    <w:rsid w:val="78AA0A59"/>
    <w:rsid w:val="7920167B"/>
    <w:rsid w:val="7A3E4F09"/>
    <w:rsid w:val="7B205002"/>
    <w:rsid w:val="7BC02341"/>
    <w:rsid w:val="7BF11232"/>
    <w:rsid w:val="7C8E41ED"/>
    <w:rsid w:val="7CB83A09"/>
    <w:rsid w:val="7CE442E1"/>
    <w:rsid w:val="7CEE0D2E"/>
    <w:rsid w:val="7CF76871"/>
    <w:rsid w:val="7D3923AB"/>
    <w:rsid w:val="7D4C20DE"/>
    <w:rsid w:val="7D804F3A"/>
    <w:rsid w:val="7D9615AC"/>
    <w:rsid w:val="7DC720AD"/>
    <w:rsid w:val="7E002BC7"/>
    <w:rsid w:val="7E123328"/>
    <w:rsid w:val="7E2B2CA4"/>
    <w:rsid w:val="7E3A63DB"/>
    <w:rsid w:val="7E791462"/>
    <w:rsid w:val="7ED56104"/>
    <w:rsid w:val="7F141322"/>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spacing w:line="240" w:lineRule="atLeast"/>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5022</Words>
  <Characters>5541</Characters>
  <Lines>41</Lines>
  <Paragraphs>11</Paragraphs>
  <TotalTime>5</TotalTime>
  <ScaleCrop>false</ScaleCrop>
  <LinksUpToDate>false</LinksUpToDate>
  <CharactersWithSpaces>5629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2148540017</cp:lastModifiedBy>
  <cp:lastPrinted>2020-08-03T08:28:00Z</cp:lastPrinted>
  <dcterms:modified xsi:type="dcterms:W3CDTF">2023-05-04T03:04:31Z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CAF4C4EA64404B83B4E6BE0114410B71</vt:lpwstr>
  </property>
</Properties>
</file>