
<file path=[Content_Types].xml><?xml version="1.0" encoding="utf-8"?>
<Types xmlns="http://schemas.openxmlformats.org/package/2006/content-types"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36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中国共产党紫阳县直属机关工作委员会</w:t>
      </w:r>
    </w:p>
    <w:p>
      <w:pPr>
        <w:snapToGrid w:val="0"/>
        <w:spacing w:line="336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2023年部门综合预算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  录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 部门概况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一、部门主要职责及机构设置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二、2023年年度部门工作任务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三、部门预算单位构成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四、部门人员情况说明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 收支情况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五、2023年部门预算收支说明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  其他说明情况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六、部门预算“三公”经费等情况说明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七、部门国有资产占有使用及资产购置情况说明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八、部门政府采购情况说明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九、部门预算绩效目标说明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十、机关运行经费安排说明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十一、专业名词解释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   公开报表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（具体部门预算公开报表）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部门概况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部门主要职责及机构设置</w:t>
      </w:r>
    </w:p>
    <w:p>
      <w:pPr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（一）部门主要职责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领导县直党的机关、人大机关、行政机关、政协机关、审判机关、检察机关以及人民团体机关党的组织。贯彻执行党建工作方针、政策、规定，围绕县委中心工作，安排部署县直机关党的工作。指导县直机关党组织的思想、组织、作风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2.审批管理范围内的党组织（基层委员会、总支部委员会、支部委员会）及书记、副书记的任免（涉及职级的，按干部管理权限报批），负责党务干部的培训。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3.指导县直各党委和县直机关党组织党员教育、管理工作。审批下属党组织的党员发展工作。负责县直各党委和直属各支部入党积极分子的培训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直属各支部入党积极分子的考察工作。负责所属党组织党员党费收缴工作。同时，年初负责制定和下发县直各党委和县直机关党组织《年度党建目标考评细则》，年底负责检查考核工作。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4.领导所属党组织纪律检查工作。协助县纪委对县直机关党员的违纪处理。指导下属党组织依据《中国共产党党和国家机关基层组织工作条例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中国共产党支部工作条例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》之规定，对党员和党员领导干部做好监督工作。了解各部门党员和群众对部门领导的意见，向县委反映各部门领导班子和领导干部的情况。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5.指导县直机关党组织配合行政领导做好思想政治工作，指导协调县直机关的精神文明建设活动。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6.领导县直机关、县工会、共青团、妇联等人民团体组织，支持这些组织依照各自章程，独立负责地开展工作。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7.完成县委交办的其他任务。</w:t>
      </w:r>
    </w:p>
    <w:p>
      <w:pPr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（二）机构设置</w:t>
      </w:r>
    </w:p>
    <w:p>
      <w:pPr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本部门无内设机构。</w:t>
      </w:r>
    </w:p>
    <w:p>
      <w:pPr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二、2023年度部门工作任务</w:t>
      </w:r>
    </w:p>
    <w:p>
      <w:pPr>
        <w:tabs>
          <w:tab w:val="left" w:pos="2000"/>
        </w:tabs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一是加强政治理论学习，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坚持把政治建设摆在首位，统筹推进机关党的各项建设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；二是全面推进模范机关创建，促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机关党建全面提升、全面过硬，实现机关党建提质增效</w:t>
      </w:r>
      <w:r>
        <w:rPr>
          <w:rFonts w:hint="eastAsia" w:ascii="仿宋_GB2312" w:hAnsi="仿宋_GB2312" w:eastAsia="仿宋_GB2312" w:cs="仿宋_GB2312"/>
          <w:sz w:val="32"/>
          <w:szCs w:val="32"/>
        </w:rPr>
        <w:t>；三是持续开展灯下黑整治，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着力解决党内政治生活不规范、党建责任落实不到位、党员教育管理不严格、保障机制不健全等方面存在的突出问题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；四是组织直属机关各支部积极开展双报到为民服务。扎实开展“为民服务办实事”系列主题活动，推动县直机关党组织和党员“双报到”工作常态化制度化；五是持续加大基层党组织和党员干部教育培训，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全面提升党务干部政策理论水平和组织、协调、落实能力；六是扎实开展清廉机关建设。</w:t>
      </w:r>
    </w:p>
    <w:p>
      <w:pPr>
        <w:snapToGrid w:val="0"/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三、部门预算单位构成</w:t>
      </w:r>
    </w:p>
    <w:p>
      <w:pPr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从预算单位构成看，本部门的部门预算包括部门本级（机关）预算。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9"/>
        <w:gridCol w:w="5859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8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8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中国共产党紫阳县直属机关工作委员会本级（机关）</w:t>
            </w:r>
          </w:p>
        </w:tc>
        <w:tc>
          <w:tcPr>
            <w:tcW w:w="208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四、部门人员情况说明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截止2022年底，本部门人员编制5人，其中行政编制5人、事业编制0人；实有人员7人，其中行政7人、事业0人。单位管理的离退休人员2人。</w:t>
      </w:r>
    </w:p>
    <w:p>
      <w:pPr>
        <w:pStyle w:val="3"/>
        <w:snapToGrid w:val="0"/>
        <w:spacing w:line="336" w:lineRule="auto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object>
          <v:shape id="_x0000_i1025" o:spt="75" type="#_x0000_t75" style="height:241.1pt;width:425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12">
            <o:LockedField>false</o:LockedField>
          </o:OLEObject>
        </w:object>
      </w:r>
    </w:p>
    <w:p>
      <w:pPr>
        <w:snapToGrid w:val="0"/>
        <w:spacing w:line="336" w:lineRule="auto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36" w:lineRule="auto"/>
        <w:ind w:firstLine="4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收支情况</w: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五、2023年部门预算收支说明</w:t>
      </w:r>
    </w:p>
    <w:p>
      <w:pPr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（一）收支预算总体情况。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2023年本部门预算收入116.81万元，其中一般公共预算拨款收入116.81万元、政府性基金拨款收入0万元，2023年本部门预算收入较上年增加26.73万元，主要原因是人员调入及工资调整；2023年本部门预算支出116.81万元，其中一般公共预算拨款支出116.81万元、政府性基金拨款支出0万元，2023年本部门预算支出较上年增加26.73万元，主要原因是人员调入及工资调整。</w: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（二）财政拨款收支情况。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拨款收入116.81万元，其中一般公共预算拨款收入116.81万元、政府性基金拨款收入0万元，2023年本部门财政拨款收入较上年增加26.73万元，主要原因是人员调入及工资调整；2023年本部门财政拨款支出116.81万元，其中一般公共预算拨款支出116.81万元、政府性基金拨款支出0万元，2023年本部门财政拨款支出较上年增加26.73万元，主要原因是人员调入及工资调整。</w:t>
      </w:r>
    </w:p>
    <w:p>
      <w:pPr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（三）一般公共预算拨款支出明细情况。</w: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拨款规模变化情况。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2023年本部门当年一般公共预算拨款支出116.81万元，较上年增加26.73万元，主要原因是人员调入及工资调整。</w:t>
      </w:r>
    </w:p>
    <w:p>
      <w:pPr>
        <w:pStyle w:val="3"/>
        <w:snapToGrid w:val="0"/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object>
          <v:shape id="_x0000_i1026" o:spt="75" type="#_x0000_t75" style="height:204.3pt;width:425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xcel.Chart.8" ShapeID="_x0000_i1026" DrawAspect="Content" ObjectID="_1468075726" r:id="rId14">
            <o:LockedField>false</o:LockedField>
          </o:OLEObject>
        </w:object>
      </w:r>
    </w:p>
    <w:p>
      <w:pPr>
        <w:numPr>
          <w:ilvl w:val="0"/>
          <w:numId w:val="2"/>
        </w:num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支出按功能科目分类的明细情况。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本部门2023年当年一般公共预算支出116.81万元，其中：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（1）行政运行（2013101）92.62万元，较上年增加21.17万元，原因是人员调入及工资调整；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（2）机关事业单位基本养老保险缴费（2080505）支出10.82万元，较上年增加2.76万元，原因是人员调入及工资调整；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（3）行政单位医疗（2101101）5.31万元，较上年增加1.37万元，原因是人员调入及工资调整；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（4）住房公积金支出（2210201）8.06万元较上年增加1.43万元，原因是人员调入及工资调整。</w:t>
      </w:r>
    </w:p>
    <w:p>
      <w:pPr>
        <w:pStyle w:val="3"/>
        <w:snapToGrid w:val="0"/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object>
          <v:shape id="_x0000_i1027" o:spt="75" type="#_x0000_t75" style="height:239.45pt;width:425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xcel.Chart.8" ShapeID="_x0000_i1027" DrawAspect="Content" ObjectID="_1468075727" r:id="rId16">
            <o:LockedField>false</o:LockedField>
          </o:OLEObject>
        </w:objec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支出按经济科目分类的明细情况。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</w:t>
      </w:r>
    </w:p>
    <w:p>
      <w:pPr>
        <w:snapToGrid w:val="0"/>
        <w:spacing w:line="336" w:lineRule="auto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object>
          <v:shape id="_x0000_i1028" o:spt="75" type="#_x0000_t75" style="height:241.1pt;width:425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xcel.Chart.8" ShapeID="_x0000_i1028" DrawAspect="Content" ObjectID="_1468075728" r:id="rId18">
            <o:LockedField>false</o:LockedField>
          </o:OLEObject>
        </w:objec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2023年本部门当年一般公共预算支出116.81万元，其中：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工资福利支出（301）96.7万元，较上年增加25.6万元，原因是人员调入及工资调整；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商品和服务支出（302）19.92万元，较上年增加1.22万元，原因是人员增加；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对个人和家庭的补助支出（303）0.19万元，较上年减少0.09万元，原因是2022年有一名退休人员去世。</w:t>
      </w:r>
    </w:p>
    <w:p>
      <w:pPr>
        <w:numPr>
          <w:ilvl w:val="0"/>
          <w:numId w:val="3"/>
        </w:num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按照政府预算支出经济分类的类级科目说明。</w:t>
      </w:r>
    </w:p>
    <w:p>
      <w:pPr>
        <w:snapToGrid w:val="0"/>
        <w:spacing w:line="336" w:lineRule="auto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object>
          <v:shape id="_x0000_i1029" o:spt="75" type="#_x0000_t75" style="height:238.6pt;width:425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xcel.Chart.8" ShapeID="_x0000_i1029" DrawAspect="Content" ObjectID="_1468075729" r:id="rId20">
            <o:LockedField>false</o:LockedField>
          </o:OLEObject>
        </w:objec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2023年本部门当年一般公共预算支出116.81万元，其中：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机关工资福利支出（501）96.7万元，较上年增加25.6万元，原因是人员调入及工资调整；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机关商品和服务支出（502）19.92万元，较上年增加1.22万元，原因是人员增加；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对个人和家庭补助支出（509）0.19万元，较上年减少0.09万元，原因是2022年有一名退休人员去世。</w: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2022年结转财政资金一般公共预算拨款支出情况。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4"/>
        </w:num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当年政府性基金预算支出情况。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5"/>
        </w:num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上年结转政府性基金预算支出情况。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4"/>
        </w:num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国有资本经营预算拨款收支情况。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本部门无当年国有资本经营预算拨款收支，并在财政拨款收支总体情况表中列示。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本部门无2022年结转的国有资本经营预算拨款支出。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6"/>
        </w:num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其他说明情况</w:t>
      </w:r>
    </w:p>
    <w:p>
      <w:pPr>
        <w:pStyle w:val="3"/>
        <w:ind w:firstLine="480"/>
        <w:rPr>
          <w:rFonts w:ascii="仿宋_GB2312" w:hAnsi="仿宋_GB2312" w:eastAsia="仿宋_GB2312" w:cs="仿宋_GB2312"/>
        </w:rPr>
      </w:pPr>
    </w:p>
    <w:p>
      <w:pPr>
        <w:numPr>
          <w:ilvl w:val="0"/>
          <w:numId w:val="7"/>
        </w:num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部门预算“三公”经费等预算情况说明</w:t>
      </w:r>
    </w:p>
    <w:p>
      <w:pPr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1）2023年本部门当年一般公共预算“三公”经费预算支出0.38万元，较上年增加0.06万元，增加的主要原因是人员调入。其中：因公出国（境）经费0万元，较上年增加（减少）0万元（0%）；公务接待费0.38万元，较上年增加0.06万元（19%），增加的主要原因是人员调入；公务用车运行费0万元，较上年增加（减少）0万元（0%）；公务用车购置费0万元，较上年增加（减少）0万元（0%）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（2）2023年本部门当年会议费预算支出0万元，较上年增加（减少）0万元（0%）。培训费0万元，较上年增加（减少）0万元（0%）。</w:t>
      </w:r>
    </w:p>
    <w:p>
      <w:pPr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本部门无2022年结转的财政拨款‘三公’经费和会议费、培训费支出。</w: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七、部门国有资产占有使用及资产购置情况说明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本部门无2022年结转的财政拨款支出资产购置。</w:t>
      </w:r>
    </w:p>
    <w:p>
      <w:pPr>
        <w:numPr>
          <w:ilvl w:val="0"/>
          <w:numId w:val="8"/>
        </w:numPr>
        <w:snapToGrid w:val="0"/>
        <w:spacing w:line="336" w:lineRule="auto"/>
        <w:ind w:firstLine="48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部门政府采购情况说明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本部门2023年无政府采购预算，并已公开空表。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本部门无2022年结转的政府采购资金支出。</w: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九、部门预算绩效目标说明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2023年本部门绩效目标管理全覆盖，涉及当年一般公共预算拨款116.81万元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本部门无2022年结转的财政拨款支出涉及的绩效目标管理。</w:t>
      </w:r>
    </w:p>
    <w:p>
      <w:pPr>
        <w:snapToGrid w:val="0"/>
        <w:spacing w:line="336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十、机关运行经费安排说明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本部门当年机关运行经费预算安排4.16万元，较上年减少4.54万元，原因是2023年公务交通费用列入人员经费，2022年公务交通费用列入公用经费里。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本部门无2022年结转的财政拨款机关运行经费支出。</w:t>
      </w:r>
    </w:p>
    <w:p>
      <w:pPr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十一、专业名词解释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napToGrid w:val="0"/>
        <w:spacing w:line="336" w:lineRule="auto"/>
        <w:ind w:firstLine="64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2.“三公”经费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spacing w:line="336" w:lineRule="auto"/>
        <w:ind w:firstLine="643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  公开报表</w:t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（详见附表）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napToGrid w:val="0"/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178A660D"/>
    <w:multiLevelType w:val="singleLevel"/>
    <w:tmpl w:val="178A660D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41D6950"/>
    <w:multiLevelType w:val="singleLevel"/>
    <w:tmpl w:val="641D6950"/>
    <w:lvl w:ilvl="0" w:tentative="0">
      <w:start w:val="6"/>
      <w:numFmt w:val="chineseCounting"/>
      <w:suff w:val="nothing"/>
      <w:lvlText w:val="%1、"/>
      <w:lvlJc w:val="left"/>
    </w:lvl>
  </w:abstractNum>
  <w:abstractNum w:abstractNumId="7">
    <w:nsid w:val="641D6CC0"/>
    <w:multiLevelType w:val="singleLevel"/>
    <w:tmpl w:val="641D6CC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000D145A"/>
    <w:rsid w:val="000D145A"/>
    <w:rsid w:val="00A33F18"/>
    <w:rsid w:val="0F67596B"/>
    <w:rsid w:val="1A0D0305"/>
    <w:rsid w:val="6F444B39"/>
    <w:rsid w:val="79C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clear" w:color="auto" w:fill="00008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semiHidden/>
    <w:qFormat/>
    <w:uiPriority w:val="0"/>
    <w:pPr>
      <w:spacing w:line="360" w:lineRule="auto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5.emf"/><Relationship Id="rId20" Type="http://schemas.openxmlformats.org/officeDocument/2006/relationships/oleObject" Target="embeddings/Workbook5.xls"/><Relationship Id="rId2" Type="http://schemas.openxmlformats.org/officeDocument/2006/relationships/settings" Target="settings.xml"/><Relationship Id="rId19" Type="http://schemas.openxmlformats.org/officeDocument/2006/relationships/image" Target="media/image4.emf"/><Relationship Id="rId18" Type="http://schemas.openxmlformats.org/officeDocument/2006/relationships/oleObject" Target="embeddings/Workbook4.xls"/><Relationship Id="rId17" Type="http://schemas.openxmlformats.org/officeDocument/2006/relationships/image" Target="media/image3.emf"/><Relationship Id="rId16" Type="http://schemas.openxmlformats.org/officeDocument/2006/relationships/oleObject" Target="embeddings/Workbook3.xls"/><Relationship Id="rId15" Type="http://schemas.openxmlformats.org/officeDocument/2006/relationships/image" Target="media/image2.emf"/><Relationship Id="rId14" Type="http://schemas.openxmlformats.org/officeDocument/2006/relationships/oleObject" Target="embeddings/Workbook2.xls"/><Relationship Id="rId13" Type="http://schemas.openxmlformats.org/officeDocument/2006/relationships/image" Target="media/image1.emf"/><Relationship Id="rId12" Type="http://schemas.openxmlformats.org/officeDocument/2006/relationships/oleObject" Target="embeddings/Workbook1.xls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3421</Words>
  <Characters>3754</Characters>
  <Lines>28</Lines>
  <Paragraphs>8</Paragraphs>
  <TotalTime>1</TotalTime>
  <ScaleCrop>false</ScaleCrop>
  <LinksUpToDate>false</LinksUpToDate>
  <CharactersWithSpaces>3840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2023-05-04T02:57:04Z</dcterms:modified>
  <dc:title>××厅（局、委、办）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E591F2F1884641DEA78F1FC5A494C885</vt:lpwstr>
  </property>
</Properties>
</file>