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紫阳县交通运输局</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2023年</w:t>
      </w:r>
      <w:r>
        <w:rPr>
          <w:rFonts w:hint="eastAsia" w:ascii="黑体" w:hAnsi="黑体" w:eastAsia="黑体" w:cs="黑体"/>
          <w:sz w:val="32"/>
          <w:szCs w:val="32"/>
        </w:rPr>
        <w:t>部门综合预算</w:t>
      </w:r>
      <w:r>
        <w:rPr>
          <w:rFonts w:hint="eastAsia" w:ascii="黑体" w:hAnsi="黑体" w:eastAsia="黑体" w:cs="黑体"/>
          <w:sz w:val="32"/>
          <w:szCs w:val="32"/>
          <w:lang w:eastAsia="zh-CN"/>
        </w:rPr>
        <w:t>汇总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目  录</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2023年</w:t>
      </w:r>
      <w:r>
        <w:rPr>
          <w:rFonts w:hint="eastAsia" w:ascii="仿宋" w:hAnsi="仿宋" w:eastAsia="仿宋" w:cs="仿宋"/>
          <w:sz w:val="32"/>
          <w:szCs w:val="32"/>
        </w:rPr>
        <w:t>年度部门工作任务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四、部门人员情况说明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eastAsia="zh-CN"/>
        </w:rPr>
        <w:t>2023年</w:t>
      </w:r>
      <w:r>
        <w:rPr>
          <w:rFonts w:hint="eastAsia" w:ascii="仿宋" w:hAnsi="仿宋" w:eastAsia="仿宋" w:cs="仿宋"/>
          <w:sz w:val="32"/>
          <w:szCs w:val="32"/>
        </w:rPr>
        <w:t>部门预算收支说明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六、部门预算“三公”经费等情况说明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八、部门政府采购情况说明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九、部门预算绩效目标说明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十、机关运行经费安排说明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十一、专业名词解释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（具体部门预算公开报表）</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（一）部门主要职责</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eastAsia="zh-CN"/>
        </w:rPr>
        <w:t>1.</w:t>
      </w:r>
      <w:r>
        <w:rPr>
          <w:rFonts w:hint="eastAsia" w:ascii="仿宋" w:hAnsi="仿宋" w:eastAsia="仿宋" w:cs="仿宋"/>
          <w:i w:val="0"/>
          <w:caps w:val="0"/>
          <w:color w:val="333333"/>
          <w:spacing w:val="0"/>
          <w:kern w:val="0"/>
          <w:sz w:val="32"/>
          <w:szCs w:val="32"/>
          <w:shd w:val="clear" w:color="auto" w:fill="FFFFFF"/>
          <w:lang w:val="en-US" w:eastAsia="zh-CN" w:bidi="ar"/>
        </w:rPr>
        <w:t>贯彻执行国家和省市有关交通运输方面的法律法规和政策规定，拟订全县交通运输发展战略和规划，研究起草本县交通运输政策规定和实施办法，经批准后监督实施。指导全县交通运输行业体制改革。</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i w:val="0"/>
          <w:caps w:val="0"/>
          <w:color w:val="333333"/>
          <w:spacing w:val="0"/>
          <w:kern w:val="0"/>
          <w:sz w:val="32"/>
          <w:szCs w:val="32"/>
          <w:shd w:val="clear" w:color="auto" w:fill="FFFFFF"/>
          <w:lang w:val="en-US" w:eastAsia="zh-CN" w:bidi="ar"/>
        </w:rPr>
        <w:t>会同有关部门编制全县综合交通运输体系规划，指导综合交通运输枢纽规划和管理工作，优化交通运输网络，枢纽节点布局，促进各种交通运输方式融合；负责编制全县公路、水路、客货运发展规划、年度计划并监督实施。会同有关部门拟订物流行业发展规划。</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i w:val="0"/>
          <w:caps w:val="0"/>
          <w:color w:val="333333"/>
          <w:spacing w:val="0"/>
          <w:kern w:val="0"/>
          <w:sz w:val="32"/>
          <w:szCs w:val="32"/>
          <w:shd w:val="clear" w:color="auto" w:fill="FFFFFF"/>
          <w:lang w:val="en-US" w:eastAsia="zh-CN" w:bidi="ar"/>
        </w:rPr>
      </w:pPr>
      <w:r>
        <w:rPr>
          <w:rFonts w:hint="eastAsia" w:ascii="仿宋" w:hAnsi="仿宋" w:eastAsia="仿宋" w:cs="仿宋"/>
          <w:b w:val="0"/>
          <w:bCs w:val="0"/>
          <w:sz w:val="32"/>
          <w:szCs w:val="32"/>
          <w:lang w:val="en-US" w:eastAsia="zh-CN"/>
        </w:rPr>
        <w:t>3.</w:t>
      </w:r>
      <w:r>
        <w:rPr>
          <w:rFonts w:hint="eastAsia" w:ascii="仿宋" w:hAnsi="仿宋" w:eastAsia="仿宋" w:cs="仿宋"/>
          <w:i w:val="0"/>
          <w:caps w:val="0"/>
          <w:color w:val="333333"/>
          <w:spacing w:val="0"/>
          <w:kern w:val="0"/>
          <w:sz w:val="32"/>
          <w:szCs w:val="32"/>
          <w:shd w:val="clear" w:color="auto" w:fill="FFFFFF"/>
          <w:lang w:val="en-US" w:eastAsia="zh-CN" w:bidi="ar"/>
        </w:rPr>
        <w:t>负责全县公路、水路运输市场监督管理；指导城乡客运、货运及站场、港口等基础设施建设规划和管理工作，指导出租汽车行业管理工作；维护公路、水路交通运输行业和城市客运行业的平等竞争秩序；负责汽车出入境运输管理；指导公路、水路行业环境保护和节能减排工作。</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i w:val="0"/>
          <w:caps w:val="0"/>
          <w:color w:val="333333"/>
          <w:spacing w:val="0"/>
          <w:kern w:val="0"/>
          <w:sz w:val="32"/>
          <w:szCs w:val="32"/>
          <w:shd w:val="clear" w:color="auto" w:fill="FFFFFF"/>
          <w:lang w:val="en-US" w:eastAsia="zh-CN" w:bidi="ar"/>
        </w:rPr>
      </w:pPr>
      <w:r>
        <w:rPr>
          <w:rFonts w:hint="eastAsia" w:ascii="仿宋" w:hAnsi="仿宋" w:eastAsia="仿宋" w:cs="仿宋"/>
          <w:i w:val="0"/>
          <w:caps w:val="0"/>
          <w:color w:val="333333"/>
          <w:spacing w:val="0"/>
          <w:kern w:val="0"/>
          <w:sz w:val="32"/>
          <w:szCs w:val="32"/>
          <w:shd w:val="clear" w:color="auto" w:fill="FFFFFF"/>
          <w:lang w:val="en-US" w:eastAsia="zh-CN" w:bidi="ar"/>
        </w:rPr>
        <w:t>4.承担全县公路（不含国省干线）、水路建设市场建设及监管责任；贯彻执行国家有关公路、水路工程建设相关政策、制度和技术标准；负责全县公路（不含国省干线）、水路建设和工程质量监督管理工作；负责全县公路（不含国省干线）、水路交通运输设施的建设养护和管理；负责公路、水路地质灾害的评估、治理和管理工作。</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i w:val="0"/>
          <w:caps w:val="0"/>
          <w:color w:val="333333"/>
          <w:spacing w:val="0"/>
          <w:kern w:val="0"/>
          <w:sz w:val="32"/>
          <w:szCs w:val="32"/>
          <w:shd w:val="clear" w:color="auto" w:fill="FFFFFF"/>
          <w:lang w:val="en-US" w:eastAsia="zh-CN" w:bidi="ar"/>
        </w:rPr>
      </w:pPr>
      <w:r>
        <w:rPr>
          <w:rFonts w:hint="eastAsia" w:ascii="仿宋" w:hAnsi="仿宋" w:eastAsia="仿宋" w:cs="仿宋"/>
          <w:i w:val="0"/>
          <w:caps w:val="0"/>
          <w:color w:val="333333"/>
          <w:spacing w:val="0"/>
          <w:kern w:val="0"/>
          <w:sz w:val="32"/>
          <w:szCs w:val="32"/>
          <w:shd w:val="clear" w:color="auto" w:fill="FFFFFF"/>
          <w:lang w:val="en-US" w:eastAsia="zh-CN" w:bidi="ar"/>
        </w:rPr>
        <w:t>5.负责船舶（含渔业船舶）及相关水上设施检验、登记和防污染、通信导航、救助打捞及危险品运输监督管理等工作；负责航道疏浚的行业管理。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i w:val="0"/>
          <w:caps w:val="0"/>
          <w:color w:val="333333"/>
          <w:spacing w:val="0"/>
          <w:kern w:val="0"/>
          <w:sz w:val="32"/>
          <w:szCs w:val="32"/>
          <w:shd w:val="clear" w:color="auto" w:fill="FFFFFF"/>
          <w:lang w:val="en-US" w:eastAsia="zh-CN" w:bidi="ar"/>
        </w:rPr>
      </w:pPr>
      <w:r>
        <w:rPr>
          <w:rFonts w:hint="eastAsia" w:ascii="仿宋" w:hAnsi="仿宋" w:eastAsia="仿宋" w:cs="仿宋"/>
          <w:i w:val="0"/>
          <w:caps w:val="0"/>
          <w:color w:val="333333"/>
          <w:spacing w:val="0"/>
          <w:kern w:val="0"/>
          <w:sz w:val="32"/>
          <w:szCs w:val="32"/>
          <w:shd w:val="clear" w:color="auto" w:fill="FFFFFF"/>
          <w:lang w:val="en-US" w:eastAsia="zh-CN" w:bidi="ar"/>
        </w:rPr>
        <w:t>6.负责道路客货运输及相关业务的行政许可工作；负责出租汽车、城市公交车的发展及规范管理工作，配合各镇和相关部门发展镇村道路客运工作。</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i w:val="0"/>
          <w:caps w:val="0"/>
          <w:color w:val="333333"/>
          <w:spacing w:val="0"/>
          <w:kern w:val="0"/>
          <w:sz w:val="32"/>
          <w:szCs w:val="32"/>
          <w:shd w:val="clear" w:color="auto" w:fill="FFFFFF"/>
          <w:lang w:val="en-US" w:eastAsia="zh-CN" w:bidi="ar"/>
        </w:rPr>
      </w:pPr>
      <w:r>
        <w:rPr>
          <w:rFonts w:hint="eastAsia" w:ascii="仿宋" w:hAnsi="仿宋" w:eastAsia="仿宋" w:cs="仿宋"/>
          <w:i w:val="0"/>
          <w:caps w:val="0"/>
          <w:color w:val="333333"/>
          <w:spacing w:val="0"/>
          <w:kern w:val="0"/>
          <w:sz w:val="32"/>
          <w:szCs w:val="32"/>
          <w:shd w:val="clear" w:color="auto" w:fill="FFFFFF"/>
          <w:lang w:val="en-US" w:eastAsia="zh-CN" w:bidi="ar"/>
        </w:rPr>
        <w:t>7.指导全县公路、水路行业安全生产和应急管理工作。负责全县水上交通、汽车站场、交通工程建设领域安全生产监管，依法组织或参与事故调查处理工作；按规定组织协调重点物资和紧急客货运输，指导公路灾害抢险保障、水上救助等应急工作；负责全县路网运行监测和应急处置协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i w:val="0"/>
          <w:caps w:val="0"/>
          <w:color w:val="333333"/>
          <w:spacing w:val="0"/>
          <w:kern w:val="0"/>
          <w:sz w:val="32"/>
          <w:szCs w:val="32"/>
          <w:shd w:val="clear" w:color="auto" w:fill="FFFFFF"/>
          <w:lang w:val="en-US" w:eastAsia="zh-CN" w:bidi="ar"/>
        </w:rPr>
      </w:pPr>
      <w:r>
        <w:rPr>
          <w:rFonts w:hint="eastAsia" w:ascii="仿宋" w:hAnsi="仿宋" w:eastAsia="仿宋" w:cs="仿宋"/>
          <w:i w:val="0"/>
          <w:caps w:val="0"/>
          <w:color w:val="333333"/>
          <w:spacing w:val="0"/>
          <w:kern w:val="0"/>
          <w:sz w:val="32"/>
          <w:szCs w:val="32"/>
          <w:shd w:val="clear" w:color="auto" w:fill="FFFFFF"/>
          <w:lang w:val="en-US" w:eastAsia="zh-CN" w:bidi="ar"/>
        </w:rPr>
        <w:t>8.负责全县交通运输综合执法。监督指导全县公路路政、道路运政和水路航政管理及车辆超限超载治理工作；负责交通运输行业行政许可事中事后监管。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i w:val="0"/>
          <w:caps w:val="0"/>
          <w:color w:val="333333"/>
          <w:spacing w:val="0"/>
          <w:kern w:val="0"/>
          <w:sz w:val="32"/>
          <w:szCs w:val="32"/>
          <w:shd w:val="clear" w:color="auto" w:fill="FFFFFF"/>
          <w:lang w:val="en-US" w:eastAsia="zh-CN" w:bidi="ar"/>
        </w:rPr>
      </w:pPr>
      <w:r>
        <w:rPr>
          <w:rFonts w:hint="eastAsia" w:ascii="仿宋" w:hAnsi="仿宋" w:eastAsia="仿宋" w:cs="仿宋"/>
          <w:i w:val="0"/>
          <w:caps w:val="0"/>
          <w:color w:val="333333"/>
          <w:spacing w:val="0"/>
          <w:kern w:val="0"/>
          <w:sz w:val="32"/>
          <w:szCs w:val="32"/>
          <w:shd w:val="clear" w:color="auto" w:fill="FFFFFF"/>
          <w:lang w:val="en-US" w:eastAsia="zh-CN" w:bidi="ar"/>
        </w:rPr>
        <w:t>9.负责提出全县公路、水路固定资产投资规模和方向、县级财政性资金安排意见，按县政府规定权限审批、核准规划内和年度计划规模内固定资产投资项目；提出全县公路、水路建设地方扶持有关政策建议；负责筹措交通建设资金并监督使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i w:val="0"/>
          <w:caps w:val="0"/>
          <w:color w:val="333333"/>
          <w:spacing w:val="0"/>
          <w:kern w:val="0"/>
          <w:sz w:val="32"/>
          <w:szCs w:val="32"/>
          <w:shd w:val="clear" w:color="auto" w:fill="FFFFFF"/>
          <w:lang w:val="en-US" w:eastAsia="zh-CN" w:bidi="ar"/>
        </w:rPr>
      </w:pPr>
      <w:r>
        <w:rPr>
          <w:rFonts w:hint="eastAsia" w:ascii="仿宋" w:hAnsi="仿宋" w:eastAsia="仿宋" w:cs="仿宋"/>
          <w:i w:val="0"/>
          <w:caps w:val="0"/>
          <w:color w:val="333333"/>
          <w:spacing w:val="0"/>
          <w:kern w:val="0"/>
          <w:sz w:val="32"/>
          <w:szCs w:val="32"/>
          <w:shd w:val="clear" w:color="auto" w:fill="FFFFFF"/>
          <w:lang w:val="en-US" w:eastAsia="zh-CN" w:bidi="ar"/>
        </w:rPr>
        <w:t>10.做好全县重点项目建设的援建工作。</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i w:val="0"/>
          <w:caps w:val="0"/>
          <w:color w:val="333333"/>
          <w:spacing w:val="0"/>
          <w:kern w:val="0"/>
          <w:sz w:val="32"/>
          <w:szCs w:val="32"/>
          <w:shd w:val="clear" w:color="auto" w:fill="FFFFFF"/>
          <w:lang w:val="en-US" w:eastAsia="zh-CN" w:bidi="ar"/>
        </w:rPr>
      </w:pPr>
      <w:r>
        <w:rPr>
          <w:rFonts w:hint="eastAsia" w:ascii="仿宋" w:hAnsi="仿宋" w:eastAsia="仿宋" w:cs="仿宋"/>
          <w:i w:val="0"/>
          <w:caps w:val="0"/>
          <w:color w:val="333333"/>
          <w:spacing w:val="0"/>
          <w:kern w:val="0"/>
          <w:sz w:val="32"/>
          <w:szCs w:val="32"/>
          <w:shd w:val="clear" w:color="auto" w:fill="FFFFFF"/>
          <w:lang w:val="en-US" w:eastAsia="zh-CN" w:bidi="ar"/>
        </w:rPr>
        <w:t>11.指导交通运输信息化建设，监测分析运行情况，开展相关统计工作，发布有关信息。</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i w:val="0"/>
          <w:caps w:val="0"/>
          <w:color w:val="333333"/>
          <w:spacing w:val="0"/>
          <w:kern w:val="0"/>
          <w:sz w:val="32"/>
          <w:szCs w:val="32"/>
          <w:shd w:val="clear" w:color="auto" w:fill="FFFFFF"/>
          <w:lang w:val="en-US" w:eastAsia="zh-CN" w:bidi="ar"/>
        </w:rPr>
      </w:pPr>
      <w:r>
        <w:rPr>
          <w:rFonts w:hint="eastAsia" w:ascii="仿宋" w:hAnsi="仿宋" w:eastAsia="仿宋" w:cs="仿宋"/>
          <w:i w:val="0"/>
          <w:caps w:val="0"/>
          <w:color w:val="333333"/>
          <w:spacing w:val="0"/>
          <w:kern w:val="0"/>
          <w:sz w:val="32"/>
          <w:szCs w:val="32"/>
          <w:shd w:val="clear" w:color="auto" w:fill="FFFFFF"/>
          <w:lang w:val="en-US" w:eastAsia="zh-CN" w:bidi="ar"/>
        </w:rPr>
        <w:t>12.负责全县交通运输系统党的建设、党风廉政建设工作。</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i w:val="0"/>
          <w:caps w:val="0"/>
          <w:color w:val="333333"/>
          <w:spacing w:val="0"/>
          <w:kern w:val="0"/>
          <w:sz w:val="32"/>
          <w:szCs w:val="32"/>
          <w:shd w:val="clear" w:color="auto" w:fill="FFFFFF"/>
          <w:lang w:val="en-US" w:eastAsia="zh-CN" w:bidi="ar"/>
        </w:rPr>
      </w:pPr>
      <w:r>
        <w:rPr>
          <w:rFonts w:hint="eastAsia" w:ascii="仿宋" w:hAnsi="仿宋" w:eastAsia="仿宋" w:cs="仿宋"/>
          <w:i w:val="0"/>
          <w:caps w:val="0"/>
          <w:color w:val="333333"/>
          <w:spacing w:val="0"/>
          <w:kern w:val="0"/>
          <w:sz w:val="32"/>
          <w:szCs w:val="32"/>
          <w:shd w:val="clear" w:color="auto" w:fill="FFFFFF"/>
          <w:lang w:val="en-US" w:eastAsia="zh-CN" w:bidi="ar"/>
        </w:rPr>
        <w:t>13.完成县委、县政府交办的其他任务。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i w:val="0"/>
          <w:caps w:val="0"/>
          <w:color w:val="333333"/>
          <w:spacing w:val="0"/>
          <w:kern w:val="0"/>
          <w:sz w:val="32"/>
          <w:szCs w:val="32"/>
          <w:shd w:val="clear" w:color="auto" w:fill="FFFFFF"/>
          <w:lang w:val="en-US" w:eastAsia="zh-CN" w:bidi="ar"/>
        </w:rPr>
      </w:pPr>
      <w:r>
        <w:rPr>
          <w:rFonts w:hint="eastAsia" w:ascii="仿宋" w:hAnsi="仿宋" w:eastAsia="仿宋" w:cs="仿宋"/>
          <w:i w:val="0"/>
          <w:caps w:val="0"/>
          <w:color w:val="333333"/>
          <w:spacing w:val="0"/>
          <w:kern w:val="0"/>
          <w:sz w:val="32"/>
          <w:szCs w:val="32"/>
          <w:shd w:val="clear" w:color="auto" w:fill="FFFFFF"/>
          <w:lang w:val="en-US" w:eastAsia="zh-CN" w:bidi="ar"/>
        </w:rPr>
        <w:t>14.有关职责分工。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i w:val="0"/>
          <w:caps w:val="0"/>
          <w:color w:val="333333"/>
          <w:spacing w:val="0"/>
          <w:kern w:val="0"/>
          <w:sz w:val="32"/>
          <w:szCs w:val="32"/>
          <w:shd w:val="clear" w:color="auto" w:fill="FFFFFF"/>
          <w:lang w:val="en-US" w:eastAsia="zh-CN" w:bidi="ar"/>
        </w:rPr>
      </w:pPr>
      <w:r>
        <w:rPr>
          <w:rFonts w:hint="eastAsia" w:ascii="仿宋" w:hAnsi="仿宋" w:eastAsia="仿宋" w:cs="仿宋"/>
          <w:i w:val="0"/>
          <w:caps w:val="0"/>
          <w:color w:val="333333"/>
          <w:spacing w:val="0"/>
          <w:kern w:val="0"/>
          <w:sz w:val="32"/>
          <w:szCs w:val="32"/>
          <w:shd w:val="clear" w:color="auto" w:fill="FFFFFF"/>
          <w:lang w:val="en-US" w:eastAsia="zh-CN" w:bidi="ar"/>
        </w:rPr>
        <w:t>（1） 交通规划、投资方面的职责分工。县交通运输局负责提出公路、水路固定资产投资规模和方向、县级财政资金安排意见，按县政府规定权限审批、核准规划和年度计划规模内固定资产投资项目。县发改局负责审批、审核的公路、水路交通项目，需事先征求县交通运输局意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i w:val="0"/>
          <w:caps w:val="0"/>
          <w:color w:val="333333"/>
          <w:spacing w:val="0"/>
          <w:kern w:val="0"/>
          <w:sz w:val="32"/>
          <w:szCs w:val="32"/>
          <w:shd w:val="clear" w:color="auto" w:fill="FFFFFF"/>
          <w:lang w:val="en-US" w:eastAsia="zh-CN" w:bidi="ar"/>
        </w:rPr>
      </w:pPr>
      <w:r>
        <w:rPr>
          <w:rFonts w:hint="eastAsia" w:ascii="仿宋" w:hAnsi="仿宋" w:eastAsia="仿宋" w:cs="仿宋"/>
          <w:i w:val="0"/>
          <w:caps w:val="0"/>
          <w:color w:val="333333"/>
          <w:spacing w:val="0"/>
          <w:kern w:val="0"/>
          <w:sz w:val="32"/>
          <w:szCs w:val="32"/>
          <w:shd w:val="clear" w:color="auto" w:fill="FFFFFF"/>
          <w:lang w:val="en-US" w:eastAsia="zh-CN" w:bidi="ar"/>
        </w:rPr>
        <w:t>（2） 发展物流业职责分工。县交通运输局参与物流业发展规划拟订，承担道路货物运输监管及城市配送有关工作。县发改、经贸、公安、邮政等物流业相关职能部门按照职责分工，加强配合，健全完善协调衔接机制，共同做好物流业发展工作。</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i w:val="0"/>
          <w:caps w:val="0"/>
          <w:color w:val="333333"/>
          <w:spacing w:val="0"/>
          <w:kern w:val="0"/>
          <w:sz w:val="32"/>
          <w:szCs w:val="32"/>
          <w:shd w:val="clear" w:color="auto" w:fill="FFFFFF"/>
          <w:lang w:val="en-US" w:eastAsia="zh-CN" w:bidi="ar"/>
        </w:rPr>
        <w:t>（3） 按照省市县相对集中行政许可权改革要求，将有关行政许可事项划转到县行政审批服务局，具体划转按照全县相对集中行政许可权改革实施方案及划转事项目录实施，划转前由县交通运输局继续负责，划转后由县行政审批服务局负责事项审批，县交通运输局负责事中事后监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（二）机构设置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highlight w:val="green"/>
        </w:rPr>
      </w:pPr>
      <w:r>
        <w:rPr>
          <w:rFonts w:hint="eastAsia" w:ascii="仿宋" w:hAnsi="仿宋" w:eastAsia="仿宋" w:cs="仿宋"/>
          <w:sz w:val="32"/>
          <w:szCs w:val="32"/>
        </w:rPr>
        <w:t>本</w:t>
      </w:r>
      <w:r>
        <w:rPr>
          <w:rFonts w:hint="eastAsia" w:ascii="仿宋" w:hAnsi="仿宋" w:eastAsia="仿宋" w:cs="仿宋"/>
          <w:sz w:val="32"/>
          <w:szCs w:val="32"/>
          <w:lang w:eastAsia="zh-CN"/>
        </w:rPr>
        <w:t>系统现设有紫阳县交通运输局（本级），</w:t>
      </w:r>
      <w:r>
        <w:rPr>
          <w:rFonts w:hint="eastAsia" w:ascii="仿宋" w:hAnsi="仿宋" w:eastAsia="仿宋" w:cs="仿宋"/>
          <w:sz w:val="32"/>
          <w:szCs w:val="32"/>
          <w:highlight w:val="none"/>
          <w:lang w:val="en-US" w:eastAsia="zh-CN"/>
        </w:rPr>
        <w:t>紫阳县农村公路养护中心、紫阳县道路运输服务中心、紫阳县水路交通服务中心共4个单位。</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2023年</w:t>
      </w:r>
      <w:r>
        <w:rPr>
          <w:rFonts w:hint="eastAsia" w:ascii="仿宋" w:hAnsi="仿宋" w:eastAsia="仿宋" w:cs="仿宋"/>
          <w:b/>
          <w:bCs/>
          <w:sz w:val="32"/>
          <w:szCs w:val="32"/>
        </w:rPr>
        <w:t>度部门工作任务</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（一）加强党建和党风廉政建设。学习贯彻落实党的</w:t>
      </w:r>
      <w:r>
        <w:rPr>
          <w:rFonts w:hint="eastAsia" w:ascii="仿宋" w:hAnsi="仿宋" w:eastAsia="仿宋" w:cs="仿宋"/>
          <w:sz w:val="32"/>
          <w:szCs w:val="32"/>
          <w:lang w:eastAsia="zh-CN"/>
        </w:rPr>
        <w:t>二十大</w:t>
      </w:r>
      <w:r>
        <w:rPr>
          <w:rFonts w:hint="eastAsia" w:ascii="仿宋" w:hAnsi="仿宋" w:eastAsia="仿宋" w:cs="仿宋"/>
          <w:sz w:val="32"/>
          <w:szCs w:val="32"/>
        </w:rPr>
        <w:t>精神，坚持党要管党、从严治党的要求，坚持“一岗双责”，加强党的基层组织建设；加强廉洁自律教育，继续深入开展“</w:t>
      </w:r>
      <w:r>
        <w:rPr>
          <w:rFonts w:hint="eastAsia" w:ascii="仿宋" w:hAnsi="仿宋" w:eastAsia="仿宋" w:cs="仿宋"/>
          <w:sz w:val="32"/>
          <w:szCs w:val="32"/>
          <w:lang w:eastAsia="zh-CN"/>
        </w:rPr>
        <w:t>干部作风建设</w:t>
      </w:r>
      <w:r>
        <w:rPr>
          <w:rFonts w:hint="eastAsia" w:ascii="仿宋" w:hAnsi="仿宋" w:eastAsia="仿宋" w:cs="仿宋"/>
          <w:sz w:val="32"/>
          <w:szCs w:val="32"/>
        </w:rPr>
        <w:t>”</w:t>
      </w:r>
      <w:r>
        <w:rPr>
          <w:rFonts w:hint="eastAsia" w:ascii="仿宋" w:hAnsi="仿宋" w:eastAsia="仿宋" w:cs="仿宋"/>
          <w:sz w:val="32"/>
          <w:szCs w:val="32"/>
          <w:lang w:eastAsia="zh-CN"/>
        </w:rPr>
        <w:t>专项</w:t>
      </w:r>
      <w:r>
        <w:rPr>
          <w:rFonts w:hint="eastAsia" w:ascii="仿宋" w:hAnsi="仿宋" w:eastAsia="仿宋" w:cs="仿宋"/>
          <w:sz w:val="32"/>
          <w:szCs w:val="32"/>
        </w:rPr>
        <w:t>整治，</w:t>
      </w:r>
      <w:r>
        <w:rPr>
          <w:rFonts w:hint="eastAsia" w:ascii="仿宋" w:hAnsi="仿宋" w:eastAsia="仿宋" w:cs="仿宋"/>
          <w:sz w:val="32"/>
          <w:szCs w:val="32"/>
          <w:lang w:eastAsia="zh-CN"/>
        </w:rPr>
        <w:t>践行“勤快严实精细廉”的工作作风，切实转作风、提效能</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lang w:eastAsia="zh-CN"/>
        </w:rPr>
      </w:pPr>
      <w:r>
        <w:rPr>
          <w:rFonts w:hint="eastAsia" w:ascii="仿宋" w:hAnsi="仿宋" w:eastAsia="仿宋" w:cs="仿宋"/>
          <w:sz w:val="32"/>
          <w:szCs w:val="32"/>
        </w:rPr>
        <w:t>（二）20</w:t>
      </w:r>
      <w:r>
        <w:rPr>
          <w:rFonts w:hint="eastAsia" w:ascii="仿宋" w:hAnsi="仿宋" w:eastAsia="仿宋" w:cs="仿宋"/>
          <w:sz w:val="32"/>
          <w:szCs w:val="32"/>
          <w:lang w:val="en-US" w:eastAsia="zh-CN"/>
        </w:rPr>
        <w:t>23</w:t>
      </w:r>
      <w:r>
        <w:rPr>
          <w:rFonts w:hint="eastAsia" w:ascii="仿宋" w:hAnsi="仿宋" w:eastAsia="仿宋" w:cs="仿宋"/>
          <w:sz w:val="32"/>
          <w:szCs w:val="32"/>
        </w:rPr>
        <w:t>年具体实施交通项目</w:t>
      </w:r>
      <w:r>
        <w:rPr>
          <w:rFonts w:hint="eastAsia" w:ascii="仿宋" w:hAnsi="仿宋" w:eastAsia="仿宋" w:cs="仿宋"/>
          <w:sz w:val="32"/>
          <w:szCs w:val="32"/>
          <w:lang w:eastAsia="zh-CN"/>
        </w:rPr>
        <w:t>：</w:t>
      </w:r>
      <w:r>
        <w:rPr>
          <w:rFonts w:hint="eastAsia" w:ascii="仿宋" w:hAnsi="仿宋" w:eastAsia="仿宋" w:cs="仿宋"/>
          <w:sz w:val="32"/>
          <w:szCs w:val="32"/>
        </w:rPr>
        <w:t>一是</w:t>
      </w:r>
      <w:r>
        <w:rPr>
          <w:rFonts w:hint="eastAsia" w:ascii="仿宋" w:hAnsi="仿宋" w:eastAsia="仿宋" w:cs="仿宋"/>
          <w:sz w:val="32"/>
          <w:szCs w:val="32"/>
          <w:lang w:eastAsia="zh-CN"/>
        </w:rPr>
        <w:t>谋划乡村振兴项目，巩固提升交通脱贫攻坚工作成效</w:t>
      </w:r>
      <w:r>
        <w:rPr>
          <w:rFonts w:hint="eastAsia" w:ascii="仿宋" w:hAnsi="仿宋" w:eastAsia="仿宋" w:cs="仿宋"/>
          <w:sz w:val="32"/>
          <w:szCs w:val="32"/>
        </w:rPr>
        <w:t>；二是</w:t>
      </w:r>
      <w:r>
        <w:rPr>
          <w:rFonts w:hint="eastAsia" w:ascii="仿宋" w:hAnsi="仿宋" w:eastAsia="仿宋" w:cs="仿宋"/>
          <w:sz w:val="32"/>
          <w:szCs w:val="32"/>
          <w:lang w:eastAsia="zh-CN"/>
        </w:rPr>
        <w:t>继续做好</w:t>
      </w:r>
      <w:r>
        <w:rPr>
          <w:rFonts w:hint="eastAsia" w:ascii="仿宋" w:hAnsi="仿宋" w:eastAsia="仿宋" w:cs="仿宋"/>
          <w:sz w:val="32"/>
          <w:szCs w:val="32"/>
        </w:rPr>
        <w:t>国道541汉王至</w:t>
      </w:r>
      <w:r>
        <w:rPr>
          <w:rFonts w:hint="eastAsia" w:ascii="仿宋" w:hAnsi="仿宋" w:eastAsia="仿宋" w:cs="仿宋"/>
          <w:sz w:val="32"/>
          <w:szCs w:val="32"/>
          <w:lang w:eastAsia="zh-CN"/>
        </w:rPr>
        <w:t>洞河</w:t>
      </w:r>
      <w:r>
        <w:rPr>
          <w:rFonts w:hint="eastAsia" w:ascii="仿宋" w:hAnsi="仿宋" w:eastAsia="仿宋" w:cs="仿宋"/>
          <w:sz w:val="32"/>
          <w:szCs w:val="32"/>
        </w:rPr>
        <w:t>段项目援建</w:t>
      </w:r>
      <w:r>
        <w:rPr>
          <w:rFonts w:hint="eastAsia" w:ascii="仿宋" w:hAnsi="仿宋" w:eastAsia="仿宋" w:cs="仿宋"/>
          <w:sz w:val="32"/>
          <w:szCs w:val="32"/>
          <w:lang w:eastAsia="zh-CN"/>
        </w:rPr>
        <w:t>收尾</w:t>
      </w:r>
      <w:r>
        <w:rPr>
          <w:rFonts w:hint="eastAsia" w:ascii="仿宋" w:hAnsi="仿宋" w:eastAsia="仿宋" w:cs="仿宋"/>
          <w:sz w:val="32"/>
          <w:szCs w:val="32"/>
        </w:rPr>
        <w:t>工作；</w:t>
      </w:r>
      <w:r>
        <w:rPr>
          <w:rFonts w:hint="eastAsia" w:ascii="仿宋" w:hAnsi="仿宋" w:eastAsia="仿宋" w:cs="仿宋"/>
          <w:sz w:val="32"/>
          <w:szCs w:val="32"/>
          <w:lang w:eastAsia="zh-CN"/>
        </w:rPr>
        <w:t>三</w:t>
      </w:r>
      <w:r>
        <w:rPr>
          <w:rFonts w:hint="eastAsia" w:ascii="仿宋" w:hAnsi="仿宋" w:eastAsia="仿宋" w:cs="仿宋"/>
          <w:sz w:val="32"/>
          <w:szCs w:val="32"/>
        </w:rPr>
        <w:t>是完成</w:t>
      </w:r>
      <w:r>
        <w:rPr>
          <w:rFonts w:hint="eastAsia" w:ascii="仿宋" w:hAnsi="仿宋" w:eastAsia="仿宋" w:cs="仿宋"/>
          <w:sz w:val="32"/>
          <w:szCs w:val="32"/>
          <w:lang w:eastAsia="zh-CN"/>
        </w:rPr>
        <w:t>擂鼓台旅游公路；四是完成蒿坪至黄金公路改建工程；五是完成双安镇富硒矿泉水厂道路工程；六是完成汉王跨汉江大桥；七是开工建设毛坝至瓦庙公路改建工程、毛坝高速路口至集镇公路改建工程、黄金至双安公路改建工程、堰门至洄水公路改建工程、</w:t>
      </w:r>
      <w:r>
        <w:rPr>
          <w:rFonts w:hint="eastAsia" w:ascii="仿宋" w:hAnsi="仿宋" w:eastAsia="仿宋" w:cs="仿宋"/>
          <w:sz w:val="32"/>
          <w:szCs w:val="32"/>
          <w:lang w:val="en-US" w:eastAsia="zh-CN"/>
        </w:rPr>
        <w:t>S211曹家坝段改线工程</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lang w:eastAsia="zh-CN"/>
        </w:rPr>
      </w:pPr>
      <w:r>
        <w:rPr>
          <w:rFonts w:hint="eastAsia" w:ascii="仿宋" w:hAnsi="仿宋" w:eastAsia="仿宋" w:cs="仿宋"/>
          <w:sz w:val="32"/>
          <w:szCs w:val="32"/>
        </w:rPr>
        <w:t>（三）全面加强公路日常养护管理。</w:t>
      </w:r>
      <w:r>
        <w:rPr>
          <w:rFonts w:hint="eastAsia" w:ascii="仿宋" w:hAnsi="仿宋" w:eastAsia="仿宋" w:cs="仿宋"/>
          <w:sz w:val="32"/>
          <w:szCs w:val="32"/>
          <w:lang w:eastAsia="zh-CN"/>
        </w:rPr>
        <w:t>启动省级“四好农村路”示范县创建工作，以创建工作为抓手，全面提升农村公路养护水平，夯实农村公路“路长制”工作职责，建立健全县、镇、村三级农村公路养护管理体系，落实农村公路养护资金，</w:t>
      </w:r>
      <w:r>
        <w:rPr>
          <w:rFonts w:hint="eastAsia" w:ascii="仿宋" w:hAnsi="仿宋" w:eastAsia="仿宋" w:cs="仿宋"/>
          <w:sz w:val="32"/>
          <w:szCs w:val="32"/>
          <w:lang w:val="en-US" w:eastAsia="zh-CN"/>
        </w:rPr>
        <w:t>建立农村公路“一长四员”管理制度，及时发现并查处各类路政违法行为。大力开展路域环境治理工作。推进“四好农村路”信息化管理平台建设。</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四）切实强化运输市场监管。一是继续加强运输市场秩序整治，改善我县客货运输环境；二是扎实开展出租汽车整顿工作，提高服务质量，维护广大经营者和人民群众的合法权益，促进县城出租汽车客运市场持续健康发展；三是进一步推进城乡客运一体化发展。推动班线公车公营和公司化改造，逐渐淘汰不符合技术标准的客运车辆；四是根据需求增开、新开公交线路，方便市民出行，减轻市民负担，提升城市交通客运能力；五是继续加快沿江码头、渡口等港航基础设施建设步伐，不断提高航运服务保障能力，推动航运工作上水平。积极支持水上旅游资源开发，为汉江旅游大发展提供优质的水上交通保障。</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（五）高度重视交通安全。按照“谁主管、谁负责”和“</w:t>
      </w:r>
      <w:r>
        <w:rPr>
          <w:rFonts w:hint="eastAsia" w:ascii="仿宋" w:hAnsi="仿宋" w:eastAsia="仿宋" w:cs="仿宋"/>
          <w:sz w:val="32"/>
          <w:szCs w:val="32"/>
          <w:lang w:eastAsia="zh-CN"/>
        </w:rPr>
        <w:t>三管三必须</w:t>
      </w:r>
      <w:r>
        <w:rPr>
          <w:rFonts w:hint="eastAsia" w:ascii="仿宋" w:hAnsi="仿宋" w:eastAsia="仿宋" w:cs="仿宋"/>
          <w:sz w:val="32"/>
          <w:szCs w:val="32"/>
        </w:rPr>
        <w:t>”的原则，全面加强全行业的安全生产管理工作，确保全年交通生产安全。一是进一步加强道路客运和危险货物运输安全管理，继续开展道路运输安全专项整治活动，推进道路运输安全管理长效机制建设；二是切实加大交通工程建设施工安全的监管力度。三是继续整治事故多发危险路段，实施安保工程，加强危桥险路治理，增强公路安全保畅水平；四是进一步加大水上运输安全管理力度，大力推进渡口建设和渡改桥工程，取缔“三无”船舶，提高水上安全监管和救助能力。</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从预算单位构成看，本部门的部门预算包括部门本级（机关）预算和所属事业单位预算。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纳入本部门</w:t>
      </w:r>
      <w:r>
        <w:rPr>
          <w:rFonts w:hint="eastAsia" w:ascii="仿宋" w:hAnsi="仿宋" w:eastAsia="仿宋" w:cs="仿宋"/>
          <w:sz w:val="32"/>
          <w:szCs w:val="32"/>
          <w:lang w:eastAsia="zh-CN"/>
        </w:rPr>
        <w:t>2023年</w:t>
      </w:r>
      <w:r>
        <w:rPr>
          <w:rFonts w:hint="eastAsia" w:ascii="仿宋" w:hAnsi="仿宋" w:eastAsia="仿宋" w:cs="仿宋"/>
          <w:sz w:val="32"/>
          <w:szCs w:val="32"/>
        </w:rPr>
        <w:t>部门预算编制范围的二级预算单位共有</w:t>
      </w:r>
      <w:r>
        <w:rPr>
          <w:rFonts w:hint="eastAsia" w:ascii="仿宋" w:hAnsi="仿宋" w:eastAsia="仿宋" w:cs="仿宋"/>
          <w:sz w:val="32"/>
          <w:szCs w:val="32"/>
          <w:lang w:val="en-US" w:eastAsia="zh-CN"/>
        </w:rPr>
        <w:t>4</w:t>
      </w:r>
      <w:r>
        <w:rPr>
          <w:rFonts w:hint="eastAsia" w:ascii="仿宋" w:hAnsi="仿宋" w:eastAsia="仿宋" w:cs="仿宋"/>
          <w:sz w:val="32"/>
          <w:szCs w:val="32"/>
        </w:rPr>
        <w:t>个，包括：</w:t>
      </w:r>
    </w:p>
    <w:tbl>
      <w:tblPr>
        <w:tblStyle w:val="6"/>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5098"/>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6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序号</w:t>
            </w:r>
          </w:p>
        </w:tc>
        <w:tc>
          <w:tcPr>
            <w:tcW w:w="509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单位名称</w:t>
            </w:r>
          </w:p>
        </w:tc>
        <w:tc>
          <w:tcPr>
            <w:tcW w:w="208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6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1</w:t>
            </w:r>
          </w:p>
        </w:tc>
        <w:tc>
          <w:tcPr>
            <w:tcW w:w="509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紫阳县交通运输局</w:t>
            </w:r>
            <w:r>
              <w:rPr>
                <w:rFonts w:hint="eastAsia" w:ascii="仿宋" w:hAnsi="仿宋" w:eastAsia="仿宋" w:cs="仿宋"/>
                <w:sz w:val="32"/>
                <w:szCs w:val="32"/>
              </w:rPr>
              <w:t>本级（机关）</w:t>
            </w:r>
          </w:p>
        </w:tc>
        <w:tc>
          <w:tcPr>
            <w:tcW w:w="208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6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2</w:t>
            </w:r>
          </w:p>
        </w:tc>
        <w:tc>
          <w:tcPr>
            <w:tcW w:w="509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sz w:val="32"/>
                <w:szCs w:val="32"/>
              </w:rPr>
            </w:pPr>
            <w:r>
              <w:rPr>
                <w:rFonts w:hint="eastAsia" w:ascii="仿宋" w:hAnsi="仿宋" w:eastAsia="仿宋" w:cs="仿宋"/>
                <w:sz w:val="28"/>
                <w:szCs w:val="28"/>
                <w:lang w:eastAsia="zh-CN"/>
              </w:rPr>
              <w:t>紫阳县农村公路养护中心</w:t>
            </w:r>
          </w:p>
        </w:tc>
        <w:tc>
          <w:tcPr>
            <w:tcW w:w="208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6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p>
        </w:tc>
        <w:tc>
          <w:tcPr>
            <w:tcW w:w="509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default" w:ascii="仿宋" w:hAnsi="仿宋" w:eastAsia="仿宋" w:cs="仿宋"/>
                <w:sz w:val="32"/>
                <w:szCs w:val="32"/>
                <w:lang w:val="en-US" w:eastAsia="zh-CN"/>
              </w:rPr>
            </w:pPr>
            <w:r>
              <w:rPr>
                <w:rFonts w:hint="eastAsia" w:ascii="仿宋" w:hAnsi="仿宋" w:eastAsia="仿宋" w:cs="仿宋"/>
                <w:color w:val="auto"/>
                <w:sz w:val="32"/>
                <w:szCs w:val="32"/>
              </w:rPr>
              <w:t>紫阳县</w:t>
            </w:r>
            <w:r>
              <w:rPr>
                <w:rFonts w:hint="eastAsia" w:ascii="仿宋" w:hAnsi="仿宋" w:eastAsia="仿宋" w:cs="仿宋"/>
                <w:color w:val="auto"/>
                <w:sz w:val="32"/>
                <w:szCs w:val="32"/>
                <w:lang w:eastAsia="zh-CN"/>
              </w:rPr>
              <w:t>水路交通服务中心</w:t>
            </w:r>
          </w:p>
        </w:tc>
        <w:tc>
          <w:tcPr>
            <w:tcW w:w="208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6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p>
        </w:tc>
        <w:tc>
          <w:tcPr>
            <w:tcW w:w="509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紫阳县道路运输服务中心</w:t>
            </w:r>
          </w:p>
        </w:tc>
        <w:tc>
          <w:tcPr>
            <w:tcW w:w="208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sz w:val="32"/>
                <w:szCs w:val="32"/>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四、部门人员情况说明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截止</w:t>
      </w:r>
      <w:r>
        <w:rPr>
          <w:rFonts w:hint="eastAsia" w:ascii="仿宋" w:hAnsi="仿宋" w:eastAsia="仿宋" w:cs="仿宋"/>
          <w:sz w:val="32"/>
          <w:szCs w:val="32"/>
          <w:lang w:eastAsia="zh-CN"/>
        </w:rPr>
        <w:t>2022年</w:t>
      </w:r>
      <w:r>
        <w:rPr>
          <w:rFonts w:hint="eastAsia" w:ascii="仿宋" w:hAnsi="仿宋" w:eastAsia="仿宋" w:cs="仿宋"/>
          <w:sz w:val="32"/>
          <w:szCs w:val="32"/>
        </w:rPr>
        <w:t>底，本部门人员编制</w:t>
      </w:r>
      <w:r>
        <w:rPr>
          <w:rFonts w:hint="eastAsia" w:ascii="仿宋" w:hAnsi="仿宋" w:eastAsia="仿宋" w:cs="仿宋"/>
          <w:sz w:val="32"/>
          <w:szCs w:val="32"/>
          <w:lang w:val="en-US" w:eastAsia="zh-CN"/>
        </w:rPr>
        <w:t>58</w:t>
      </w:r>
      <w:r>
        <w:rPr>
          <w:rFonts w:hint="eastAsia" w:ascii="仿宋" w:hAnsi="仿宋" w:eastAsia="仿宋" w:cs="仿宋"/>
          <w:sz w:val="32"/>
          <w:szCs w:val="32"/>
        </w:rPr>
        <w:t>人，其中行政编制</w:t>
      </w:r>
      <w:r>
        <w:rPr>
          <w:rFonts w:hint="eastAsia" w:ascii="仿宋" w:hAnsi="仿宋" w:eastAsia="仿宋" w:cs="仿宋"/>
          <w:sz w:val="32"/>
          <w:szCs w:val="32"/>
          <w:lang w:val="en-US" w:eastAsia="zh-CN"/>
        </w:rPr>
        <w:t>10</w:t>
      </w:r>
      <w:r>
        <w:rPr>
          <w:rFonts w:hint="eastAsia" w:ascii="仿宋" w:hAnsi="仿宋" w:eastAsia="仿宋" w:cs="仿宋"/>
          <w:sz w:val="32"/>
          <w:szCs w:val="32"/>
        </w:rPr>
        <w:t>人、事业编制</w:t>
      </w:r>
      <w:r>
        <w:rPr>
          <w:rFonts w:hint="eastAsia" w:ascii="仿宋" w:hAnsi="仿宋" w:eastAsia="仿宋" w:cs="仿宋"/>
          <w:sz w:val="32"/>
          <w:szCs w:val="32"/>
          <w:lang w:val="en-US" w:eastAsia="zh-CN"/>
        </w:rPr>
        <w:t>48</w:t>
      </w:r>
      <w:r>
        <w:rPr>
          <w:rFonts w:hint="eastAsia" w:ascii="仿宋" w:hAnsi="仿宋" w:eastAsia="仿宋" w:cs="仿宋"/>
          <w:sz w:val="32"/>
          <w:szCs w:val="32"/>
        </w:rPr>
        <w:t>人；实有人员</w:t>
      </w:r>
      <w:r>
        <w:rPr>
          <w:rFonts w:hint="eastAsia" w:ascii="仿宋" w:hAnsi="仿宋" w:eastAsia="仿宋" w:cs="仿宋"/>
          <w:sz w:val="32"/>
          <w:szCs w:val="32"/>
          <w:lang w:val="en-US" w:eastAsia="zh-CN"/>
        </w:rPr>
        <w:t>52</w:t>
      </w:r>
      <w:r>
        <w:rPr>
          <w:rFonts w:hint="eastAsia" w:ascii="仿宋" w:hAnsi="仿宋" w:eastAsia="仿宋" w:cs="仿宋"/>
          <w:sz w:val="32"/>
          <w:szCs w:val="32"/>
        </w:rPr>
        <w:t>人，其中行政</w:t>
      </w:r>
      <w:r>
        <w:rPr>
          <w:rFonts w:hint="eastAsia" w:ascii="仿宋" w:hAnsi="仿宋" w:eastAsia="仿宋" w:cs="仿宋"/>
          <w:sz w:val="32"/>
          <w:szCs w:val="32"/>
          <w:lang w:val="en-US" w:eastAsia="zh-CN"/>
        </w:rPr>
        <w:t>17</w:t>
      </w:r>
      <w:r>
        <w:rPr>
          <w:rFonts w:hint="eastAsia" w:ascii="仿宋" w:hAnsi="仿宋" w:eastAsia="仿宋" w:cs="仿宋"/>
          <w:sz w:val="32"/>
          <w:szCs w:val="32"/>
        </w:rPr>
        <w:t>人、事业</w:t>
      </w:r>
      <w:r>
        <w:rPr>
          <w:rFonts w:hint="eastAsia" w:ascii="仿宋" w:hAnsi="仿宋" w:eastAsia="仿宋" w:cs="仿宋"/>
          <w:sz w:val="32"/>
          <w:szCs w:val="32"/>
          <w:lang w:val="en-US" w:eastAsia="zh-CN"/>
        </w:rPr>
        <w:t>35</w:t>
      </w:r>
      <w:r>
        <w:rPr>
          <w:rFonts w:hint="eastAsia" w:ascii="仿宋" w:hAnsi="仿宋" w:eastAsia="仿宋" w:cs="仿宋"/>
          <w:sz w:val="32"/>
          <w:szCs w:val="32"/>
        </w:rPr>
        <w:t>人。</w:t>
      </w:r>
      <w:r>
        <w:rPr>
          <w:rFonts w:hint="eastAsia" w:ascii="仿宋" w:hAnsi="仿宋" w:eastAsia="仿宋" w:cs="仿宋"/>
          <w:sz w:val="32"/>
          <w:szCs w:val="32"/>
          <w:lang w:eastAsia="zh-CN"/>
        </w:rPr>
        <w:t>遗属人员</w:t>
      </w:r>
      <w:r>
        <w:rPr>
          <w:rFonts w:hint="eastAsia" w:ascii="仿宋" w:hAnsi="仿宋" w:eastAsia="仿宋" w:cs="仿宋"/>
          <w:sz w:val="32"/>
          <w:szCs w:val="32"/>
          <w:lang w:val="en-US" w:eastAsia="zh-CN"/>
        </w:rPr>
        <w:t>1人，</w:t>
      </w:r>
      <w:r>
        <w:rPr>
          <w:rFonts w:hint="eastAsia" w:ascii="仿宋" w:hAnsi="仿宋" w:eastAsia="仿宋" w:cs="仿宋"/>
          <w:sz w:val="32"/>
          <w:szCs w:val="32"/>
        </w:rPr>
        <w:t>单位管理的离退休人员</w:t>
      </w:r>
      <w:r>
        <w:rPr>
          <w:rFonts w:hint="eastAsia" w:ascii="仿宋" w:hAnsi="仿宋" w:eastAsia="仿宋" w:cs="仿宋"/>
          <w:sz w:val="32"/>
          <w:szCs w:val="32"/>
          <w:lang w:val="en-US" w:eastAsia="zh-CN"/>
        </w:rPr>
        <w:t>32</w:t>
      </w:r>
      <w:r>
        <w:rPr>
          <w:rFonts w:hint="eastAsia" w:ascii="仿宋" w:hAnsi="仿宋" w:eastAsia="仿宋" w:cs="仿宋"/>
          <w:sz w:val="32"/>
          <w:szCs w:val="32"/>
        </w:rPr>
        <w:t>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lang w:eastAsia="zh-CN"/>
        </w:rPr>
        <w:drawing>
          <wp:inline distT="0" distB="0" distL="114300" distR="114300">
            <wp:extent cx="4460875" cy="3023235"/>
            <wp:effectExtent l="4445" t="5080" r="11430" b="1968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lang w:val="en-US" w:eastAsia="zh-CN"/>
        </w:rPr>
        <w:t xml:space="preserve">     </w:t>
      </w: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五、</w:t>
      </w:r>
      <w:r>
        <w:rPr>
          <w:rFonts w:hint="eastAsia" w:ascii="仿宋" w:hAnsi="仿宋" w:eastAsia="仿宋" w:cs="仿宋"/>
          <w:b/>
          <w:bCs/>
          <w:sz w:val="32"/>
          <w:szCs w:val="32"/>
          <w:lang w:eastAsia="zh-CN"/>
        </w:rPr>
        <w:t>2023年</w:t>
      </w:r>
      <w:r>
        <w:rPr>
          <w:rFonts w:hint="eastAsia" w:ascii="仿宋" w:hAnsi="仿宋" w:eastAsia="仿宋" w:cs="仿宋"/>
          <w:b/>
          <w:bCs/>
          <w:sz w:val="32"/>
          <w:szCs w:val="32"/>
        </w:rPr>
        <w:t>部门预算收支说明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（一）收支预算总体情况。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按照综合预算的原则，本部门所有收入和支出均纳入部门预算管理。</w:t>
      </w:r>
      <w:r>
        <w:rPr>
          <w:rFonts w:hint="eastAsia" w:ascii="仿宋" w:hAnsi="仿宋" w:eastAsia="仿宋" w:cs="仿宋"/>
          <w:sz w:val="32"/>
          <w:szCs w:val="32"/>
          <w:lang w:eastAsia="zh-CN"/>
        </w:rPr>
        <w:t>2023年</w:t>
      </w:r>
      <w:r>
        <w:rPr>
          <w:rFonts w:hint="eastAsia" w:ascii="仿宋" w:hAnsi="仿宋" w:eastAsia="仿宋" w:cs="仿宋"/>
          <w:sz w:val="32"/>
          <w:szCs w:val="32"/>
        </w:rPr>
        <w:t>本部门预算收入</w:t>
      </w:r>
      <w:r>
        <w:rPr>
          <w:rFonts w:hint="eastAsia" w:ascii="仿宋" w:hAnsi="仿宋" w:eastAsia="仿宋" w:cs="仿宋"/>
          <w:sz w:val="32"/>
          <w:szCs w:val="32"/>
          <w:lang w:val="en-US" w:eastAsia="zh-CN"/>
        </w:rPr>
        <w:t>1046.99</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1046.99</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本部门预算收入较上年增加</w:t>
      </w:r>
      <w:r>
        <w:rPr>
          <w:rFonts w:hint="eastAsia" w:ascii="仿宋" w:hAnsi="仿宋" w:eastAsia="仿宋" w:cs="仿宋"/>
          <w:sz w:val="32"/>
          <w:szCs w:val="32"/>
          <w:lang w:val="en-US" w:eastAsia="zh-CN"/>
        </w:rPr>
        <w:t>233.98</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人员工资增加</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本部门预算支出</w:t>
      </w:r>
      <w:r>
        <w:rPr>
          <w:rFonts w:hint="eastAsia" w:ascii="仿宋" w:hAnsi="仿宋" w:eastAsia="仿宋" w:cs="仿宋"/>
          <w:sz w:val="32"/>
          <w:szCs w:val="32"/>
          <w:lang w:val="en-US" w:eastAsia="zh-CN"/>
        </w:rPr>
        <w:t>1046.99</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1046.99</w:t>
      </w:r>
      <w:r>
        <w:rPr>
          <w:rFonts w:hint="eastAsia" w:ascii="仿宋" w:hAnsi="仿宋" w:eastAsia="仿宋" w:cs="仿宋"/>
          <w:sz w:val="32"/>
          <w:szCs w:val="32"/>
        </w:rPr>
        <w:t>万元、政府性基金拨款支出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本部门预算支出较上年增加</w:t>
      </w:r>
      <w:r>
        <w:rPr>
          <w:rFonts w:hint="eastAsia" w:ascii="仿宋" w:hAnsi="仿宋" w:eastAsia="仿宋" w:cs="仿宋"/>
          <w:sz w:val="32"/>
          <w:szCs w:val="32"/>
          <w:lang w:val="en-US" w:eastAsia="zh-CN"/>
        </w:rPr>
        <w:t>233.98</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人员工资增加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（二）财政拨款收支情况。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本部门财政拨款收入</w:t>
      </w:r>
      <w:r>
        <w:rPr>
          <w:rFonts w:hint="eastAsia" w:ascii="仿宋" w:hAnsi="仿宋" w:eastAsia="仿宋" w:cs="仿宋"/>
          <w:sz w:val="32"/>
          <w:szCs w:val="32"/>
          <w:lang w:val="en-US" w:eastAsia="zh-CN"/>
        </w:rPr>
        <w:t>1046.99</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1046.99</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本部门财政拨款收入较上年增加</w:t>
      </w:r>
      <w:r>
        <w:rPr>
          <w:rFonts w:hint="eastAsia" w:ascii="仿宋" w:hAnsi="仿宋" w:eastAsia="仿宋" w:cs="仿宋"/>
          <w:sz w:val="32"/>
          <w:szCs w:val="32"/>
          <w:lang w:val="en-US" w:eastAsia="zh-CN"/>
        </w:rPr>
        <w:t>233.98</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人员工资增加</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本部门财政拨款支出</w:t>
      </w:r>
      <w:r>
        <w:rPr>
          <w:rFonts w:hint="eastAsia" w:ascii="仿宋" w:hAnsi="仿宋" w:eastAsia="仿宋" w:cs="仿宋"/>
          <w:sz w:val="32"/>
          <w:szCs w:val="32"/>
          <w:lang w:val="en-US" w:eastAsia="zh-CN"/>
        </w:rPr>
        <w:t>1046.99</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1046.99</w:t>
      </w:r>
      <w:r>
        <w:rPr>
          <w:rFonts w:hint="eastAsia" w:ascii="仿宋" w:hAnsi="仿宋" w:eastAsia="仿宋" w:cs="仿宋"/>
          <w:sz w:val="32"/>
          <w:szCs w:val="32"/>
        </w:rPr>
        <w:t>万元、政府性基金拨款支出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本部门财政拨款支出较上年增加</w:t>
      </w:r>
      <w:r>
        <w:rPr>
          <w:rFonts w:hint="eastAsia" w:ascii="仿宋" w:hAnsi="仿宋" w:eastAsia="仿宋" w:cs="仿宋"/>
          <w:sz w:val="32"/>
          <w:szCs w:val="32"/>
          <w:lang w:val="en-US" w:eastAsia="zh-CN"/>
        </w:rPr>
        <w:t>233.98</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人员工资增加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（三）一般公共预算拨款支出明细情况。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w:t>
      </w:r>
      <w:r>
        <w:rPr>
          <w:rFonts w:hint="eastAsia" w:ascii="仿宋" w:hAnsi="仿宋" w:eastAsia="仿宋" w:cs="仿宋"/>
          <w:sz w:val="32"/>
          <w:szCs w:val="32"/>
          <w:highlight w:val="none"/>
        </w:rPr>
        <w:t>当年</w:t>
      </w:r>
      <w:r>
        <w:rPr>
          <w:rFonts w:hint="eastAsia" w:ascii="仿宋" w:hAnsi="仿宋" w:eastAsia="仿宋" w:cs="仿宋"/>
          <w:sz w:val="32"/>
          <w:szCs w:val="32"/>
        </w:rPr>
        <w:t>拨款规模变化情况。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drawing>
          <wp:inline distT="0" distB="0" distL="114300" distR="114300">
            <wp:extent cx="5080000" cy="3528695"/>
            <wp:effectExtent l="4445" t="4445" r="20955" b="1016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本部门当年一般公共预算拨款支出</w:t>
      </w:r>
      <w:r>
        <w:rPr>
          <w:rFonts w:hint="eastAsia" w:ascii="仿宋" w:hAnsi="仿宋" w:eastAsia="仿宋" w:cs="仿宋"/>
          <w:sz w:val="32"/>
          <w:szCs w:val="32"/>
          <w:lang w:val="en-US" w:eastAsia="zh-CN"/>
        </w:rPr>
        <w:t>1046.99</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233.98</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人员工资增加</w:t>
      </w:r>
      <w:r>
        <w:rPr>
          <w:rFonts w:hint="eastAsia" w:ascii="仿宋" w:hAnsi="仿宋" w:eastAsia="仿宋" w:cs="仿宋"/>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支出按</w:t>
      </w:r>
      <w:r>
        <w:rPr>
          <w:rFonts w:hint="eastAsia" w:ascii="仿宋" w:hAnsi="仿宋" w:eastAsia="仿宋" w:cs="仿宋"/>
          <w:sz w:val="32"/>
          <w:szCs w:val="32"/>
          <w:highlight w:val="none"/>
        </w:rPr>
        <w:t>功能</w:t>
      </w:r>
      <w:r>
        <w:rPr>
          <w:rFonts w:hint="eastAsia" w:ascii="仿宋" w:hAnsi="仿宋" w:eastAsia="仿宋" w:cs="仿宋"/>
          <w:sz w:val="32"/>
          <w:szCs w:val="32"/>
        </w:rPr>
        <w:t>科目分类的明细情况。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bookmarkStart w:id="0" w:name="_GoBack"/>
      <w:r>
        <w:rPr>
          <w:rFonts w:hint="eastAsia" w:ascii="仿宋" w:hAnsi="仿宋" w:eastAsia="仿宋" w:cs="仿宋"/>
          <w:sz w:val="32"/>
          <w:szCs w:val="32"/>
          <w:lang w:eastAsia="zh-CN"/>
        </w:rPr>
        <w:drawing>
          <wp:inline distT="0" distB="0" distL="114300" distR="114300">
            <wp:extent cx="5593715" cy="3198495"/>
            <wp:effectExtent l="4445" t="4445" r="21590" b="1651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bookmarkEnd w:id="0"/>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w:t>
      </w:r>
      <w:r>
        <w:rPr>
          <w:rFonts w:hint="eastAsia" w:ascii="仿宋" w:hAnsi="仿宋" w:eastAsia="仿宋" w:cs="仿宋"/>
          <w:sz w:val="32"/>
          <w:szCs w:val="32"/>
          <w:lang w:eastAsia="zh-CN"/>
        </w:rPr>
        <w:t>2023年</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1046.99</w:t>
      </w:r>
      <w:r>
        <w:rPr>
          <w:rFonts w:hint="eastAsia" w:ascii="仿宋" w:hAnsi="仿宋" w:eastAsia="仿宋" w:cs="仿宋"/>
          <w:sz w:val="32"/>
          <w:szCs w:val="32"/>
        </w:rPr>
        <w:t>万元，其中：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（1）行政运行（2</w:t>
      </w:r>
      <w:r>
        <w:rPr>
          <w:rFonts w:hint="eastAsia" w:ascii="仿宋" w:hAnsi="仿宋" w:eastAsia="仿宋" w:cs="仿宋"/>
          <w:sz w:val="32"/>
          <w:szCs w:val="32"/>
          <w:lang w:val="en-US" w:eastAsia="zh-CN"/>
        </w:rPr>
        <w:t>140101</w:t>
      </w:r>
      <w:r>
        <w:rPr>
          <w:rFonts w:hint="eastAsia" w:ascii="仿宋" w:hAnsi="仿宋" w:eastAsia="仿宋" w:cs="仿宋"/>
          <w:sz w:val="32"/>
          <w:szCs w:val="32"/>
        </w:rPr>
        <w:t>）</w:t>
      </w:r>
      <w:r>
        <w:rPr>
          <w:rFonts w:hint="eastAsia" w:ascii="仿宋" w:hAnsi="仿宋" w:eastAsia="仿宋" w:cs="仿宋"/>
          <w:sz w:val="32"/>
          <w:szCs w:val="32"/>
          <w:lang w:val="en-US" w:eastAsia="zh-CN"/>
        </w:rPr>
        <w:t>302.66</w:t>
      </w:r>
      <w:r>
        <w:rPr>
          <w:rFonts w:hint="eastAsia" w:ascii="仿宋" w:hAnsi="仿宋" w:eastAsia="仿宋" w:cs="仿宋"/>
          <w:sz w:val="32"/>
          <w:szCs w:val="32"/>
        </w:rPr>
        <w:t>万元，</w:t>
      </w:r>
      <w:r>
        <w:rPr>
          <w:rFonts w:hint="eastAsia" w:ascii="仿宋" w:hAnsi="仿宋" w:eastAsia="仿宋" w:cs="仿宋"/>
          <w:sz w:val="32"/>
          <w:szCs w:val="32"/>
          <w:lang w:eastAsia="zh-CN"/>
        </w:rPr>
        <w:t>上年行政运行包含</w:t>
      </w:r>
      <w:r>
        <w:rPr>
          <w:rFonts w:hint="eastAsia" w:ascii="仿宋" w:hAnsi="仿宋" w:eastAsia="仿宋" w:cs="仿宋"/>
          <w:sz w:val="32"/>
          <w:szCs w:val="32"/>
        </w:rPr>
        <w:t>其他公路水路运输支出</w:t>
      </w:r>
      <w:r>
        <w:rPr>
          <w:rFonts w:hint="eastAsia" w:ascii="仿宋" w:hAnsi="仿宋" w:eastAsia="仿宋" w:cs="仿宋"/>
          <w:sz w:val="32"/>
          <w:szCs w:val="32"/>
          <w:lang w:eastAsia="zh-CN"/>
        </w:rPr>
        <w:t>，上年行政运行与</w:t>
      </w:r>
      <w:r>
        <w:rPr>
          <w:rFonts w:hint="eastAsia" w:ascii="仿宋" w:hAnsi="仿宋" w:eastAsia="仿宋" w:cs="仿宋"/>
          <w:sz w:val="32"/>
          <w:szCs w:val="32"/>
        </w:rPr>
        <w:t>其他公路水路运输支出</w:t>
      </w:r>
      <w:r>
        <w:rPr>
          <w:rFonts w:hint="eastAsia" w:ascii="仿宋" w:hAnsi="仿宋" w:eastAsia="仿宋" w:cs="仿宋"/>
          <w:sz w:val="32"/>
          <w:szCs w:val="32"/>
          <w:lang w:eastAsia="zh-CN"/>
        </w:rPr>
        <w:t>合计为</w:t>
      </w:r>
      <w:r>
        <w:rPr>
          <w:rFonts w:hint="eastAsia" w:ascii="仿宋" w:hAnsi="仿宋" w:eastAsia="仿宋" w:cs="仿宋"/>
          <w:sz w:val="32"/>
          <w:szCs w:val="32"/>
        </w:rPr>
        <w:t>354.88万元</w:t>
      </w:r>
      <w:r>
        <w:rPr>
          <w:rFonts w:hint="eastAsia" w:ascii="仿宋" w:hAnsi="仿宋" w:eastAsia="仿宋" w:cs="仿宋"/>
          <w:sz w:val="32"/>
          <w:szCs w:val="32"/>
          <w:lang w:eastAsia="zh-CN"/>
        </w:rPr>
        <w:t>，本年行政运行与</w:t>
      </w:r>
      <w:r>
        <w:rPr>
          <w:rFonts w:hint="eastAsia" w:ascii="仿宋" w:hAnsi="仿宋" w:eastAsia="仿宋" w:cs="仿宋"/>
          <w:sz w:val="32"/>
          <w:szCs w:val="32"/>
        </w:rPr>
        <w:t>其他公路水路运输支出</w:t>
      </w:r>
      <w:r>
        <w:rPr>
          <w:rFonts w:hint="eastAsia" w:ascii="仿宋" w:hAnsi="仿宋" w:eastAsia="仿宋" w:cs="仿宋"/>
          <w:sz w:val="32"/>
          <w:szCs w:val="32"/>
          <w:lang w:eastAsia="zh-CN"/>
        </w:rPr>
        <w:t>合计为</w:t>
      </w:r>
      <w:r>
        <w:rPr>
          <w:rFonts w:hint="eastAsia" w:ascii="仿宋" w:hAnsi="仿宋" w:eastAsia="仿宋" w:cs="仿宋"/>
          <w:sz w:val="32"/>
          <w:szCs w:val="32"/>
          <w:lang w:val="en-US" w:eastAsia="zh-CN"/>
        </w:rPr>
        <w:t>379.92</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较上年增加</w:t>
      </w:r>
      <w:r>
        <w:rPr>
          <w:rFonts w:hint="eastAsia" w:ascii="仿宋" w:hAnsi="仿宋" w:eastAsia="仿宋" w:cs="仿宋"/>
          <w:sz w:val="32"/>
          <w:szCs w:val="32"/>
          <w:lang w:val="en-US" w:eastAsia="zh-CN"/>
        </w:rPr>
        <w:t>25.04</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人员工资增加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公路养护</w:t>
      </w:r>
      <w:r>
        <w:rPr>
          <w:rFonts w:hint="eastAsia" w:ascii="仿宋" w:hAnsi="仿宋" w:eastAsia="仿宋" w:cs="仿宋"/>
          <w:sz w:val="32"/>
          <w:szCs w:val="32"/>
        </w:rPr>
        <w:t>（</w:t>
      </w:r>
      <w:r>
        <w:rPr>
          <w:rFonts w:hint="eastAsia" w:ascii="仿宋" w:hAnsi="仿宋" w:eastAsia="仿宋" w:cs="仿宋"/>
          <w:sz w:val="32"/>
          <w:szCs w:val="32"/>
          <w:lang w:val="en-US" w:eastAsia="zh-CN"/>
        </w:rPr>
        <w:t>2140106</w:t>
      </w:r>
      <w:r>
        <w:rPr>
          <w:rFonts w:hint="eastAsia" w:ascii="仿宋" w:hAnsi="仿宋" w:eastAsia="仿宋" w:cs="仿宋"/>
          <w:sz w:val="32"/>
          <w:szCs w:val="32"/>
        </w:rPr>
        <w:t>）</w:t>
      </w:r>
      <w:r>
        <w:rPr>
          <w:rFonts w:hint="eastAsia" w:ascii="仿宋" w:hAnsi="仿宋" w:eastAsia="仿宋" w:cs="仿宋"/>
          <w:sz w:val="32"/>
          <w:szCs w:val="32"/>
          <w:lang w:val="en-US" w:eastAsia="zh-CN"/>
        </w:rPr>
        <w:t>126.63</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72.55</w:t>
      </w:r>
      <w:r>
        <w:rPr>
          <w:rFonts w:hint="eastAsia" w:ascii="仿宋" w:hAnsi="仿宋" w:eastAsia="仿宋" w:cs="仿宋"/>
          <w:sz w:val="32"/>
          <w:szCs w:val="32"/>
        </w:rPr>
        <w:t>万元，原因是</w:t>
      </w:r>
      <w:r>
        <w:rPr>
          <w:rFonts w:hint="eastAsia" w:ascii="仿宋" w:hAnsi="仿宋" w:eastAsia="仿宋" w:cs="仿宋"/>
          <w:sz w:val="32"/>
          <w:szCs w:val="32"/>
          <w:highlight w:val="none"/>
          <w:lang w:val="en-US" w:eastAsia="zh-CN"/>
        </w:rPr>
        <w:t>根据财政相关规定和要求，</w:t>
      </w:r>
      <w:r>
        <w:rPr>
          <w:rFonts w:hint="eastAsia" w:ascii="仿宋" w:hAnsi="仿宋" w:eastAsia="仿宋" w:cs="仿宋"/>
          <w:sz w:val="32"/>
          <w:szCs w:val="32"/>
        </w:rPr>
        <w:t>本年支出功能科目分类标准较上年有所调整；</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公路运输管理</w:t>
      </w:r>
      <w:r>
        <w:rPr>
          <w:rFonts w:hint="eastAsia" w:ascii="仿宋" w:hAnsi="仿宋" w:eastAsia="仿宋" w:cs="仿宋"/>
          <w:sz w:val="32"/>
          <w:szCs w:val="32"/>
        </w:rPr>
        <w:t>（</w:t>
      </w:r>
      <w:r>
        <w:rPr>
          <w:rFonts w:hint="eastAsia" w:ascii="仿宋" w:hAnsi="仿宋" w:eastAsia="仿宋" w:cs="仿宋"/>
          <w:sz w:val="32"/>
          <w:szCs w:val="32"/>
          <w:lang w:val="en-US" w:eastAsia="zh-CN"/>
        </w:rPr>
        <w:t>2140112</w:t>
      </w:r>
      <w:r>
        <w:rPr>
          <w:rFonts w:hint="eastAsia" w:ascii="仿宋" w:hAnsi="仿宋" w:eastAsia="仿宋" w:cs="仿宋"/>
          <w:sz w:val="32"/>
          <w:szCs w:val="32"/>
        </w:rPr>
        <w:t>）</w:t>
      </w:r>
      <w:r>
        <w:rPr>
          <w:rFonts w:hint="eastAsia" w:ascii="仿宋" w:hAnsi="仿宋" w:eastAsia="仿宋" w:cs="仿宋"/>
          <w:sz w:val="32"/>
          <w:szCs w:val="32"/>
          <w:lang w:val="en-US" w:eastAsia="zh-CN"/>
        </w:rPr>
        <w:t>170.01</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114.37</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专项业务经费增加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海事管理</w:t>
      </w:r>
      <w:r>
        <w:rPr>
          <w:rFonts w:hint="eastAsia" w:ascii="仿宋" w:hAnsi="仿宋" w:eastAsia="仿宋" w:cs="仿宋"/>
          <w:sz w:val="32"/>
          <w:szCs w:val="32"/>
        </w:rPr>
        <w:t>（</w:t>
      </w:r>
      <w:r>
        <w:rPr>
          <w:rFonts w:hint="eastAsia" w:ascii="仿宋" w:hAnsi="仿宋" w:eastAsia="仿宋" w:cs="仿宋"/>
          <w:sz w:val="32"/>
          <w:szCs w:val="32"/>
          <w:lang w:val="en-US" w:eastAsia="zh-CN"/>
        </w:rPr>
        <w:t>2140131</w:t>
      </w:r>
      <w:r>
        <w:rPr>
          <w:rFonts w:hint="eastAsia" w:ascii="仿宋" w:hAnsi="仿宋" w:eastAsia="仿宋" w:cs="仿宋"/>
          <w:sz w:val="32"/>
          <w:szCs w:val="32"/>
        </w:rPr>
        <w:t>）</w:t>
      </w:r>
      <w:r>
        <w:rPr>
          <w:rFonts w:hint="eastAsia" w:ascii="仿宋" w:hAnsi="仿宋" w:eastAsia="仿宋" w:cs="仿宋"/>
          <w:sz w:val="32"/>
          <w:szCs w:val="32"/>
          <w:lang w:val="en-US" w:eastAsia="zh-CN"/>
        </w:rPr>
        <w:t>17.34</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45.41</w:t>
      </w:r>
      <w:r>
        <w:rPr>
          <w:rFonts w:hint="eastAsia" w:ascii="仿宋" w:hAnsi="仿宋" w:eastAsia="仿宋" w:cs="仿宋"/>
          <w:sz w:val="32"/>
          <w:szCs w:val="32"/>
        </w:rPr>
        <w:t>万元，原因是</w:t>
      </w:r>
      <w:r>
        <w:rPr>
          <w:rFonts w:hint="eastAsia" w:ascii="仿宋" w:hAnsi="仿宋" w:eastAsia="仿宋" w:cs="仿宋"/>
          <w:sz w:val="32"/>
          <w:szCs w:val="32"/>
          <w:lang w:eastAsia="zh-CN"/>
        </w:rPr>
        <w:t>本年</w:t>
      </w:r>
      <w:r>
        <w:rPr>
          <w:rFonts w:hint="eastAsia" w:ascii="仿宋" w:hAnsi="仿宋" w:eastAsia="仿宋" w:cs="仿宋"/>
          <w:sz w:val="32"/>
          <w:szCs w:val="32"/>
        </w:rPr>
        <w:t>人员</w:t>
      </w:r>
      <w:r>
        <w:rPr>
          <w:rFonts w:hint="eastAsia" w:ascii="仿宋" w:hAnsi="仿宋" w:eastAsia="仿宋" w:cs="仿宋"/>
          <w:sz w:val="32"/>
          <w:szCs w:val="32"/>
          <w:lang w:eastAsia="zh-CN"/>
        </w:rPr>
        <w:t>工资支出在其他公路水路运输支出（</w:t>
      </w:r>
      <w:r>
        <w:rPr>
          <w:rFonts w:hint="eastAsia" w:ascii="仿宋" w:hAnsi="仿宋" w:eastAsia="仿宋" w:cs="仿宋"/>
          <w:sz w:val="32"/>
          <w:szCs w:val="32"/>
          <w:lang w:val="en-US" w:eastAsia="zh-CN"/>
        </w:rPr>
        <w:t>2140199</w:t>
      </w:r>
      <w:r>
        <w:rPr>
          <w:rFonts w:hint="eastAsia" w:ascii="仿宋" w:hAnsi="仿宋" w:eastAsia="仿宋" w:cs="仿宋"/>
          <w:sz w:val="32"/>
          <w:szCs w:val="32"/>
          <w:lang w:eastAsia="zh-CN"/>
        </w:rPr>
        <w:t>）中反映</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）其他公路水路运输支出</w:t>
      </w:r>
      <w:r>
        <w:rPr>
          <w:rFonts w:hint="eastAsia" w:ascii="仿宋" w:hAnsi="仿宋" w:eastAsia="仿宋" w:cs="仿宋"/>
          <w:sz w:val="32"/>
          <w:szCs w:val="32"/>
          <w:lang w:eastAsia="zh-CN"/>
        </w:rPr>
        <w:t>（2140199）</w:t>
      </w:r>
      <w:r>
        <w:rPr>
          <w:rFonts w:hint="eastAsia" w:ascii="仿宋" w:hAnsi="仿宋" w:eastAsia="仿宋" w:cs="仿宋"/>
          <w:sz w:val="32"/>
          <w:szCs w:val="32"/>
          <w:lang w:val="en-US" w:eastAsia="zh-CN"/>
        </w:rPr>
        <w:t>273.52</w:t>
      </w:r>
      <w:r>
        <w:rPr>
          <w:rFonts w:hint="eastAsia" w:ascii="仿宋" w:hAnsi="仿宋" w:eastAsia="仿宋" w:cs="仿宋"/>
          <w:sz w:val="32"/>
          <w:szCs w:val="32"/>
        </w:rPr>
        <w:t>万元</w:t>
      </w:r>
      <w:r>
        <w:rPr>
          <w:rFonts w:hint="eastAsia" w:ascii="仿宋" w:hAnsi="仿宋" w:eastAsia="仿宋" w:cs="仿宋"/>
          <w:sz w:val="32"/>
          <w:szCs w:val="32"/>
          <w:lang w:eastAsia="zh-CN"/>
        </w:rPr>
        <w:t>，上年</w:t>
      </w:r>
      <w:r>
        <w:rPr>
          <w:rFonts w:hint="eastAsia" w:ascii="仿宋" w:hAnsi="仿宋" w:eastAsia="仿宋" w:cs="仿宋"/>
          <w:sz w:val="32"/>
          <w:szCs w:val="32"/>
        </w:rPr>
        <w:t>其他公路水路运输支出</w:t>
      </w:r>
      <w:r>
        <w:rPr>
          <w:rFonts w:hint="eastAsia" w:ascii="仿宋" w:hAnsi="仿宋" w:eastAsia="仿宋" w:cs="仿宋"/>
          <w:sz w:val="32"/>
          <w:szCs w:val="32"/>
          <w:lang w:eastAsia="zh-CN"/>
        </w:rPr>
        <w:t>包含</w:t>
      </w:r>
      <w:r>
        <w:rPr>
          <w:rFonts w:hint="eastAsia" w:ascii="仿宋" w:hAnsi="仿宋" w:eastAsia="仿宋" w:cs="仿宋"/>
          <w:sz w:val="32"/>
          <w:szCs w:val="32"/>
        </w:rPr>
        <w:t>行政运行</w:t>
      </w:r>
      <w:r>
        <w:rPr>
          <w:rFonts w:hint="eastAsia" w:ascii="仿宋" w:hAnsi="仿宋" w:eastAsia="仿宋" w:cs="仿宋"/>
          <w:sz w:val="32"/>
          <w:szCs w:val="32"/>
          <w:lang w:eastAsia="zh-CN"/>
        </w:rPr>
        <w:t>，</w:t>
      </w:r>
      <w:r>
        <w:rPr>
          <w:rFonts w:hint="eastAsia" w:ascii="仿宋" w:hAnsi="仿宋" w:eastAsia="仿宋" w:cs="仿宋"/>
          <w:sz w:val="32"/>
          <w:szCs w:val="32"/>
        </w:rPr>
        <w:t>原因是</w:t>
      </w:r>
      <w:r>
        <w:rPr>
          <w:rFonts w:hint="eastAsia" w:ascii="仿宋" w:hAnsi="仿宋" w:eastAsia="仿宋" w:cs="仿宋"/>
          <w:color w:val="auto"/>
          <w:kern w:val="0"/>
          <w:sz w:val="32"/>
          <w:szCs w:val="32"/>
          <w:highlight w:val="none"/>
          <w:shd w:val="clear" w:color="auto" w:fill="FFFFFF"/>
          <w:lang w:eastAsia="zh-CN"/>
        </w:rPr>
        <w:t>上年系统汇总预算未公开</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）机关事业单位基本养老保险（2080505）</w:t>
      </w:r>
      <w:r>
        <w:rPr>
          <w:rFonts w:hint="eastAsia" w:ascii="仿宋" w:hAnsi="仿宋" w:eastAsia="仿宋" w:cs="仿宋"/>
          <w:sz w:val="32"/>
          <w:szCs w:val="32"/>
          <w:lang w:val="en-US" w:eastAsia="zh-CN"/>
        </w:rPr>
        <w:t>69.94</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9.72</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人员减少</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仿宋"/>
          <w:sz w:val="32"/>
          <w:szCs w:val="32"/>
        </w:rPr>
        <w:t>）行政单位医疗（2101101）</w:t>
      </w:r>
      <w:r>
        <w:rPr>
          <w:rFonts w:hint="eastAsia" w:ascii="仿宋" w:hAnsi="仿宋" w:eastAsia="仿宋" w:cs="仿宋"/>
          <w:sz w:val="32"/>
          <w:szCs w:val="32"/>
          <w:lang w:val="en-US" w:eastAsia="zh-CN"/>
        </w:rPr>
        <w:t>19.56</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1.75</w:t>
      </w:r>
      <w:r>
        <w:rPr>
          <w:rFonts w:hint="eastAsia" w:ascii="仿宋" w:hAnsi="仿宋" w:eastAsia="仿宋" w:cs="仿宋"/>
          <w:sz w:val="32"/>
          <w:szCs w:val="32"/>
        </w:rPr>
        <w:t>万元，原因是缴费基数调整；</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rPr>
      </w:pPr>
      <w:r>
        <w:rPr>
          <w:rFonts w:hint="eastAsia" w:ascii="仿宋" w:hAnsi="仿宋" w:eastAsia="仿宋" w:cs="仿宋"/>
          <w:sz w:val="32"/>
          <w:szCs w:val="32"/>
        </w:rPr>
        <w:t>（</w:t>
      </w: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hint="eastAsia" w:ascii="仿宋" w:hAnsi="仿宋" w:eastAsia="仿宋" w:cs="仿宋"/>
          <w:sz w:val="32"/>
          <w:szCs w:val="32"/>
          <w:lang w:eastAsia="zh-CN"/>
        </w:rPr>
        <w:t>事业</w:t>
      </w:r>
      <w:r>
        <w:rPr>
          <w:rFonts w:hint="eastAsia" w:ascii="仿宋" w:hAnsi="仿宋" w:eastAsia="仿宋" w:cs="仿宋"/>
          <w:sz w:val="32"/>
          <w:szCs w:val="32"/>
        </w:rPr>
        <w:t>单位医疗（210110</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14.81</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3.17</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人员减少</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rPr>
      </w:pPr>
      <w:r>
        <w:rPr>
          <w:rFonts w:hint="eastAsia" w:ascii="仿宋" w:hAnsi="仿宋" w:eastAsia="仿宋" w:cs="仿宋"/>
          <w:sz w:val="32"/>
          <w:szCs w:val="32"/>
        </w:rPr>
        <w:t>（</w:t>
      </w:r>
      <w:r>
        <w:rPr>
          <w:rFonts w:hint="eastAsia" w:ascii="仿宋" w:hAnsi="仿宋" w:eastAsia="仿宋" w:cs="仿宋"/>
          <w:sz w:val="32"/>
          <w:szCs w:val="32"/>
          <w:lang w:val="en-US" w:eastAsia="zh-CN"/>
        </w:rPr>
        <w:t>9</w:t>
      </w:r>
      <w:r>
        <w:rPr>
          <w:rFonts w:hint="eastAsia" w:ascii="仿宋" w:hAnsi="仿宋" w:eastAsia="仿宋" w:cs="仿宋"/>
          <w:sz w:val="32"/>
          <w:szCs w:val="32"/>
        </w:rPr>
        <w:t>）住房公积金（2210201）</w:t>
      </w:r>
      <w:r>
        <w:rPr>
          <w:rFonts w:hint="eastAsia" w:ascii="仿宋" w:hAnsi="仿宋" w:eastAsia="仿宋" w:cs="仿宋"/>
          <w:sz w:val="32"/>
          <w:szCs w:val="32"/>
          <w:lang w:val="en-US" w:eastAsia="zh-CN"/>
        </w:rPr>
        <w:t>52.52</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1.64</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人员减少</w:t>
      </w:r>
      <w:r>
        <w:rPr>
          <w:rFonts w:hint="eastAsia" w:ascii="仿宋" w:hAnsi="仿宋" w:eastAsia="仿宋" w:cs="仿宋"/>
          <w:color w:val="auto"/>
          <w:kern w:val="0"/>
          <w:sz w:val="32"/>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w:t>
      </w:r>
      <w:r>
        <w:rPr>
          <w:rFonts w:hint="eastAsia" w:ascii="仿宋" w:hAnsi="仿宋" w:eastAsia="仿宋" w:cs="仿宋"/>
          <w:sz w:val="32"/>
          <w:szCs w:val="32"/>
          <w:highlight w:val="none"/>
        </w:rPr>
        <w:t>经济</w:t>
      </w:r>
      <w:r>
        <w:rPr>
          <w:rFonts w:hint="eastAsia" w:ascii="仿宋" w:hAnsi="仿宋" w:eastAsia="仿宋" w:cs="仿宋"/>
          <w:sz w:val="32"/>
          <w:szCs w:val="32"/>
        </w:rPr>
        <w:t>科目分类的明细情况。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（1）按照</w:t>
      </w:r>
      <w:r>
        <w:rPr>
          <w:rFonts w:hint="eastAsia" w:ascii="仿宋" w:hAnsi="仿宋" w:eastAsia="仿宋" w:cs="仿宋"/>
          <w:sz w:val="32"/>
          <w:szCs w:val="32"/>
          <w:highlight w:val="none"/>
        </w:rPr>
        <w:t>部门预算</w:t>
      </w:r>
      <w:r>
        <w:rPr>
          <w:rFonts w:hint="eastAsia" w:ascii="仿宋" w:hAnsi="仿宋" w:eastAsia="仿宋" w:cs="仿宋"/>
          <w:sz w:val="32"/>
          <w:szCs w:val="32"/>
        </w:rPr>
        <w:t>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本部门当年一般公共预算支出</w:t>
      </w:r>
      <w:r>
        <w:rPr>
          <w:rFonts w:hint="eastAsia" w:ascii="仿宋" w:hAnsi="仿宋" w:eastAsia="仿宋" w:cs="仿宋"/>
          <w:sz w:val="32"/>
          <w:szCs w:val="32"/>
          <w:lang w:val="en-US" w:eastAsia="zh-CN"/>
        </w:rPr>
        <w:t>1046.99</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工资福利支出（301）</w:t>
      </w:r>
      <w:r>
        <w:rPr>
          <w:rFonts w:hint="eastAsia" w:ascii="仿宋" w:hAnsi="仿宋" w:eastAsia="仿宋" w:cs="仿宋"/>
          <w:sz w:val="32"/>
          <w:szCs w:val="32"/>
          <w:lang w:val="en-US" w:eastAsia="zh-CN"/>
        </w:rPr>
        <w:t>649.18</w:t>
      </w:r>
      <w:r>
        <w:rPr>
          <w:rFonts w:hint="eastAsia" w:ascii="仿宋" w:hAnsi="仿宋" w:eastAsia="仿宋" w:cs="仿宋"/>
          <w:sz w:val="32"/>
          <w:szCs w:val="32"/>
        </w:rPr>
        <w:t>万元，较上年</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100.66</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人员工资增加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商品和服务支出（302）</w:t>
      </w:r>
      <w:r>
        <w:rPr>
          <w:rFonts w:hint="eastAsia" w:ascii="仿宋" w:hAnsi="仿宋" w:eastAsia="仿宋" w:cs="仿宋"/>
          <w:sz w:val="32"/>
          <w:szCs w:val="32"/>
          <w:lang w:val="en-US" w:eastAsia="zh-CN"/>
        </w:rPr>
        <w:t>244.26</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10.51</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减少日常公用经费预算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对个人和家庭的补助支出（303）</w:t>
      </w:r>
      <w:r>
        <w:rPr>
          <w:rFonts w:hint="eastAsia" w:ascii="仿宋" w:hAnsi="仿宋" w:eastAsia="仿宋" w:cs="仿宋"/>
          <w:sz w:val="32"/>
          <w:szCs w:val="32"/>
          <w:lang w:val="en-US" w:eastAsia="zh-CN"/>
        </w:rPr>
        <w:t>9.54</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0.18</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上年补发有遗属补贴</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对企业的补助（312）144万元，较上年增加144万元，原因是上年企业补助无预算</w:t>
      </w:r>
      <w:r>
        <w:rPr>
          <w:rFonts w:hint="eastAsia" w:ascii="仿宋" w:hAnsi="仿宋" w:eastAsia="仿宋" w:cs="仿宋"/>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按照</w:t>
      </w:r>
      <w:r>
        <w:rPr>
          <w:rFonts w:hint="eastAsia" w:ascii="仿宋" w:hAnsi="仿宋" w:eastAsia="仿宋" w:cs="仿宋"/>
          <w:sz w:val="32"/>
          <w:szCs w:val="32"/>
          <w:highlight w:val="none"/>
        </w:rPr>
        <w:t>政府预算</w:t>
      </w:r>
      <w:r>
        <w:rPr>
          <w:rFonts w:hint="eastAsia" w:ascii="仿宋" w:hAnsi="仿宋" w:eastAsia="仿宋" w:cs="仿宋"/>
          <w:sz w:val="32"/>
          <w:szCs w:val="32"/>
        </w:rPr>
        <w:t>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本部门当年一般公共预算支出</w:t>
      </w:r>
      <w:r>
        <w:rPr>
          <w:rFonts w:hint="eastAsia" w:ascii="仿宋" w:hAnsi="仿宋" w:eastAsia="仿宋" w:cs="仿宋"/>
          <w:sz w:val="32"/>
          <w:szCs w:val="32"/>
          <w:lang w:val="en-US" w:eastAsia="zh-CN"/>
        </w:rPr>
        <w:t>1046.99</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机关工资福利支出（501）</w:t>
      </w:r>
      <w:r>
        <w:rPr>
          <w:rFonts w:hint="eastAsia" w:ascii="仿宋" w:hAnsi="仿宋" w:eastAsia="仿宋" w:cs="仿宋"/>
          <w:sz w:val="32"/>
          <w:szCs w:val="32"/>
          <w:lang w:val="en-US" w:eastAsia="zh-CN"/>
        </w:rPr>
        <w:t>358.55</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125.8</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人员工资增加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机关商品和服务支出（502）</w:t>
      </w:r>
      <w:r>
        <w:rPr>
          <w:rFonts w:hint="eastAsia" w:ascii="仿宋" w:hAnsi="仿宋" w:eastAsia="仿宋" w:cs="仿宋"/>
          <w:sz w:val="32"/>
          <w:szCs w:val="32"/>
          <w:lang w:val="en-US" w:eastAsia="zh-CN"/>
        </w:rPr>
        <w:t>108.42</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132.2</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减少日常公用经费预算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rPr>
      </w:pPr>
      <w:r>
        <w:rPr>
          <w:rFonts w:hint="eastAsia" w:ascii="仿宋" w:hAnsi="仿宋" w:eastAsia="仿宋" w:cs="仿宋"/>
          <w:color w:val="auto"/>
          <w:sz w:val="32"/>
          <w:szCs w:val="32"/>
        </w:rPr>
        <w:t>对事业单位经常性补助（</w:t>
      </w:r>
      <w:r>
        <w:rPr>
          <w:rFonts w:hint="eastAsia" w:ascii="仿宋" w:hAnsi="仿宋" w:eastAsia="仿宋" w:cs="仿宋"/>
          <w:color w:val="auto"/>
          <w:sz w:val="32"/>
          <w:szCs w:val="32"/>
          <w:lang w:val="en-US" w:eastAsia="zh-CN"/>
        </w:rPr>
        <w:t>505</w:t>
      </w:r>
      <w:r>
        <w:rPr>
          <w:rFonts w:hint="eastAsia" w:ascii="仿宋" w:hAnsi="仿宋" w:eastAsia="仿宋" w:cs="仿宋"/>
          <w:color w:val="auto"/>
          <w:sz w:val="32"/>
          <w:szCs w:val="32"/>
        </w:rPr>
        <w:t>）</w:t>
      </w:r>
      <w:r>
        <w:rPr>
          <w:rFonts w:hint="eastAsia" w:ascii="仿宋" w:hAnsi="仿宋" w:eastAsia="仿宋" w:cs="仿宋"/>
          <w:sz w:val="32"/>
          <w:szCs w:val="32"/>
          <w:lang w:val="en-US" w:eastAsia="zh-CN"/>
        </w:rPr>
        <w:t>426.48</w:t>
      </w:r>
      <w:r>
        <w:rPr>
          <w:rFonts w:hint="eastAsia" w:ascii="仿宋" w:hAnsi="仿宋" w:eastAsia="仿宋" w:cs="仿宋"/>
          <w:color w:val="auto"/>
          <w:sz w:val="32"/>
          <w:szCs w:val="32"/>
        </w:rPr>
        <w:t>万元</w:t>
      </w:r>
      <w:r>
        <w:rPr>
          <w:rFonts w:hint="eastAsia" w:ascii="仿宋" w:hAnsi="仿宋" w:eastAsia="仿宋" w:cs="仿宋"/>
          <w:sz w:val="32"/>
          <w:szCs w:val="32"/>
        </w:rPr>
        <w:t>，较上年</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348.14</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今年道路运输服务中心将机关工资福利支出和机关商品服务支出放入了对事业单位经常性补助里面，水路交通服务中心是</w:t>
      </w:r>
      <w:r>
        <w:rPr>
          <w:rFonts w:hint="eastAsia" w:ascii="仿宋" w:hAnsi="仿宋" w:eastAsia="仿宋" w:cs="仿宋"/>
          <w:sz w:val="32"/>
          <w:szCs w:val="32"/>
          <w:lang w:eastAsia="zh-CN"/>
        </w:rPr>
        <w:t>人员工资基数增加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对企业的补助（507）144万元，较上年增加144万元，原因是上年企业补助无预算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color w:val="auto"/>
          <w:sz w:val="32"/>
          <w:szCs w:val="32"/>
        </w:rPr>
        <w:t>对个人和家庭的补助支出（</w:t>
      </w:r>
      <w:r>
        <w:rPr>
          <w:rFonts w:hint="eastAsia" w:ascii="仿宋" w:hAnsi="仿宋" w:eastAsia="仿宋" w:cs="仿宋"/>
          <w:color w:val="auto"/>
          <w:sz w:val="32"/>
          <w:szCs w:val="32"/>
          <w:lang w:val="en-US" w:eastAsia="zh-CN"/>
        </w:rPr>
        <w:t>509</w:t>
      </w:r>
      <w:r>
        <w:rPr>
          <w:rFonts w:hint="eastAsia" w:ascii="仿宋" w:hAnsi="仿宋" w:eastAsia="仿宋" w:cs="仿宋"/>
          <w:color w:val="auto"/>
          <w:sz w:val="32"/>
          <w:szCs w:val="32"/>
        </w:rPr>
        <w:t>）</w:t>
      </w:r>
      <w:r>
        <w:rPr>
          <w:rFonts w:hint="eastAsia" w:ascii="仿宋" w:hAnsi="仿宋" w:eastAsia="仿宋" w:cs="仿宋"/>
          <w:sz w:val="32"/>
          <w:szCs w:val="32"/>
          <w:lang w:val="en-US" w:eastAsia="zh-CN"/>
        </w:rPr>
        <w:t>9.54</w:t>
      </w:r>
      <w:r>
        <w:rPr>
          <w:rFonts w:hint="eastAsia" w:ascii="仿宋" w:hAnsi="仿宋" w:eastAsia="仿宋" w:cs="仿宋"/>
          <w:color w:val="auto"/>
          <w:sz w:val="32"/>
          <w:szCs w:val="32"/>
        </w:rPr>
        <w:t>万元</w:t>
      </w:r>
      <w:r>
        <w:rPr>
          <w:rFonts w:hint="eastAsia" w:ascii="仿宋" w:hAnsi="仿宋" w:eastAsia="仿宋" w:cs="仿宋"/>
          <w:sz w:val="32"/>
          <w:szCs w:val="32"/>
        </w:rPr>
        <w:t>，较上年减少</w:t>
      </w:r>
      <w:r>
        <w:rPr>
          <w:rFonts w:hint="eastAsia" w:ascii="仿宋" w:hAnsi="仿宋" w:eastAsia="仿宋" w:cs="仿宋"/>
          <w:sz w:val="32"/>
          <w:szCs w:val="32"/>
          <w:lang w:val="en-US" w:eastAsia="zh-CN"/>
        </w:rPr>
        <w:t>0.18</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上年补发有遗属补贴。</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lang w:eastAsia="zh-CN"/>
        </w:rPr>
        <w:t>2022年</w:t>
      </w:r>
      <w:r>
        <w:rPr>
          <w:rFonts w:hint="eastAsia" w:ascii="仿宋" w:hAnsi="仿宋" w:eastAsia="仿宋" w:cs="仿宋"/>
          <w:sz w:val="32"/>
          <w:szCs w:val="32"/>
        </w:rPr>
        <w:t>结转财政资金一般公共预算拨款支出情况。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本部门无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结转的一般公共预算拨款资金支出。</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政府性基金预算支出情况。</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当年政府性基金预算支出情况。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本部门无当年政府性基金预算收支，并已公开空表。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上年结转政府性基金预算支出情况。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highlight w:val="none"/>
          <w:lang w:val="en-US" w:eastAsia="zh-CN"/>
        </w:rPr>
        <w:t>本部门无2022年结转的政府性基金预算拨款支出，</w:t>
      </w:r>
      <w:r>
        <w:rPr>
          <w:rFonts w:hint="eastAsia" w:ascii="仿宋" w:hAnsi="仿宋" w:eastAsia="仿宋" w:cs="仿宋"/>
          <w:sz w:val="32"/>
          <w:szCs w:val="32"/>
        </w:rPr>
        <w:t>并已公开空表。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国有资本经营预算拨款收支情况。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本部门无当年国有资本经营预算拨款收支，并在财政拨款收支总体情况表中列示</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本部门无</w:t>
      </w:r>
      <w:r>
        <w:rPr>
          <w:rFonts w:hint="eastAsia" w:ascii="仿宋" w:hAnsi="仿宋" w:eastAsia="仿宋" w:cs="仿宋"/>
          <w:b w:val="0"/>
          <w:bCs w:val="0"/>
          <w:sz w:val="32"/>
          <w:szCs w:val="32"/>
          <w:highlight w:val="none"/>
          <w:lang w:eastAsia="zh-CN"/>
        </w:rPr>
        <w:t>2022年</w:t>
      </w:r>
      <w:r>
        <w:rPr>
          <w:rFonts w:hint="eastAsia" w:ascii="仿宋" w:hAnsi="仿宋" w:eastAsia="仿宋" w:cs="仿宋"/>
          <w:b w:val="0"/>
          <w:bCs w:val="0"/>
          <w:sz w:val="32"/>
          <w:szCs w:val="32"/>
          <w:highlight w:val="none"/>
        </w:rPr>
        <w:t>结转的国有资本经营预算拨款支出。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六、部门预算“三公”经费等预算情况说明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）2023年</w:t>
      </w:r>
      <w:r>
        <w:rPr>
          <w:rFonts w:hint="eastAsia" w:ascii="仿宋" w:hAnsi="仿宋" w:eastAsia="仿宋" w:cs="仿宋"/>
          <w:sz w:val="32"/>
          <w:szCs w:val="32"/>
        </w:rPr>
        <w:t>本部门当年一般公共预算“三公”经费预算支出</w:t>
      </w:r>
      <w:r>
        <w:rPr>
          <w:rFonts w:hint="eastAsia" w:ascii="仿宋" w:hAnsi="仿宋" w:eastAsia="仿宋" w:cs="仿宋"/>
          <w:sz w:val="32"/>
          <w:szCs w:val="32"/>
          <w:lang w:val="en-US" w:eastAsia="zh-CN"/>
        </w:rPr>
        <w:t>6.85</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0.07</w:t>
      </w:r>
      <w:r>
        <w:rPr>
          <w:rFonts w:hint="eastAsia" w:ascii="仿宋" w:hAnsi="仿宋" w:eastAsia="仿宋" w:cs="仿宋"/>
          <w:sz w:val="32"/>
          <w:szCs w:val="32"/>
        </w:rPr>
        <w:t>万元（</w:t>
      </w:r>
      <w:r>
        <w:rPr>
          <w:rFonts w:hint="eastAsia" w:ascii="仿宋" w:hAnsi="仿宋" w:eastAsia="仿宋" w:cs="仿宋"/>
          <w:sz w:val="32"/>
          <w:szCs w:val="32"/>
          <w:lang w:val="en-US" w:eastAsia="zh-CN"/>
        </w:rPr>
        <w:t>1.01</w:t>
      </w:r>
      <w:r>
        <w:rPr>
          <w:rFonts w:hint="eastAsia" w:ascii="仿宋" w:hAnsi="仿宋" w:eastAsia="仿宋" w:cs="仿宋"/>
          <w:sz w:val="32"/>
          <w:szCs w:val="32"/>
        </w:rPr>
        <w:t>%），减少的主要原因是</w:t>
      </w:r>
      <w:r>
        <w:rPr>
          <w:rFonts w:hint="eastAsia" w:ascii="仿宋" w:hAnsi="仿宋" w:eastAsia="仿宋" w:cs="仿宋"/>
          <w:sz w:val="32"/>
          <w:szCs w:val="32"/>
          <w:lang w:eastAsia="zh-CN"/>
        </w:rPr>
        <w:t>厉行节约，压缩开支</w:t>
      </w:r>
      <w:r>
        <w:rPr>
          <w:rFonts w:hint="eastAsia" w:ascii="仿宋" w:hAnsi="仿宋" w:eastAsia="仿宋" w:cs="仿宋"/>
          <w:sz w:val="32"/>
          <w:szCs w:val="32"/>
        </w:rPr>
        <w:t>。其中：</w:t>
      </w:r>
      <w:r>
        <w:rPr>
          <w:rFonts w:hint="eastAsia" w:ascii="仿宋" w:hAnsi="仿宋" w:eastAsia="仿宋" w:cs="仿宋"/>
          <w:sz w:val="32"/>
          <w:szCs w:val="32"/>
          <w:highlight w:val="none"/>
        </w:rPr>
        <w:t>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万元，较上年增加（减少）</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 w:hAnsi="仿宋" w:eastAsia="仿宋" w:cs="仿宋"/>
          <w:sz w:val="32"/>
          <w:szCs w:val="32"/>
          <w:highlight w:val="none"/>
        </w:rPr>
        <w:t>公务接待费</w:t>
      </w:r>
      <w:r>
        <w:rPr>
          <w:rFonts w:hint="eastAsia" w:ascii="仿宋" w:hAnsi="仿宋" w:eastAsia="仿宋" w:cs="仿宋"/>
          <w:sz w:val="32"/>
          <w:szCs w:val="32"/>
          <w:lang w:val="en-US" w:eastAsia="zh-CN"/>
        </w:rPr>
        <w:t>2.85</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0.07</w:t>
      </w:r>
      <w:r>
        <w:rPr>
          <w:rFonts w:hint="eastAsia" w:ascii="仿宋" w:hAnsi="仿宋" w:eastAsia="仿宋" w:cs="仿宋"/>
          <w:sz w:val="32"/>
          <w:szCs w:val="32"/>
        </w:rPr>
        <w:t>万元（</w:t>
      </w:r>
      <w:r>
        <w:rPr>
          <w:rFonts w:hint="eastAsia" w:ascii="仿宋" w:hAnsi="仿宋" w:eastAsia="仿宋" w:cs="仿宋"/>
          <w:sz w:val="32"/>
          <w:szCs w:val="32"/>
          <w:lang w:val="en-US" w:eastAsia="zh-CN"/>
        </w:rPr>
        <w:t>2.39</w:t>
      </w:r>
      <w:r>
        <w:rPr>
          <w:rFonts w:hint="eastAsia" w:ascii="仿宋" w:hAnsi="仿宋" w:eastAsia="仿宋" w:cs="仿宋"/>
          <w:sz w:val="32"/>
          <w:szCs w:val="32"/>
        </w:rPr>
        <w:t>%），减少的主要原因是</w:t>
      </w:r>
      <w:r>
        <w:rPr>
          <w:rFonts w:hint="eastAsia" w:ascii="仿宋" w:hAnsi="仿宋" w:eastAsia="仿宋" w:cs="仿宋"/>
          <w:sz w:val="32"/>
          <w:szCs w:val="32"/>
          <w:lang w:eastAsia="zh-CN"/>
        </w:rPr>
        <w:t>厉行节约，压缩开支</w:t>
      </w:r>
      <w:r>
        <w:rPr>
          <w:rFonts w:hint="eastAsia" w:ascii="仿宋" w:hAnsi="仿宋" w:eastAsia="仿宋" w:cs="仿宋"/>
          <w:sz w:val="32"/>
          <w:szCs w:val="32"/>
        </w:rPr>
        <w:t>；</w:t>
      </w:r>
      <w:r>
        <w:rPr>
          <w:rFonts w:hint="eastAsia" w:ascii="仿宋" w:hAnsi="仿宋" w:eastAsia="仿宋" w:cs="仿宋"/>
          <w:sz w:val="32"/>
          <w:szCs w:val="32"/>
          <w:highlight w:val="none"/>
          <w:u w:val="none"/>
          <w:lang w:eastAsia="zh-CN"/>
        </w:rPr>
        <w:t>公务用车运行费</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rPr>
        <w:t>万元，</w:t>
      </w:r>
      <w:r>
        <w:rPr>
          <w:rFonts w:hint="eastAsia" w:ascii="仿宋" w:hAnsi="仿宋" w:eastAsia="仿宋" w:cs="仿宋"/>
          <w:sz w:val="32"/>
          <w:szCs w:val="32"/>
          <w:lang w:eastAsia="zh-CN"/>
        </w:rPr>
        <w:t>与</w:t>
      </w:r>
      <w:r>
        <w:rPr>
          <w:rFonts w:hint="eastAsia" w:ascii="仿宋" w:hAnsi="仿宋" w:eastAsia="仿宋" w:cs="仿宋"/>
          <w:sz w:val="32"/>
          <w:szCs w:val="32"/>
        </w:rPr>
        <w:t>上</w:t>
      </w:r>
      <w:r>
        <w:rPr>
          <w:rFonts w:hint="eastAsia" w:ascii="仿宋" w:hAnsi="仿宋" w:eastAsia="仿宋" w:cs="仿宋"/>
          <w:i w:val="0"/>
          <w:caps w:val="0"/>
          <w:color w:val="333333"/>
          <w:spacing w:val="0"/>
          <w:kern w:val="0"/>
          <w:sz w:val="32"/>
          <w:szCs w:val="32"/>
          <w:shd w:val="clear" w:color="auto" w:fill="FFFFFF"/>
          <w:lang w:val="en-US" w:eastAsia="zh-CN" w:bidi="ar"/>
        </w:rPr>
        <w:t>年持平</w:t>
      </w:r>
      <w:r>
        <w:rPr>
          <w:rFonts w:hint="eastAsia" w:ascii="仿宋" w:hAnsi="仿宋" w:eastAsia="仿宋" w:cs="仿宋"/>
          <w:sz w:val="32"/>
          <w:szCs w:val="32"/>
        </w:rPr>
        <w:t>；</w:t>
      </w:r>
      <w:r>
        <w:rPr>
          <w:rFonts w:hint="eastAsia" w:ascii="仿宋" w:hAnsi="仿宋" w:eastAsia="仿宋" w:cs="仿宋"/>
          <w:sz w:val="32"/>
          <w:szCs w:val="32"/>
          <w:highlight w:val="none"/>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万元，较上年增加（减少）</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）2023年</w:t>
      </w:r>
      <w:r>
        <w:rPr>
          <w:rFonts w:hint="eastAsia" w:ascii="仿宋" w:hAnsi="仿宋" w:eastAsia="仿宋" w:cs="仿宋"/>
          <w:sz w:val="32"/>
          <w:szCs w:val="32"/>
          <w:lang w:val="en-US" w:eastAsia="zh-CN"/>
        </w:rPr>
        <w:t>本部门无会议费、培训费预算支出。</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本部门无2022年结转的财政拨款</w:t>
      </w:r>
      <w:r>
        <w:rPr>
          <w:rFonts w:hint="eastAsia" w:ascii="仿宋" w:hAnsi="仿宋" w:eastAsia="仿宋" w:cs="仿宋"/>
          <w:sz w:val="32"/>
          <w:szCs w:val="32"/>
        </w:rPr>
        <w:t>“三公”经费</w:t>
      </w:r>
      <w:r>
        <w:rPr>
          <w:rFonts w:hint="eastAsia" w:ascii="仿宋" w:hAnsi="仿宋" w:eastAsia="仿宋" w:cs="仿宋"/>
          <w:sz w:val="32"/>
          <w:szCs w:val="32"/>
          <w:lang w:eastAsia="zh-CN"/>
        </w:rPr>
        <w:t>支出。</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本部门无2022年结转的公务接待费、会议费、培训费支出。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截止</w:t>
      </w:r>
      <w:r>
        <w:rPr>
          <w:rFonts w:hint="eastAsia" w:ascii="仿宋" w:hAnsi="仿宋" w:eastAsia="仿宋" w:cs="仿宋"/>
          <w:sz w:val="32"/>
          <w:szCs w:val="32"/>
          <w:lang w:eastAsia="zh-CN"/>
        </w:rPr>
        <w:t>2022年</w:t>
      </w:r>
      <w:r>
        <w:rPr>
          <w:rFonts w:hint="eastAsia" w:ascii="仿宋" w:hAnsi="仿宋" w:eastAsia="仿宋" w:cs="仿宋"/>
          <w:sz w:val="32"/>
          <w:szCs w:val="32"/>
        </w:rPr>
        <w:t>底，本部门所属预算单位共有</w:t>
      </w:r>
      <w:r>
        <w:rPr>
          <w:rFonts w:hint="eastAsia" w:ascii="仿宋" w:hAnsi="仿宋" w:eastAsia="仿宋" w:cs="仿宋"/>
          <w:sz w:val="32"/>
          <w:szCs w:val="32"/>
          <w:highlight w:val="none"/>
        </w:rPr>
        <w:t>车辆</w:t>
      </w:r>
      <w:r>
        <w:rPr>
          <w:rFonts w:hint="eastAsia" w:ascii="仿宋" w:hAnsi="仿宋" w:eastAsia="仿宋" w:cs="仿宋"/>
          <w:sz w:val="32"/>
          <w:szCs w:val="32"/>
          <w:lang w:val="en-US" w:eastAsia="zh-CN"/>
        </w:rPr>
        <w:t>1</w:t>
      </w:r>
      <w:r>
        <w:rPr>
          <w:rFonts w:hint="eastAsia" w:ascii="仿宋" w:hAnsi="仿宋" w:eastAsia="仿宋" w:cs="仿宋"/>
          <w:sz w:val="32"/>
          <w:szCs w:val="32"/>
        </w:rPr>
        <w:t>辆，单价</w:t>
      </w:r>
      <w:r>
        <w:rPr>
          <w:rFonts w:hint="eastAsia" w:ascii="仿宋" w:hAnsi="仿宋" w:eastAsia="仿宋" w:cs="仿宋"/>
          <w:sz w:val="32"/>
          <w:szCs w:val="32"/>
          <w:highlight w:val="none"/>
        </w:rPr>
        <w:t>20万元以上的设备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r>
        <w:rPr>
          <w:rFonts w:hint="eastAsia" w:ascii="仿宋" w:hAnsi="仿宋" w:eastAsia="仿宋" w:cs="仿宋"/>
          <w:sz w:val="32"/>
          <w:szCs w:val="32"/>
          <w:lang w:eastAsia="zh-CN"/>
        </w:rPr>
        <w:t>2023年</w:t>
      </w:r>
      <w:r>
        <w:rPr>
          <w:rFonts w:hint="eastAsia" w:ascii="仿宋" w:hAnsi="仿宋" w:eastAsia="仿宋" w:cs="仿宋"/>
          <w:sz w:val="32"/>
          <w:szCs w:val="32"/>
        </w:rPr>
        <w:t>当年部门预算安排购置车辆</w:t>
      </w:r>
      <w:r>
        <w:rPr>
          <w:rFonts w:hint="eastAsia" w:ascii="仿宋" w:hAnsi="仿宋" w:eastAsia="仿宋" w:cs="仿宋"/>
          <w:sz w:val="32"/>
          <w:szCs w:val="32"/>
          <w:lang w:val="en-US" w:eastAsia="zh-CN"/>
        </w:rPr>
        <w:t>0</w:t>
      </w:r>
      <w:r>
        <w:rPr>
          <w:rFonts w:hint="eastAsia" w:ascii="仿宋" w:hAnsi="仿宋" w:eastAsia="仿宋" w:cs="仿宋"/>
          <w:sz w:val="32"/>
          <w:szCs w:val="32"/>
        </w:rPr>
        <w:t>辆；安排购置单价20万元以上的设备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rPr>
        <w:t>本部门无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结转的财政拨款支出资产购置</w:t>
      </w:r>
      <w:r>
        <w:rPr>
          <w:rFonts w:hint="eastAsia" w:ascii="仿宋" w:hAnsi="仿宋" w:eastAsia="仿宋" w:cs="仿宋"/>
          <w:sz w:val="32"/>
          <w:szCs w:val="32"/>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317" w:leftChars="0" w:firstLine="480" w:firstLine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部门政府采购情况说明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当年本部门政府采购预算共</w:t>
      </w:r>
      <w:r>
        <w:rPr>
          <w:rFonts w:hint="eastAsia" w:ascii="仿宋" w:hAnsi="仿宋" w:eastAsia="仿宋" w:cs="仿宋"/>
          <w:sz w:val="32"/>
          <w:szCs w:val="32"/>
          <w:highlight w:val="none"/>
          <w:lang w:val="en-US" w:eastAsia="zh-CN"/>
        </w:rPr>
        <w:t>105.00</w:t>
      </w:r>
      <w:r>
        <w:rPr>
          <w:rFonts w:hint="eastAsia" w:ascii="仿宋" w:hAnsi="仿宋" w:eastAsia="仿宋" w:cs="仿宋"/>
          <w:sz w:val="32"/>
          <w:szCs w:val="32"/>
          <w:highlight w:val="none"/>
        </w:rPr>
        <w:t>万元，其中政府采购货物类预算</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万元、政府采购服务类预算</w:t>
      </w:r>
      <w:r>
        <w:rPr>
          <w:rFonts w:hint="eastAsia" w:ascii="仿宋" w:hAnsi="仿宋" w:eastAsia="仿宋" w:cs="仿宋"/>
          <w:sz w:val="32"/>
          <w:szCs w:val="32"/>
          <w:highlight w:val="none"/>
          <w:lang w:val="en-US" w:eastAsia="zh-CN"/>
        </w:rPr>
        <w:t>105.00</w:t>
      </w:r>
      <w:r>
        <w:rPr>
          <w:rFonts w:hint="eastAsia" w:ascii="仿宋" w:hAnsi="仿宋" w:eastAsia="仿宋" w:cs="仿宋"/>
          <w:sz w:val="32"/>
          <w:szCs w:val="32"/>
          <w:highlight w:val="none"/>
        </w:rPr>
        <w:t>万元、政府采购工程类预算</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万元（详见公开报表中的政府采购表）。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本部门无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结转的政府采购资金支出</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九、部门预算绩效目标说明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本部门绩效目标管理全覆盖，涉及当年一般公共预算拨款</w:t>
      </w:r>
      <w:r>
        <w:rPr>
          <w:rFonts w:hint="eastAsia" w:ascii="仿宋" w:hAnsi="仿宋" w:eastAsia="仿宋" w:cs="仿宋"/>
          <w:sz w:val="32"/>
          <w:szCs w:val="32"/>
          <w:lang w:val="en-US" w:eastAsia="zh-CN"/>
        </w:rPr>
        <w:t>1046.99</w:t>
      </w:r>
      <w:r>
        <w:rPr>
          <w:rFonts w:hint="eastAsia" w:ascii="仿宋" w:hAnsi="仿宋" w:eastAsia="仿宋" w:cs="仿宋"/>
          <w:sz w:val="32"/>
          <w:szCs w:val="32"/>
        </w:rPr>
        <w:t>万元,当年政府性基金预算拨款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万元，当年国有资本经营预算拨款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万元（详见公开报表中的绩效目标表）。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red"/>
          <w:lang w:eastAsia="zh-CN"/>
        </w:rPr>
      </w:pPr>
      <w:r>
        <w:rPr>
          <w:rFonts w:hint="eastAsia" w:ascii="仿宋" w:hAnsi="仿宋" w:eastAsia="仿宋" w:cs="仿宋"/>
          <w:sz w:val="32"/>
          <w:szCs w:val="32"/>
        </w:rPr>
        <w:t>本部门无</w:t>
      </w:r>
      <w:r>
        <w:rPr>
          <w:rFonts w:hint="eastAsia" w:ascii="仿宋" w:hAnsi="仿宋" w:eastAsia="仿宋" w:cs="仿宋"/>
          <w:sz w:val="32"/>
          <w:szCs w:val="32"/>
          <w:lang w:eastAsia="zh-CN"/>
        </w:rPr>
        <w:t>2022年</w:t>
      </w:r>
      <w:r>
        <w:rPr>
          <w:rFonts w:hint="eastAsia" w:ascii="仿宋" w:hAnsi="仿宋" w:eastAsia="仿宋" w:cs="仿宋"/>
          <w:sz w:val="32"/>
          <w:szCs w:val="32"/>
        </w:rPr>
        <w:t>结转的财政拨款支出涉及的绩效目标管理。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本部门当年机关运行经费预算安排</w:t>
      </w:r>
      <w:r>
        <w:rPr>
          <w:rFonts w:hint="eastAsia" w:ascii="仿宋" w:hAnsi="仿宋" w:eastAsia="仿宋" w:cs="仿宋"/>
          <w:sz w:val="32"/>
          <w:szCs w:val="32"/>
          <w:lang w:val="en-US" w:eastAsia="zh-CN"/>
        </w:rPr>
        <w:t>35.48</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15.79</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部门人员增加，公务运转经费根据情况增加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rPr>
        <w:t>本部门无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结转的财政拨款机关运行经费支出。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十一、</w:t>
      </w:r>
      <w:r>
        <w:rPr>
          <w:rFonts w:hint="eastAsia" w:ascii="仿宋" w:hAnsi="仿宋" w:eastAsia="仿宋" w:cs="仿宋"/>
          <w:b/>
          <w:bCs/>
          <w:sz w:val="32"/>
          <w:szCs w:val="32"/>
        </w:rPr>
        <w:t>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1.机关运行经费：指各部门的公用经费，包括办公及印刷费、邮电费、差旅费、会议费、福利费、日常维修费、专用材料及一般设备购置费、办公用房水电费、办公用房取暖费、办公用房物业管理费、</w:t>
      </w:r>
      <w:r>
        <w:rPr>
          <w:rFonts w:hint="eastAsia" w:ascii="仿宋" w:hAnsi="仿宋" w:eastAsia="仿宋" w:cs="仿宋"/>
          <w:sz w:val="32"/>
          <w:szCs w:val="32"/>
          <w:lang w:eastAsia="zh-CN"/>
        </w:rPr>
        <w:t>公务用车运行费</w:t>
      </w:r>
      <w:r>
        <w:rPr>
          <w:rFonts w:hint="eastAsia" w:ascii="仿宋" w:hAnsi="仿宋" w:eastAsia="仿宋" w:cs="仿宋"/>
          <w:sz w:val="32"/>
          <w:szCs w:val="32"/>
        </w:rPr>
        <w:t>以及其他费用。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详</w:t>
      </w:r>
      <w:r>
        <w:rPr>
          <w:rFonts w:hint="eastAsia" w:ascii="仿宋" w:hAnsi="仿宋" w:eastAsia="仿宋" w:cs="仿宋"/>
          <w:sz w:val="32"/>
          <w:szCs w:val="32"/>
        </w:rPr>
        <w:t>见附</w:t>
      </w:r>
      <w:r>
        <w:rPr>
          <w:rFonts w:hint="eastAsia" w:ascii="仿宋" w:hAnsi="仿宋" w:eastAsia="仿宋" w:cs="仿宋"/>
          <w:sz w:val="32"/>
          <w:szCs w:val="32"/>
          <w:lang w:eastAsia="zh-CN"/>
        </w:rPr>
        <w:t>表</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02686215"/>
    <w:multiLevelType w:val="singleLevel"/>
    <w:tmpl w:val="02686215"/>
    <w:lvl w:ilvl="0" w:tentative="0">
      <w:start w:val="2"/>
      <w:numFmt w:val="decimal"/>
      <w:suff w:val="nothing"/>
      <w:lvlText w:val="%1、"/>
      <w:lvlJc w:val="left"/>
    </w:lvl>
  </w:abstractNum>
  <w:abstractNum w:abstractNumId="2">
    <w:nsid w:val="0745B2B8"/>
    <w:multiLevelType w:val="singleLevel"/>
    <w:tmpl w:val="0745B2B8"/>
    <w:lvl w:ilvl="0" w:tentative="0">
      <w:start w:val="8"/>
      <w:numFmt w:val="chineseCounting"/>
      <w:suff w:val="nothing"/>
      <w:lvlText w:val="%1、"/>
      <w:lvlJc w:val="left"/>
      <w:pPr>
        <w:ind w:left="317"/>
      </w:pPr>
      <w:rPr>
        <w:rFonts w:hint="eastAsia"/>
      </w:rPr>
    </w:lvl>
  </w:abstractNum>
  <w:abstractNum w:abstractNumId="3">
    <w:nsid w:val="27254C28"/>
    <w:multiLevelType w:val="singleLevel"/>
    <w:tmpl w:val="27254C28"/>
    <w:lvl w:ilvl="0" w:tentative="0">
      <w:start w:val="2"/>
      <w:numFmt w:val="decimal"/>
      <w:suff w:val="nothing"/>
      <w:lvlText w:val="（%1）"/>
      <w:lvlJc w:val="left"/>
    </w:lvl>
  </w:abstractNum>
  <w:abstractNum w:abstractNumId="4">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YTQ4MmExYjg1ZmQ5MjQ1MmM4ZjNjOWNiNTQ0MTUifQ=="/>
  </w:docVars>
  <w:rsids>
    <w:rsidRoot w:val="1ED0381D"/>
    <w:rsid w:val="00D70262"/>
    <w:rsid w:val="018F2D13"/>
    <w:rsid w:val="02953D9A"/>
    <w:rsid w:val="03791D26"/>
    <w:rsid w:val="0466605A"/>
    <w:rsid w:val="04C92D64"/>
    <w:rsid w:val="04F35073"/>
    <w:rsid w:val="04F41A60"/>
    <w:rsid w:val="05E802A6"/>
    <w:rsid w:val="061D2748"/>
    <w:rsid w:val="06D7231D"/>
    <w:rsid w:val="075D6C6A"/>
    <w:rsid w:val="0773304F"/>
    <w:rsid w:val="089D1D43"/>
    <w:rsid w:val="0A653AEA"/>
    <w:rsid w:val="0AAB1747"/>
    <w:rsid w:val="0B473936"/>
    <w:rsid w:val="0B820553"/>
    <w:rsid w:val="0B8A1B09"/>
    <w:rsid w:val="0C805687"/>
    <w:rsid w:val="0CBB3C9F"/>
    <w:rsid w:val="0D053BAB"/>
    <w:rsid w:val="0D594F94"/>
    <w:rsid w:val="0DB94ADA"/>
    <w:rsid w:val="0E1F698E"/>
    <w:rsid w:val="0FA9052D"/>
    <w:rsid w:val="10163FB4"/>
    <w:rsid w:val="10A536CA"/>
    <w:rsid w:val="12B55B02"/>
    <w:rsid w:val="13DD192D"/>
    <w:rsid w:val="147F7E6C"/>
    <w:rsid w:val="148A425D"/>
    <w:rsid w:val="14C85364"/>
    <w:rsid w:val="14FA613E"/>
    <w:rsid w:val="15053ED9"/>
    <w:rsid w:val="15BA67E3"/>
    <w:rsid w:val="15EB6487"/>
    <w:rsid w:val="165C7AD6"/>
    <w:rsid w:val="166918D6"/>
    <w:rsid w:val="176724C1"/>
    <w:rsid w:val="18AF7F70"/>
    <w:rsid w:val="1A431FF4"/>
    <w:rsid w:val="1B746107"/>
    <w:rsid w:val="1CD64124"/>
    <w:rsid w:val="1E0072C5"/>
    <w:rsid w:val="1E1E7AD2"/>
    <w:rsid w:val="1ED0381D"/>
    <w:rsid w:val="20FE50B8"/>
    <w:rsid w:val="210F400E"/>
    <w:rsid w:val="229A281A"/>
    <w:rsid w:val="2383657E"/>
    <w:rsid w:val="23F45765"/>
    <w:rsid w:val="242E73FF"/>
    <w:rsid w:val="246C5345"/>
    <w:rsid w:val="24AB40AF"/>
    <w:rsid w:val="24FC6952"/>
    <w:rsid w:val="26CC76FD"/>
    <w:rsid w:val="272308AF"/>
    <w:rsid w:val="28064C78"/>
    <w:rsid w:val="28342A8F"/>
    <w:rsid w:val="2864072E"/>
    <w:rsid w:val="2A3E38E1"/>
    <w:rsid w:val="2BF2458F"/>
    <w:rsid w:val="2C627599"/>
    <w:rsid w:val="2F3B562F"/>
    <w:rsid w:val="2FC8494E"/>
    <w:rsid w:val="314B37FB"/>
    <w:rsid w:val="314E393A"/>
    <w:rsid w:val="31B733F7"/>
    <w:rsid w:val="385D1A98"/>
    <w:rsid w:val="38F70388"/>
    <w:rsid w:val="3A4434B4"/>
    <w:rsid w:val="3B055E9C"/>
    <w:rsid w:val="3D28036F"/>
    <w:rsid w:val="3D8407DF"/>
    <w:rsid w:val="3DFF32ED"/>
    <w:rsid w:val="3F503091"/>
    <w:rsid w:val="4008265B"/>
    <w:rsid w:val="41851E44"/>
    <w:rsid w:val="420B5D06"/>
    <w:rsid w:val="4248700C"/>
    <w:rsid w:val="465670F7"/>
    <w:rsid w:val="471D22FA"/>
    <w:rsid w:val="472B48D8"/>
    <w:rsid w:val="4741375D"/>
    <w:rsid w:val="47C702DF"/>
    <w:rsid w:val="48422B9F"/>
    <w:rsid w:val="488947B6"/>
    <w:rsid w:val="4FB64197"/>
    <w:rsid w:val="50572E30"/>
    <w:rsid w:val="51AA26CF"/>
    <w:rsid w:val="51AA5E26"/>
    <w:rsid w:val="52324C02"/>
    <w:rsid w:val="52C93A96"/>
    <w:rsid w:val="531A3416"/>
    <w:rsid w:val="538C5F53"/>
    <w:rsid w:val="54474AB6"/>
    <w:rsid w:val="5582405A"/>
    <w:rsid w:val="56051C6B"/>
    <w:rsid w:val="563F4648"/>
    <w:rsid w:val="57C07DEE"/>
    <w:rsid w:val="58FE3115"/>
    <w:rsid w:val="592D7B67"/>
    <w:rsid w:val="59D947AF"/>
    <w:rsid w:val="59F96CB8"/>
    <w:rsid w:val="5A5A0FB8"/>
    <w:rsid w:val="5BD23E00"/>
    <w:rsid w:val="5BF47018"/>
    <w:rsid w:val="5C653576"/>
    <w:rsid w:val="5E5C14C1"/>
    <w:rsid w:val="5F635E4B"/>
    <w:rsid w:val="60404B5F"/>
    <w:rsid w:val="6121708D"/>
    <w:rsid w:val="6134696F"/>
    <w:rsid w:val="61EE3D1B"/>
    <w:rsid w:val="62460F4D"/>
    <w:rsid w:val="62A365B5"/>
    <w:rsid w:val="65B7439B"/>
    <w:rsid w:val="66607F61"/>
    <w:rsid w:val="67606C1C"/>
    <w:rsid w:val="676942F4"/>
    <w:rsid w:val="68EA113C"/>
    <w:rsid w:val="699E67D8"/>
    <w:rsid w:val="69B23FEC"/>
    <w:rsid w:val="69E141D5"/>
    <w:rsid w:val="69F87A79"/>
    <w:rsid w:val="6C2C3490"/>
    <w:rsid w:val="6C540332"/>
    <w:rsid w:val="6DBE3A60"/>
    <w:rsid w:val="6E8A04A9"/>
    <w:rsid w:val="6F3075D5"/>
    <w:rsid w:val="6F5403ED"/>
    <w:rsid w:val="71A236EE"/>
    <w:rsid w:val="73843559"/>
    <w:rsid w:val="74B66D9A"/>
    <w:rsid w:val="75AC088F"/>
    <w:rsid w:val="76590D5F"/>
    <w:rsid w:val="77AD3FB4"/>
    <w:rsid w:val="781B6398"/>
    <w:rsid w:val="7839395D"/>
    <w:rsid w:val="788B613B"/>
    <w:rsid w:val="78935A62"/>
    <w:rsid w:val="7920167B"/>
    <w:rsid w:val="79506C52"/>
    <w:rsid w:val="7A3E4F09"/>
    <w:rsid w:val="7BF11232"/>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Char"/>
    <w:basedOn w:val="3"/>
    <w:next w:val="1"/>
    <w:qFormat/>
    <w:uiPriority w:val="0"/>
    <w:rPr>
      <w:rFonts w:ascii="Times New Roman" w:hAnsi="Times New Roman"/>
      <w:szCs w:val="24"/>
    </w:rPr>
  </w:style>
  <w:style w:type="paragraph" w:styleId="3">
    <w:name w:val="Document Map"/>
    <w:basedOn w:val="1"/>
    <w:qFormat/>
    <w:uiPriority w:val="0"/>
    <w:rPr>
      <w:rFonts w:ascii="宋体" w:hAnsi="Calibri" w:eastAsia="宋体" w:cs="Times New Roman"/>
      <w:sz w:val="18"/>
      <w:szCs w:val="18"/>
    </w:r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alpha val="98000"/>
                  </a:schemeClr>
                </a:solidFill>
                <a:latin typeface="+mn-lt"/>
                <a:ea typeface="+mn-ea"/>
                <a:cs typeface="+mn-cs"/>
              </a:defRPr>
            </a:pPr>
            <a:r>
              <a:rPr>
                <a:solidFill>
                  <a:schemeClr val="tx1">
                    <a:alpha val="98000"/>
                  </a:schemeClr>
                </a:solidFill>
              </a:rPr>
              <a:t>紫阳县交通运输局</a:t>
            </a:r>
            <a:endParaRPr>
              <a:solidFill>
                <a:schemeClr val="tx1">
                  <a:alpha val="98000"/>
                </a:schemeClr>
              </a:solidFill>
            </a:endParaRPr>
          </a:p>
        </c:rich>
      </c:tx>
      <c:layout>
        <c:manualLayout>
          <c:xMode val="edge"/>
          <c:yMode val="edge"/>
          <c:x val="0.328218314884134"/>
          <c:y val="0.0428251118817588"/>
        </c:manualLayout>
      </c:layout>
      <c:overlay val="0"/>
      <c:spPr>
        <a:noFill/>
        <a:ln>
          <a:noFill/>
        </a:ln>
        <a:effectLst/>
      </c:spPr>
    </c:title>
    <c:autoTitleDeleted val="0"/>
    <c:plotArea>
      <c:layout>
        <c:manualLayout>
          <c:layoutTarget val="inner"/>
          <c:xMode val="edge"/>
          <c:yMode val="edge"/>
          <c:x val="0.0537508896797153"/>
          <c:y val="0.194368932038835"/>
          <c:w val="0.952466472303207"/>
          <c:h val="0.612158415841584"/>
        </c:manualLayout>
      </c:layout>
      <c:barChart>
        <c:barDir val="col"/>
        <c:grouping val="clustered"/>
        <c:varyColors val="0"/>
        <c:ser>
          <c:idx val="0"/>
          <c:order val="0"/>
          <c:tx>
            <c:strRef>
              <c:f>Sheet1!$B$1</c:f>
              <c:strCache>
                <c:ptCount val="1"/>
                <c:pt idx="0">
                  <c:v>编制人员</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alpha val="98000"/>
                          </a:schemeClr>
                        </a:solidFill>
                        <a:latin typeface="+mn-lt"/>
                        <a:ea typeface="+mn-ea"/>
                        <a:cs typeface="+mn-cs"/>
                      </a:defRPr>
                    </a:pPr>
                    <a:r>
                      <a:rPr>
                        <a:solidFill>
                          <a:schemeClr val="tx1">
                            <a:alpha val="98000"/>
                          </a:schemeClr>
                        </a:solidFill>
                      </a:rPr>
                      <a:t>10人</a:t>
                    </a:r>
                    <a:endParaRPr>
                      <a:solidFill>
                        <a:schemeClr val="tx1">
                          <a:alpha val="98000"/>
                        </a:schemeClr>
                      </a:solidFill>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alpha val="98000"/>
                          </a:schemeClr>
                        </a:solidFill>
                        <a:latin typeface="+mn-lt"/>
                        <a:ea typeface="+mn-ea"/>
                        <a:cs typeface="+mn-cs"/>
                      </a:defRPr>
                    </a:pPr>
                    <a:r>
                      <a:rPr lang="en-US" altLang="zh-CN">
                        <a:solidFill>
                          <a:schemeClr val="tx1">
                            <a:alpha val="98000"/>
                          </a:schemeClr>
                        </a:solidFill>
                      </a:rPr>
                      <a:t>48</a:t>
                    </a:r>
                    <a:r>
                      <a:rPr>
                        <a:solidFill>
                          <a:schemeClr val="tx1">
                            <a:alpha val="98000"/>
                          </a:schemeClr>
                        </a:solidFill>
                      </a:rPr>
                      <a:t>人</a:t>
                    </a:r>
                    <a:endParaRPr>
                      <a:solidFill>
                        <a:schemeClr val="tx1">
                          <a:alpha val="98000"/>
                        </a:schemeClr>
                      </a:solidFill>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2"/>
              <c:delete val="1"/>
            </c:dLbl>
            <c:dLbl>
              <c:idx val="3"/>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alpha val="98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行政人员</c:v>
                </c:pt>
                <c:pt idx="1">
                  <c:v>事业人员</c:v>
                </c:pt>
                <c:pt idx="2">
                  <c:v>遗属人员</c:v>
                </c:pt>
                <c:pt idx="3">
                  <c:v>退休人员</c:v>
                </c:pt>
              </c:strCache>
            </c:strRef>
          </c:cat>
          <c:val>
            <c:numRef>
              <c:f>Sheet1!$B$2:$B$5</c:f>
              <c:numCache>
                <c:formatCode>General</c:formatCode>
                <c:ptCount val="4"/>
                <c:pt idx="0">
                  <c:v>10</c:v>
                </c:pt>
                <c:pt idx="1">
                  <c:v>48</c:v>
                </c:pt>
                <c:pt idx="2">
                  <c:v>0</c:v>
                </c:pt>
                <c:pt idx="3">
                  <c:v>0</c:v>
                </c:pt>
              </c:numCache>
            </c:numRef>
          </c:val>
        </c:ser>
        <c:ser>
          <c:idx val="1"/>
          <c:order val="1"/>
          <c:tx>
            <c:strRef>
              <c:f>Sheet1!$C$1</c:f>
              <c:strCache>
                <c:ptCount val="1"/>
                <c:pt idx="0">
                  <c:v>实有人员</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alpha val="98000"/>
                          </a:schemeClr>
                        </a:solidFill>
                        <a:latin typeface="+mn-lt"/>
                        <a:ea typeface="+mn-ea"/>
                        <a:cs typeface="+mn-cs"/>
                      </a:defRPr>
                    </a:pPr>
                    <a:r>
                      <a:rPr>
                        <a:solidFill>
                          <a:schemeClr val="tx1">
                            <a:alpha val="98000"/>
                          </a:schemeClr>
                        </a:solidFill>
                      </a:rPr>
                      <a:t>17人</a:t>
                    </a:r>
                    <a:endParaRPr>
                      <a:solidFill>
                        <a:schemeClr val="tx1">
                          <a:alpha val="98000"/>
                        </a:schemeClr>
                      </a:solidFill>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alpha val="98000"/>
                          </a:schemeClr>
                        </a:solidFill>
                        <a:latin typeface="+mn-lt"/>
                        <a:ea typeface="+mn-ea"/>
                        <a:cs typeface="+mn-cs"/>
                      </a:defRPr>
                    </a:pPr>
                    <a:r>
                      <a:rPr lang="en-US" altLang="zh-CN">
                        <a:solidFill>
                          <a:schemeClr val="tx1">
                            <a:alpha val="98000"/>
                          </a:schemeClr>
                        </a:solidFill>
                      </a:rPr>
                      <a:t>35</a:t>
                    </a:r>
                    <a:r>
                      <a:rPr>
                        <a:solidFill>
                          <a:schemeClr val="tx1">
                            <a:alpha val="98000"/>
                          </a:schemeClr>
                        </a:solidFill>
                      </a:rPr>
                      <a:t>人</a:t>
                    </a:r>
                    <a:endParaRPr>
                      <a:solidFill>
                        <a:schemeClr val="tx1">
                          <a:alpha val="98000"/>
                        </a:schemeClr>
                      </a:solidFill>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alpha val="98000"/>
                          </a:schemeClr>
                        </a:solidFill>
                        <a:latin typeface="+mn-lt"/>
                        <a:ea typeface="+mn-ea"/>
                        <a:cs typeface="+mn-cs"/>
                      </a:defRPr>
                    </a:pPr>
                    <a:r>
                      <a:rPr>
                        <a:solidFill>
                          <a:schemeClr val="tx1">
                            <a:alpha val="98000"/>
                          </a:schemeClr>
                        </a:solidFill>
                      </a:rPr>
                      <a:t>1人</a:t>
                    </a:r>
                    <a:endParaRPr>
                      <a:solidFill>
                        <a:schemeClr val="tx1">
                          <a:alpha val="98000"/>
                        </a:schemeClr>
                      </a:solidFill>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alpha val="98000"/>
                          </a:schemeClr>
                        </a:solidFill>
                        <a:latin typeface="+mn-lt"/>
                        <a:ea typeface="+mn-ea"/>
                        <a:cs typeface="+mn-cs"/>
                      </a:defRPr>
                    </a:pPr>
                    <a:r>
                      <a:rPr lang="en-US" altLang="zh-CN">
                        <a:solidFill>
                          <a:schemeClr val="tx1">
                            <a:alpha val="98000"/>
                          </a:schemeClr>
                        </a:solidFill>
                      </a:rPr>
                      <a:t>32</a:t>
                    </a:r>
                    <a:r>
                      <a:rPr>
                        <a:solidFill>
                          <a:schemeClr val="tx1">
                            <a:alpha val="98000"/>
                          </a:schemeClr>
                        </a:solidFill>
                      </a:rPr>
                      <a:t>人</a:t>
                    </a:r>
                    <a:endParaRPr>
                      <a:solidFill>
                        <a:schemeClr val="tx1">
                          <a:alpha val="98000"/>
                        </a:schemeClr>
                      </a:solidFill>
                    </a:endParaRP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alpha val="98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行政人员</c:v>
                </c:pt>
                <c:pt idx="1">
                  <c:v>事业人员</c:v>
                </c:pt>
                <c:pt idx="2">
                  <c:v>遗属人员</c:v>
                </c:pt>
                <c:pt idx="3">
                  <c:v>退休人员</c:v>
                </c:pt>
              </c:strCache>
            </c:strRef>
          </c:cat>
          <c:val>
            <c:numRef>
              <c:f>Sheet1!$C$2:$C$5</c:f>
              <c:numCache>
                <c:formatCode>General</c:formatCode>
                <c:ptCount val="4"/>
                <c:pt idx="0">
                  <c:v>17</c:v>
                </c:pt>
                <c:pt idx="1">
                  <c:v>35</c:v>
                </c:pt>
                <c:pt idx="2">
                  <c:v>1</c:v>
                </c:pt>
                <c:pt idx="3">
                  <c:v>32</c:v>
                </c:pt>
              </c:numCache>
            </c:numRef>
          </c:val>
        </c:ser>
        <c:dLbls>
          <c:showLegendKey val="0"/>
          <c:showVal val="1"/>
          <c:showCatName val="0"/>
          <c:showSerName val="0"/>
          <c:showPercent val="0"/>
          <c:showBubbleSize val="0"/>
        </c:dLbls>
        <c:gapWidth val="219"/>
        <c:overlap val="-27"/>
        <c:axId val="419014558"/>
        <c:axId val="361603392"/>
      </c:barChart>
      <c:catAx>
        <c:axId val="419014558"/>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alpha val="98000"/>
                  </a:schemeClr>
                </a:solidFill>
                <a:latin typeface="+mn-lt"/>
                <a:ea typeface="+mn-ea"/>
                <a:cs typeface="+mn-cs"/>
              </a:defRPr>
            </a:pPr>
          </a:p>
        </c:txPr>
        <c:crossAx val="361603392"/>
        <c:crosses val="autoZero"/>
        <c:auto val="1"/>
        <c:lblAlgn val="ctr"/>
        <c:lblOffset val="100"/>
        <c:noMultiLvlLbl val="0"/>
      </c:catAx>
      <c:valAx>
        <c:axId val="361603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alpha val="98000"/>
                  </a:schemeClr>
                </a:solidFill>
                <a:latin typeface="+mn-lt"/>
                <a:ea typeface="+mn-ea"/>
                <a:cs typeface="+mn-cs"/>
              </a:defRPr>
            </a:pPr>
          </a:p>
        </c:txPr>
        <c:crossAx val="419014558"/>
        <c:crosses val="autoZero"/>
        <c:crossBetween val="between"/>
        <c:majorUnit val="10"/>
        <c:minorUnit val="4"/>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alpha val="98000"/>
                  </a:schemeClr>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alpha val="98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alpha val="98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alpha val="98000"/>
            </a:schemeClr>
          </a:solidFill>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紫阳县交通运输局</a:t>
            </a:r>
          </a:p>
        </c:rich>
      </c:tx>
      <c:layout/>
      <c:overlay val="0"/>
      <c:spPr>
        <a:noFill/>
        <a:ln>
          <a:noFill/>
        </a:ln>
        <a:effectLst/>
      </c:spPr>
    </c:title>
    <c:autoTitleDeleted val="0"/>
    <c:plotArea>
      <c:layout>
        <c:manualLayout>
          <c:layoutTarget val="inner"/>
          <c:xMode val="edge"/>
          <c:yMode val="edge"/>
          <c:x val="0.091075"/>
          <c:y val="0.146833333333333"/>
          <c:w val="0.905175"/>
          <c:h val="0.7684"/>
        </c:manualLayout>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813.01</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001875"/>
                  <c:y val="0.010797192729890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1046.99</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2022年一般公共预算拨款</c:v>
                </c:pt>
                <c:pt idx="1">
                  <c:v>2023年一般公共预算拨款</c:v>
                </c:pt>
              </c:strCache>
            </c:strRef>
          </c:cat>
          <c:val>
            <c:numRef>
              <c:f>Sheet1!$B$2:$B$3</c:f>
              <c:numCache>
                <c:formatCode>General</c:formatCode>
                <c:ptCount val="2"/>
                <c:pt idx="0">
                  <c:v>813.01</c:v>
                </c:pt>
                <c:pt idx="1">
                  <c:v>1046.99</c:v>
                </c:pt>
              </c:numCache>
            </c:numRef>
          </c:val>
        </c:ser>
        <c:ser>
          <c:idx val="1"/>
          <c:order val="1"/>
          <c:tx>
            <c:strRef>
              <c:f>Sheet1!$C$1</c:f>
              <c:strCache>
                <c:ptCount val="1"/>
                <c:pt idx="0">
                  <c:v>系列 2</c:v>
                </c:pt>
              </c:strCache>
            </c:strRef>
          </c:tx>
          <c:spPr>
            <a:solidFill>
              <a:schemeClr val="accent2"/>
            </a:solidFill>
            <a:ln>
              <a:noFill/>
            </a:ln>
            <a:effectLst/>
          </c:spPr>
          <c:invertIfNegative val="0"/>
          <c:dLbls>
            <c:delete val="1"/>
          </c:dLbls>
          <c:cat>
            <c:strRef>
              <c:f>Sheet1!$A$2:$A$3</c:f>
              <c:strCache>
                <c:ptCount val="2"/>
                <c:pt idx="0">
                  <c:v>2022年一般公共预算拨款</c:v>
                </c:pt>
                <c:pt idx="1">
                  <c:v>2023年一般公共预算拨款</c:v>
                </c:pt>
              </c:strCache>
            </c:strRef>
          </c:cat>
          <c:val>
            <c:numRef>
              <c:f>Sheet1!$C$2:$C$3</c:f>
              <c:numCache>
                <c:formatCode>General</c:formatCode>
                <c:ptCount val="2"/>
                <c:pt idx="0">
                  <c:v>0</c:v>
                </c:pt>
                <c:pt idx="1">
                  <c:v>0</c:v>
                </c:pt>
              </c:numCache>
            </c:numRef>
          </c:val>
        </c:ser>
        <c:dLbls>
          <c:showLegendKey val="0"/>
          <c:showVal val="1"/>
          <c:showCatName val="0"/>
          <c:showSerName val="0"/>
          <c:showPercent val="0"/>
          <c:showBubbleSize val="0"/>
        </c:dLbls>
        <c:gapWidth val="219"/>
        <c:overlap val="-27"/>
        <c:axId val="293931166"/>
        <c:axId val="320222111"/>
      </c:barChart>
      <c:catAx>
        <c:axId val="29393116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0222111"/>
        <c:crosses val="autoZero"/>
        <c:auto val="1"/>
        <c:lblAlgn val="ctr"/>
        <c:lblOffset val="100"/>
        <c:noMultiLvlLbl val="0"/>
      </c:catAx>
      <c:valAx>
        <c:axId val="3202221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393116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紫阳县交通运输局</a:t>
            </a:r>
          </a:p>
        </c:rich>
      </c:tx>
      <c:layout/>
      <c:overlay val="0"/>
      <c:spPr>
        <a:noFill/>
        <a:ln>
          <a:noFill/>
        </a:ln>
        <a:effectLst/>
      </c:spPr>
    </c:title>
    <c:autoTitleDeleted val="0"/>
    <c:plotArea>
      <c:layout>
        <c:manualLayout>
          <c:layoutTarget val="inner"/>
          <c:xMode val="edge"/>
          <c:yMode val="edge"/>
          <c:x val="0.068825"/>
          <c:y val="0.129166666666667"/>
          <c:w val="0.905175"/>
          <c:h val="0.7169"/>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Lbl>
              <c:idx val="0"/>
              <c:layout>
                <c:manualLayout>
                  <c:x val="-0.0337423312883436"/>
                  <c:y val="-0.022481509245377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672.46</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125"/>
                  <c:y val="-0.054166666666666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60.21</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9625"/>
                  <c:y val="-0.0021666666666666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29.46</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5"/>
                  <c:y val="-0.0021666666666666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50.88</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交通运输</c:v>
                </c:pt>
                <c:pt idx="1">
                  <c:v>机关事业基本养老保险</c:v>
                </c:pt>
                <c:pt idx="2">
                  <c:v>行政单位医疗</c:v>
                </c:pt>
                <c:pt idx="3">
                  <c:v>住房公积金</c:v>
                </c:pt>
              </c:strCache>
            </c:strRef>
          </c:cat>
          <c:val>
            <c:numRef>
              <c:f>Sheet1!$B$2:$B$5</c:f>
              <c:numCache>
                <c:formatCode>General</c:formatCode>
                <c:ptCount val="4"/>
                <c:pt idx="0">
                  <c:v>672.46</c:v>
                </c:pt>
                <c:pt idx="1">
                  <c:v>60.21</c:v>
                </c:pt>
                <c:pt idx="2">
                  <c:v>29.46</c:v>
                </c:pt>
                <c:pt idx="3">
                  <c:v>50.88</c:v>
                </c:pt>
              </c:numCache>
            </c:numRef>
          </c:val>
        </c:ser>
        <c:ser>
          <c:idx val="1"/>
          <c:order val="1"/>
          <c:tx>
            <c:strRef>
              <c:f>Sheet1!$C$1</c:f>
              <c:strCache>
                <c:ptCount val="1"/>
                <c:pt idx="0">
                  <c:v>2023年</c:v>
                </c:pt>
              </c:strCache>
            </c:strRef>
          </c:tx>
          <c:spPr>
            <a:solidFill>
              <a:schemeClr val="accent2"/>
            </a:solidFill>
            <a:ln>
              <a:noFill/>
            </a:ln>
            <a:effectLst/>
          </c:spPr>
          <c:invertIfNegative val="0"/>
          <c:dLbls>
            <c:dLbl>
              <c:idx val="0"/>
              <c:layout>
                <c:manualLayout>
                  <c:x val="0.114"/>
                  <c:y val="0.0063333333333333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890.16</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69.93</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
                  <c:y val="-0.054166666666666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34.37</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35"/>
                  <c:y val="-0.018833333333333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52.52</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交通运输</c:v>
                </c:pt>
                <c:pt idx="1">
                  <c:v>机关事业基本养老保险</c:v>
                </c:pt>
                <c:pt idx="2">
                  <c:v>行政单位医疗</c:v>
                </c:pt>
                <c:pt idx="3">
                  <c:v>住房公积金</c:v>
                </c:pt>
              </c:strCache>
            </c:strRef>
          </c:cat>
          <c:val>
            <c:numRef>
              <c:f>Sheet1!$C$2:$C$5</c:f>
              <c:numCache>
                <c:formatCode>General</c:formatCode>
                <c:ptCount val="4"/>
                <c:pt idx="0">
                  <c:v>890.16</c:v>
                </c:pt>
                <c:pt idx="1">
                  <c:v>69.93</c:v>
                </c:pt>
                <c:pt idx="2">
                  <c:v>34.37</c:v>
                </c:pt>
                <c:pt idx="3">
                  <c:v>52.52</c:v>
                </c:pt>
              </c:numCache>
            </c:numRef>
          </c:val>
        </c:ser>
        <c:dLbls>
          <c:showLegendKey val="0"/>
          <c:showVal val="0"/>
          <c:showCatName val="0"/>
          <c:showSerName val="0"/>
          <c:showPercent val="0"/>
          <c:showBubbleSize val="0"/>
        </c:dLbls>
        <c:gapWidth val="219"/>
        <c:overlap val="-27"/>
        <c:axId val="980006422"/>
        <c:axId val="740755018"/>
      </c:barChart>
      <c:catAx>
        <c:axId val="98000642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0755018"/>
        <c:crosses val="autoZero"/>
        <c:auto val="1"/>
        <c:lblAlgn val="ctr"/>
        <c:lblOffset val="100"/>
        <c:noMultiLvlLbl val="0"/>
      </c:catAx>
      <c:valAx>
        <c:axId val="74075501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0006422"/>
        <c:crosses val="autoZero"/>
        <c:crossBetween val="between"/>
      </c:valAx>
      <c:spPr>
        <a:noFill/>
        <a:ln>
          <a:noFill/>
        </a:ln>
        <a:effectLst/>
      </c:spPr>
    </c:plotArea>
    <c:legend>
      <c:legendPos val="b"/>
      <c:layout>
        <c:manualLayout>
          <c:xMode val="edge"/>
          <c:yMode val="edge"/>
          <c:x val="0.365828220858896"/>
          <c:y val="0.93369719021629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4424</Words>
  <Characters>4774</Characters>
  <Lines>0</Lines>
  <Paragraphs>0</Paragraphs>
  <TotalTime>17</TotalTime>
  <ScaleCrop>false</ScaleCrop>
  <LinksUpToDate>false</LinksUpToDate>
  <CharactersWithSpaces>4825</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紫阳县交通运输局（本级）</cp:lastModifiedBy>
  <cp:lastPrinted>2020-08-03T08:28:00Z</cp:lastPrinted>
  <dcterms:modified xsi:type="dcterms:W3CDTF">2023-05-12T00:48:43Z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CAF4C4EA64404B83B4E6BE0114410B71</vt:lpwstr>
  </property>
</Properties>
</file>