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黑体" w:hAnsi="黑体" w:eastAsia="黑体" w:cs="黑体"/>
          <w:b/>
          <w:bCs/>
          <w:sz w:val="21"/>
          <w:szCs w:val="21"/>
        </w:rPr>
      </w:pP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紫阳县卫生健康局</w:t>
      </w:r>
    </w:p>
    <w:p>
      <w:pPr>
        <w:spacing w:line="360" w:lineRule="auto"/>
        <w:ind w:firstLine="643"/>
        <w:jc w:val="center"/>
        <w:rPr>
          <w:rFonts w:ascii="黑体" w:hAnsi="黑体" w:eastAsia="黑体" w:cs="黑体"/>
          <w:b/>
          <w:bCs/>
          <w:sz w:val="32"/>
          <w:szCs w:val="32"/>
        </w:rPr>
      </w:pPr>
      <w:r>
        <w:rPr>
          <w:rFonts w:hint="eastAsia" w:ascii="黑体" w:hAnsi="黑体" w:eastAsia="黑体" w:cs="黑体"/>
          <w:b/>
          <w:bCs/>
          <w:sz w:val="32"/>
          <w:szCs w:val="32"/>
        </w:rPr>
        <w:t>2023年部门综合预算汇总</w:t>
      </w:r>
    </w:p>
    <w:p>
      <w:pPr>
        <w:spacing w:line="360" w:lineRule="auto"/>
        <w:ind w:firstLine="640"/>
        <w:jc w:val="center"/>
        <w:rPr>
          <w:rFonts w:ascii="黑体" w:hAnsi="黑体" w:eastAsia="黑体" w:cs="黑体"/>
          <w:sz w:val="32"/>
          <w:szCs w:val="32"/>
        </w:rPr>
      </w:pPr>
    </w:p>
    <w:p>
      <w:pPr>
        <w:spacing w:line="360" w:lineRule="auto"/>
        <w:ind w:firstLine="643"/>
        <w:jc w:val="center"/>
        <w:rPr>
          <w:rFonts w:ascii="仿宋" w:hAnsi="仿宋" w:eastAsia="仿宋" w:cs="黑体"/>
          <w:b/>
          <w:bCs/>
          <w:sz w:val="32"/>
          <w:szCs w:val="32"/>
        </w:rPr>
      </w:pPr>
      <w:r>
        <w:rPr>
          <w:rFonts w:hint="eastAsia" w:ascii="仿宋" w:hAnsi="仿宋" w:eastAsia="仿宋" w:cs="黑体"/>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黑体"/>
          <w:b/>
          <w:bCs/>
          <w:sz w:val="32"/>
          <w:szCs w:val="32"/>
        </w:rPr>
        <w:t xml:space="preserve"> 第一部分   部门概况</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一、部门主要职责及机构设置</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二、2023年年度部门工作任务</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三、部门预算单位构成</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四、部门人员情况说明</w:t>
      </w:r>
    </w:p>
    <w:p>
      <w:pPr>
        <w:spacing w:line="360" w:lineRule="auto"/>
        <w:ind w:firstLine="643"/>
        <w:jc w:val="center"/>
        <w:rPr>
          <w:rFonts w:ascii="仿宋" w:hAnsi="仿宋" w:eastAsia="仿宋" w:cs="黑体"/>
          <w:b/>
          <w:bCs/>
          <w:sz w:val="32"/>
          <w:szCs w:val="32"/>
        </w:rPr>
      </w:pPr>
      <w:r>
        <w:rPr>
          <w:rFonts w:hint="eastAsia" w:ascii="仿宋" w:hAnsi="仿宋" w:eastAsia="仿宋" w:cs="黑体"/>
          <w:b/>
          <w:bCs/>
          <w:sz w:val="32"/>
          <w:szCs w:val="32"/>
        </w:rPr>
        <w:t>第二部分   收支情况</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五、2023年部门预算收支说明</w:t>
      </w:r>
    </w:p>
    <w:p>
      <w:pPr>
        <w:spacing w:line="360" w:lineRule="auto"/>
        <w:ind w:firstLine="643"/>
        <w:jc w:val="center"/>
        <w:rPr>
          <w:rFonts w:ascii="仿宋" w:hAnsi="仿宋" w:eastAsia="仿宋" w:cs="黑体"/>
          <w:b/>
          <w:bCs/>
          <w:sz w:val="32"/>
          <w:szCs w:val="32"/>
        </w:rPr>
      </w:pPr>
      <w:r>
        <w:rPr>
          <w:rFonts w:hint="eastAsia" w:ascii="仿宋" w:hAnsi="仿宋" w:eastAsia="仿宋" w:cs="黑体"/>
          <w:b/>
          <w:bCs/>
          <w:sz w:val="32"/>
          <w:szCs w:val="32"/>
        </w:rPr>
        <w:t>第三部分   其他说明情况</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六、部门预算“三公”经费等情况说明</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七、部门国有资产占有使用及资产购置情况说明</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八、部门政府采购情况说明</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九、部门预算绩效目标说明</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十、机关运行经费安排说明</w:t>
      </w:r>
    </w:p>
    <w:p>
      <w:pPr>
        <w:spacing w:line="360" w:lineRule="auto"/>
        <w:ind w:firstLine="640"/>
        <w:rPr>
          <w:rFonts w:ascii="仿宋" w:hAnsi="仿宋" w:eastAsia="仿宋" w:cs="黑体"/>
          <w:sz w:val="32"/>
          <w:szCs w:val="32"/>
        </w:rPr>
      </w:pPr>
      <w:r>
        <w:rPr>
          <w:rFonts w:hint="eastAsia" w:ascii="仿宋" w:hAnsi="仿宋" w:eastAsia="仿宋" w:cs="黑体"/>
          <w:sz w:val="32"/>
          <w:szCs w:val="32"/>
        </w:rPr>
        <w:t>十一、专业名词解释</w:t>
      </w:r>
    </w:p>
    <w:p>
      <w:pPr>
        <w:spacing w:line="360" w:lineRule="auto"/>
        <w:ind w:firstLine="643"/>
        <w:jc w:val="center"/>
        <w:rPr>
          <w:rFonts w:ascii="仿宋" w:hAnsi="仿宋" w:eastAsia="仿宋" w:cs="黑体"/>
          <w:b/>
          <w:bCs/>
          <w:sz w:val="32"/>
          <w:szCs w:val="32"/>
        </w:rPr>
      </w:pPr>
      <w:r>
        <w:rPr>
          <w:rFonts w:hint="eastAsia" w:ascii="仿宋" w:hAnsi="仿宋" w:eastAsia="仿宋" w:cs="黑体"/>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pStyle w:val="6"/>
        <w:ind w:firstLine="640"/>
        <w:rPr>
          <w:rFonts w:ascii="仿宋" w:hAnsi="仿宋" w:eastAsia="仿宋"/>
          <w:sz w:val="32"/>
          <w:szCs w:val="32"/>
        </w:rPr>
      </w:pPr>
    </w:p>
    <w:p>
      <w:pPr>
        <w:spacing w:line="360" w:lineRule="auto"/>
        <w:ind w:firstLine="0" w:firstLineChars="0"/>
        <w:jc w:val="center"/>
        <w:rPr>
          <w:rFonts w:ascii="仿宋" w:hAnsi="仿宋" w:eastAsia="仿宋" w:cs="宋体"/>
          <w:b/>
          <w:bCs/>
          <w:sz w:val="32"/>
          <w:szCs w:val="32"/>
        </w:rPr>
      </w:pPr>
      <w:r>
        <w:rPr>
          <w:rFonts w:hint="eastAsia" w:ascii="仿宋" w:hAnsi="仿宋" w:eastAsia="仿宋" w:cs="宋体"/>
          <w:b/>
          <w:bCs/>
          <w:sz w:val="32"/>
          <w:szCs w:val="32"/>
        </w:rPr>
        <w:t>第一部分  部门概况</w:t>
      </w:r>
    </w:p>
    <w:p>
      <w:pPr>
        <w:spacing w:line="360" w:lineRule="auto"/>
        <w:ind w:firstLine="643"/>
        <w:rPr>
          <w:rFonts w:ascii="仿宋" w:hAnsi="仿宋" w:eastAsia="仿宋" w:cstheme="majorEastAsia"/>
          <w:b/>
          <w:bCs/>
          <w:sz w:val="32"/>
          <w:szCs w:val="32"/>
        </w:rPr>
      </w:pPr>
      <w:r>
        <w:rPr>
          <w:rFonts w:hint="eastAsia" w:ascii="仿宋" w:hAnsi="仿宋" w:eastAsia="仿宋" w:cstheme="majorEastAsia"/>
          <w:b/>
          <w:bCs/>
          <w:sz w:val="32"/>
          <w:szCs w:val="32"/>
        </w:rPr>
        <w:t>一、部门主要职责及机构设置</w:t>
      </w:r>
    </w:p>
    <w:p>
      <w:pPr>
        <w:spacing w:line="360" w:lineRule="auto"/>
        <w:ind w:firstLine="643"/>
        <w:rPr>
          <w:rFonts w:ascii="仿宋" w:hAnsi="仿宋" w:eastAsia="仿宋" w:cs="仿宋"/>
          <w:b/>
          <w:sz w:val="32"/>
          <w:szCs w:val="32"/>
        </w:rPr>
      </w:pPr>
      <w:r>
        <w:rPr>
          <w:rFonts w:hint="eastAsia" w:ascii="仿宋" w:hAnsi="仿宋" w:eastAsia="仿宋" w:cs="仿宋"/>
          <w:b/>
          <w:sz w:val="32"/>
          <w:szCs w:val="32"/>
        </w:rPr>
        <w:t>（一）部门主要职责</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1.贯彻国家卫生健康工作的法律法规和政策规定，组织拟订全县国民健康政策，协调推进健康紫阳战略实施</w:t>
      </w:r>
      <w:r>
        <w:rPr>
          <w:rFonts w:hint="eastAsia" w:ascii="仿宋" w:hAnsi="仿宋" w:eastAsia="仿宋" w:cs="仿宋"/>
          <w:sz w:val="32"/>
          <w:szCs w:val="32"/>
          <w:lang w:eastAsia="zh-CN"/>
        </w:rPr>
        <w:t>；</w:t>
      </w:r>
      <w:r>
        <w:rPr>
          <w:rFonts w:hint="eastAsia" w:ascii="仿宋" w:hAnsi="仿宋" w:eastAsia="仿宋" w:cs="仿宋"/>
          <w:sz w:val="32"/>
          <w:szCs w:val="32"/>
        </w:rPr>
        <w:t>拟订全县卫生健康事业发展规划和政策措施，执行卫生健康地方标准和技术规范；统筹规划全县卫生健康资源配置</w:t>
      </w:r>
      <w:r>
        <w:rPr>
          <w:rFonts w:hint="eastAsia" w:ascii="仿宋" w:hAnsi="仿宋" w:eastAsia="仿宋" w:cs="仿宋"/>
          <w:sz w:val="32"/>
          <w:szCs w:val="32"/>
          <w:lang w:eastAsia="zh-CN"/>
        </w:rPr>
        <w:t>；</w:t>
      </w:r>
      <w:r>
        <w:rPr>
          <w:rFonts w:hint="eastAsia" w:ascii="仿宋" w:hAnsi="仿宋" w:eastAsia="仿宋" w:cs="仿宋"/>
          <w:sz w:val="32"/>
          <w:szCs w:val="32"/>
        </w:rPr>
        <w:t>指导区域卫生健康规划编制和实施；负责卫生健康信息化建设，依法组织实施统计调查；制定并组织实施推进卫生健康基本公共服务均等化、普惠化、便捷化和公共资源向基层延伸等政策措施。</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2.协调推进深化医药卫生体制改革，贯彻落实国家深化医药卫生体制改革重大方针政策</w:t>
      </w:r>
      <w:r>
        <w:rPr>
          <w:rFonts w:hint="eastAsia" w:ascii="仿宋" w:hAnsi="仿宋" w:eastAsia="仿宋" w:cs="仿宋"/>
          <w:sz w:val="32"/>
          <w:szCs w:val="32"/>
          <w:lang w:eastAsia="zh-CN"/>
        </w:rPr>
        <w:t>；</w:t>
      </w:r>
      <w:r>
        <w:rPr>
          <w:rFonts w:hint="eastAsia" w:ascii="仿宋" w:hAnsi="仿宋" w:eastAsia="仿宋" w:cs="仿宋"/>
          <w:sz w:val="32"/>
          <w:szCs w:val="32"/>
        </w:rPr>
        <w:t>研究提出全县深化医药卫生体制改革重大政策、措施和建议</w:t>
      </w:r>
      <w:r>
        <w:rPr>
          <w:rFonts w:hint="eastAsia" w:ascii="仿宋" w:hAnsi="仿宋" w:eastAsia="仿宋" w:cs="仿宋"/>
          <w:sz w:val="32"/>
          <w:szCs w:val="32"/>
          <w:lang w:eastAsia="zh-CN"/>
        </w:rPr>
        <w:t>；</w:t>
      </w:r>
      <w:r>
        <w:rPr>
          <w:rFonts w:hint="eastAsia" w:ascii="仿宋" w:hAnsi="仿宋" w:eastAsia="仿宋" w:cs="仿宋"/>
          <w:sz w:val="32"/>
          <w:szCs w:val="32"/>
        </w:rPr>
        <w:t>组织深化公立医院综合改革，健全现代医院管理制度，拟订并实施推动卫生健康公共服务提供主体多元化、方式多样化的政策措施，提出全县医疗服务和药品价格政策的建议。</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3.组织实施国家药物政策和国家基本药物制度，执行国家药品法典和国家基本药物目录，开展药品使用监测、临床综合 评价和短缺药品预警，提出基本药物生产鼓励扶持政策建议。</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4.拟订并组织落实全县疾病预防控制规划、国家免疫规划以及严重危害人民健康公共卫生问题的干预措施</w:t>
      </w:r>
      <w:r>
        <w:rPr>
          <w:rFonts w:hint="eastAsia" w:ascii="仿宋" w:hAnsi="仿宋" w:eastAsia="仿宋" w:cs="仿宋"/>
          <w:sz w:val="32"/>
          <w:szCs w:val="32"/>
          <w:lang w:eastAsia="zh-CN"/>
        </w:rPr>
        <w:t>；</w:t>
      </w:r>
      <w:r>
        <w:rPr>
          <w:rFonts w:hint="eastAsia" w:ascii="仿宋" w:hAnsi="仿宋" w:eastAsia="仿宋" w:cs="仿宋"/>
          <w:sz w:val="32"/>
          <w:szCs w:val="32"/>
        </w:rPr>
        <w:t>负责卫生应急工作，组织指导全县突发公共卫生事件的预防控制和各类突发公共事件的医疗卫生救援</w:t>
      </w:r>
      <w:r>
        <w:rPr>
          <w:rFonts w:hint="eastAsia" w:ascii="仿宋" w:hAnsi="仿宋" w:eastAsia="仿宋" w:cs="仿宋"/>
          <w:sz w:val="32"/>
          <w:szCs w:val="32"/>
          <w:lang w:eastAsia="zh-CN"/>
        </w:rPr>
        <w:t>；</w:t>
      </w:r>
      <w:r>
        <w:rPr>
          <w:rFonts w:hint="eastAsia" w:ascii="仿宋" w:hAnsi="仿宋" w:eastAsia="仿宋" w:cs="仿宋"/>
          <w:sz w:val="32"/>
          <w:szCs w:val="32"/>
        </w:rPr>
        <w:t>依法发布法定报告传染病疫情信息、突发公共卫生事件应急处置信息。</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5.组织拟订并协调落实应对人口老龄化政策措施</w:t>
      </w:r>
      <w:r>
        <w:rPr>
          <w:rFonts w:hint="eastAsia" w:ascii="仿宋" w:hAnsi="仿宋" w:eastAsia="仿宋" w:cs="仿宋"/>
          <w:sz w:val="32"/>
          <w:szCs w:val="32"/>
          <w:lang w:eastAsia="zh-CN"/>
        </w:rPr>
        <w:t>；</w:t>
      </w:r>
      <w:r>
        <w:rPr>
          <w:rFonts w:hint="eastAsia" w:ascii="仿宋" w:hAnsi="仿宋" w:eastAsia="仿宋" w:cs="仿宋"/>
          <w:sz w:val="32"/>
          <w:szCs w:val="32"/>
        </w:rPr>
        <w:t>负责推进全县老年健康服务体系建设和医养结合工作</w:t>
      </w:r>
      <w:r>
        <w:rPr>
          <w:rFonts w:hint="eastAsia" w:ascii="仿宋" w:hAnsi="仿宋" w:eastAsia="仿宋" w:cs="仿宋"/>
          <w:sz w:val="32"/>
          <w:szCs w:val="32"/>
          <w:lang w:eastAsia="zh-CN"/>
        </w:rPr>
        <w:t>，</w:t>
      </w:r>
      <w:r>
        <w:rPr>
          <w:rFonts w:hint="eastAsia" w:ascii="仿宋" w:hAnsi="仿宋" w:eastAsia="仿宋" w:cs="仿宋"/>
          <w:sz w:val="32"/>
          <w:szCs w:val="32"/>
        </w:rPr>
        <w:t>推动老龄事业和产业发展，促进医疗与旅游、体育、食品和互联网等行业深度融合。</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6.负责制定职责范围内的职业卫生、放射卫生、环境卫 生、学校卫生、公共场所卫生、饮用水卫生管理的规范标准、政 策措施并监督管理</w:t>
      </w:r>
      <w:r>
        <w:rPr>
          <w:rFonts w:hint="eastAsia" w:ascii="仿宋" w:hAnsi="仿宋" w:eastAsia="仿宋" w:cs="仿宋"/>
          <w:sz w:val="32"/>
          <w:szCs w:val="32"/>
          <w:lang w:eastAsia="zh-CN"/>
        </w:rPr>
        <w:t>；</w:t>
      </w:r>
      <w:r>
        <w:rPr>
          <w:rFonts w:hint="eastAsia" w:ascii="仿宋" w:hAnsi="仿宋" w:eastAsia="仿宋" w:cs="仿宋"/>
          <w:sz w:val="32"/>
          <w:szCs w:val="32"/>
        </w:rPr>
        <w:t>负责职业安全健康监督管理；负责传染病防 治监督，建立健全卫生健康综合监督体系；组织实施食品安全风 险监测。</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7.负责制定全县医疗机构、医疗服务行业管理办法并监 督实施</w:t>
      </w:r>
      <w:r>
        <w:rPr>
          <w:rFonts w:hint="eastAsia" w:ascii="仿宋" w:hAnsi="仿宋" w:eastAsia="仿宋" w:cs="仿宋"/>
          <w:sz w:val="32"/>
          <w:szCs w:val="32"/>
          <w:lang w:eastAsia="zh-CN"/>
        </w:rPr>
        <w:t>；</w:t>
      </w:r>
      <w:r>
        <w:rPr>
          <w:rFonts w:hint="eastAsia" w:ascii="仿宋" w:hAnsi="仿宋" w:eastAsia="仿宋" w:cs="仿宋"/>
          <w:sz w:val="32"/>
          <w:szCs w:val="32"/>
        </w:rPr>
        <w:t>建立健全医疗服务评价和监督管理体系</w:t>
      </w:r>
      <w:r>
        <w:rPr>
          <w:rFonts w:hint="eastAsia" w:ascii="仿宋" w:hAnsi="仿宋" w:eastAsia="仿宋" w:cs="仿宋"/>
          <w:sz w:val="32"/>
          <w:szCs w:val="32"/>
          <w:lang w:eastAsia="zh-CN"/>
        </w:rPr>
        <w:t>；</w:t>
      </w:r>
      <w:r>
        <w:rPr>
          <w:rFonts w:hint="eastAsia" w:ascii="仿宋" w:hAnsi="仿宋" w:eastAsia="仿宋" w:cs="仿宋"/>
          <w:sz w:val="32"/>
          <w:szCs w:val="32"/>
        </w:rPr>
        <w:t>会同有关部门 贯彻执行卫生健康专业技术人员资格准入标准；组织实施医疗机 构及其医疗服务、医疗技术、医疗质量、医疗安全以及采供血机 构管理的规范、标准和卫生健康专业技术人员执业规则、服务规范。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8.贯彻落实计划生育政策，负责计划生育管理和服务工 作，开展人口监测预警，研究提出人口与家庭发展相关政策建议， 制定优生优育和提高出生人口素质的政策措施并组织实施。</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9.拟订并组织实施全县基层卫生健康服务、妇幼健康发 展规划和政策措施，指导基层医疗卫生、妇幼健康服务体系建设</w:t>
      </w:r>
      <w:r>
        <w:rPr>
          <w:rFonts w:hint="eastAsia" w:ascii="仿宋" w:hAnsi="仿宋" w:eastAsia="仿宋" w:cs="仿宋"/>
          <w:sz w:val="32"/>
          <w:szCs w:val="32"/>
          <w:lang w:eastAsia="zh-CN"/>
        </w:rPr>
        <w:t>；</w:t>
      </w:r>
      <w:r>
        <w:rPr>
          <w:rFonts w:hint="eastAsia" w:ascii="仿宋" w:hAnsi="仿宋" w:eastAsia="仿宋" w:cs="仿宋"/>
          <w:sz w:val="32"/>
          <w:szCs w:val="32"/>
        </w:rPr>
        <w:t xml:space="preserve"> 建立健全基层卫生健康机构运行新机制和乡村医生管理制度。</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10.组织拟订全县卫生健康人才发展和科技发展规划，指导卫生健康人才队伍建设，推进卫生健康科技创新发展</w:t>
      </w:r>
      <w:r>
        <w:rPr>
          <w:rFonts w:hint="eastAsia" w:ascii="仿宋" w:hAnsi="仿宋" w:eastAsia="仿宋" w:cs="仿宋"/>
          <w:sz w:val="32"/>
          <w:szCs w:val="32"/>
          <w:lang w:eastAsia="zh-CN"/>
        </w:rPr>
        <w:t>；</w:t>
      </w:r>
      <w:r>
        <w:rPr>
          <w:rFonts w:hint="eastAsia" w:ascii="仿宋" w:hAnsi="仿宋" w:eastAsia="仿宋" w:cs="仿宋"/>
          <w:sz w:val="32"/>
          <w:szCs w:val="32"/>
        </w:rPr>
        <w:t>会同有关部门开展国家住院医师、专科医师和全科医生规范化培训等毕 业后医学教育和继续医学教育。</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11.负责制定并实施全县中医药事业发展、中医药健康 服务业发展规划，组织开展中医药服务体系建设，贯彻落实中、 省、市中医药技术标准、服务规范，继承和发展中医药文化，促进中药资源保护、开发和合理利用，加强中医药行业监管，推动中医药的继承与创新。</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12.负责卫生健康宣传、健康教育、健康促进等工作； 组织卫生健康交流合作与卫生援助工作。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13.负责本行业领域的安全生产监督管理工作。</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14.承办县老龄工作委员会日常工作；指导县计划生育协会工作。</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15.完成县委、县政府交办的其他任务。</w:t>
      </w:r>
    </w:p>
    <w:p>
      <w:pPr>
        <w:spacing w:line="560" w:lineRule="exact"/>
        <w:ind w:firstLine="643"/>
        <w:rPr>
          <w:rFonts w:ascii="仿宋" w:hAnsi="仿宋" w:eastAsia="仿宋" w:cs="仿宋"/>
          <w:sz w:val="32"/>
          <w:szCs w:val="32"/>
        </w:rPr>
      </w:pPr>
      <w:r>
        <w:rPr>
          <w:rFonts w:hint="eastAsia" w:ascii="仿宋" w:hAnsi="仿宋" w:eastAsia="仿宋" w:cs="仿宋"/>
          <w:b/>
          <w:sz w:val="32"/>
          <w:szCs w:val="32"/>
        </w:rPr>
        <w:t>（二）机构设置</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本系统现设有县镇两级公立医疗卫生机构分别为：紫阳县卫生健康局（本级）、紫阳县人民医院、紫阳县中医院、紫阳县妇幼保健计划生育服务中心、紫阳县卫生计生监督所、紫阳县城关镇中心卫生院、紫阳县蒿坪镇中心卫生院、紫阳县汉王镇中心卫生院、紫阳县洞河镇中心卫生院、紫阳县洄水镇中心卫生院、紫阳县双桥镇中心卫生院、紫阳县高桥镇中心卫生院、紫阳县向阳镇中心卫生院、紫阳县高滩镇中心卫生院、紫阳县毛坝镇中心卫生院、紫阳县红椿镇中心卫生院、紫阳县焕古镇卫生院、紫阳县疾病预防控制中心、紫阳县麻柳镇卫生院、紫阳县瓦庙镇卫生院、紫阳县双安镇卫生院、紫阳县界岭镇卫生院、紫阳县东木镇卫生院，共23所。</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pStyle w:val="15"/>
        <w:pBdr>
          <w:bottom w:val="single" w:color="FFFFFF" w:sz="4" w:space="31"/>
        </w:pBdr>
        <w:spacing w:line="560" w:lineRule="exact"/>
        <w:ind w:firstLine="640"/>
        <w:rPr>
          <w:rStyle w:val="16"/>
          <w:rFonts w:ascii="仿宋" w:hAnsi="仿宋" w:eastAsia="仿宋" w:cs="仿宋"/>
          <w:sz w:val="32"/>
          <w:szCs w:val="32"/>
        </w:rPr>
      </w:pPr>
      <w:r>
        <w:rPr>
          <w:rFonts w:hint="eastAsia" w:ascii="仿宋" w:hAnsi="仿宋" w:eastAsia="仿宋" w:cs="仿宋"/>
          <w:szCs w:val="32"/>
        </w:rPr>
        <w:t>2023年，全县卫生健康工作的总体要求是：</w:t>
      </w:r>
      <w:r>
        <w:rPr>
          <w:rStyle w:val="16"/>
          <w:rFonts w:hint="eastAsia" w:ascii="仿宋" w:hAnsi="仿宋" w:eastAsia="仿宋" w:cs="仿宋"/>
          <w:sz w:val="32"/>
          <w:szCs w:val="32"/>
        </w:rPr>
        <w:t>坚持以习近平新时代中国特色社会主义思想为指导，全面贯彻落实党的二十大精神，深入贯彻习近平总书记关于卫生健康工作重要论述，积极落实县委十六届四次全会确定的目标任务，认清发展新形势，把握发展新机遇，打好发展主动仗，以稳健有力的起笔，绘就中国式现代化紫阳篇章的健康画卷。</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（一）严守防御线，抓好乙类乙管平稳实施</w:t>
      </w:r>
      <w:r>
        <w:rPr>
          <w:rFonts w:hint="eastAsia" w:ascii="仿宋" w:hAnsi="仿宋" w:eastAsia="仿宋" w:cs="仿宋"/>
          <w:szCs w:val="32"/>
          <w:lang w:eastAsia="zh-CN"/>
        </w:rPr>
        <w:t>，</w:t>
      </w:r>
      <w:r>
        <w:rPr>
          <w:rFonts w:hint="eastAsia" w:ascii="仿宋" w:hAnsi="仿宋" w:eastAsia="仿宋" w:cs="仿宋"/>
          <w:szCs w:val="32"/>
        </w:rPr>
        <w:t>按照“整体谋划、系统重塑、全面提升”的要求，健全县、镇、村三级疾病预防控制管理体系和运行机制，提高监测预警能力，强化监测预警、信息报告、流调溯源、核酸检测、分类救治、健康服务等工作，不断提高应急救援能力。</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（二）把握生命线，抓好服务能力提质增效</w:t>
      </w:r>
      <w:r>
        <w:rPr>
          <w:rFonts w:hint="eastAsia" w:ascii="仿宋" w:hAnsi="仿宋" w:eastAsia="仿宋" w:cs="仿宋"/>
          <w:szCs w:val="32"/>
          <w:lang w:eastAsia="zh-CN"/>
        </w:rPr>
        <w:t>，</w:t>
      </w:r>
      <w:r>
        <w:rPr>
          <w:rFonts w:hint="eastAsia" w:ascii="仿宋" w:hAnsi="仿宋" w:eastAsia="仿宋" w:cs="仿宋"/>
          <w:szCs w:val="32"/>
        </w:rPr>
        <w:t>优化医疗资源。紧抓“高质量项目推进年”机遇，积极争取中央资金、专项债券，有序实施县人民医院医技综合楼项目建设，加快推进县中医医院特色科室项目、县妇计中心康复中心项目、县疾控中心实验室检测能力提升项目、红椿镇卫生院综合楼等建设项目。</w:t>
      </w:r>
    </w:p>
    <w:p>
      <w:pPr>
        <w:pStyle w:val="15"/>
        <w:pBdr>
          <w:bottom w:val="single" w:color="FFFFFF" w:sz="4" w:space="31"/>
        </w:pBdr>
        <w:spacing w:line="560" w:lineRule="exact"/>
        <w:ind w:firstLine="640"/>
        <w:rPr>
          <w:rFonts w:ascii="仿宋" w:hAnsi="仿宋" w:eastAsia="仿宋" w:cs="仿宋"/>
          <w:color w:val="000000"/>
          <w:szCs w:val="32"/>
        </w:rPr>
      </w:pPr>
      <w:r>
        <w:rPr>
          <w:rFonts w:hint="eastAsia" w:ascii="仿宋" w:hAnsi="仿宋" w:eastAsia="仿宋" w:cs="仿宋"/>
          <w:szCs w:val="32"/>
          <w:lang w:eastAsia="zh-CN"/>
        </w:rPr>
        <w:t>（</w:t>
      </w:r>
      <w:r>
        <w:rPr>
          <w:rFonts w:hint="eastAsia" w:ascii="仿宋" w:hAnsi="仿宋" w:eastAsia="仿宋" w:cs="仿宋"/>
          <w:szCs w:val="32"/>
        </w:rPr>
        <w:t>三</w:t>
      </w:r>
      <w:r>
        <w:rPr>
          <w:rFonts w:hint="eastAsia" w:ascii="仿宋" w:hAnsi="仿宋" w:eastAsia="仿宋" w:cs="仿宋"/>
          <w:szCs w:val="32"/>
          <w:lang w:eastAsia="zh-CN"/>
        </w:rPr>
        <w:t>）</w:t>
      </w:r>
      <w:r>
        <w:rPr>
          <w:rFonts w:hint="eastAsia" w:ascii="仿宋" w:hAnsi="仿宋" w:eastAsia="仿宋" w:cs="仿宋"/>
          <w:color w:val="000000"/>
          <w:szCs w:val="32"/>
        </w:rPr>
        <w:t>充分发挥紫阳区域特色优势，强化秦巴医药产业链联席会议机制，加强与配合部门沟通协调，定期研判秦巴医药产业链工作，及时协调解决困难问题。按照“一县一品”中药材发展思路，进一步扩大天麻、猪苓、大黄、五味子等优质品种种植规模，组建秦巴医药产业链行业协会，为秦巴医药产业发展提供相关研究和政策建议。加快推进恒紫园区签约项目建设，推动县级中药饮片供应中心、蒿坪镇硒康康养中心、城关镇华阳医养中心、毛坝镇艾草二期艾草卷条机生产线建设等产业链一批在建重点项目建设。</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color w:val="000000"/>
          <w:szCs w:val="32"/>
        </w:rPr>
        <w:t>（四）要深入推进“千县工程”建设，</w:t>
      </w:r>
      <w:r>
        <w:rPr>
          <w:rFonts w:hint="eastAsia" w:ascii="仿宋" w:hAnsi="仿宋" w:eastAsia="仿宋" w:cs="仿宋"/>
          <w:szCs w:val="32"/>
        </w:rPr>
        <w:t>持续提升胸痛、卒中、创伤等急诊急救“五大中心”救治能力，强化二级科室设置，打造重点特色科室，拓展重点专科和薄弱专科能力建设，确保县医院“十四五”末初步达到三级医院标准。</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五）以中医院为龙头，加快推进全县中医药事业发展，加速中医院“康复医学中心”建设，实施中医临床优势专科和学科培育工程，不断提升中医药服务的可及性、可得性。鼓励支持基层医疗机构在全程、连续健康管理上，持续提升服务能力、拓展业务范围，做实做细家庭医生签约服务、公共卫生服务工作，不断提升服务供给质量，不断增强公共卫生项目的实效性和满意率；加强公卫、康复、儿科、精卫、口腔、眼科等服务领域特色科室培育，探索“家医签约”“家庭病床”“医养结合”等服务新模式，坚持错位发展，打造“一院一特色”，与上级医院形成差别化服务供给。</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（六）扎实推进优质服务基层行创建工作，已达标的继续巩固提升，高滩、汉王、毛坝争取年内达到推荐标准，未达标的要积极创建，中心卫生院年内要全部达到基本标准。</w:t>
      </w:r>
    </w:p>
    <w:p>
      <w:pPr>
        <w:pStyle w:val="15"/>
        <w:pBdr>
          <w:bottom w:val="single" w:color="FFFFFF" w:sz="4" w:space="31"/>
        </w:pBdr>
        <w:spacing w:line="560" w:lineRule="exact"/>
        <w:ind w:firstLine="640"/>
        <w:rPr>
          <w:rStyle w:val="16"/>
          <w:rFonts w:ascii="仿宋" w:hAnsi="仿宋" w:eastAsia="仿宋" w:cs="仿宋"/>
          <w:spacing w:val="-6"/>
          <w:sz w:val="32"/>
          <w:szCs w:val="32"/>
        </w:rPr>
      </w:pPr>
      <w:r>
        <w:rPr>
          <w:rFonts w:hint="eastAsia" w:ascii="仿宋" w:hAnsi="仿宋" w:eastAsia="仿宋" w:cs="仿宋"/>
          <w:szCs w:val="32"/>
        </w:rPr>
        <w:t>（七）守好最底线，抓好党的建设</w:t>
      </w:r>
      <w:r>
        <w:rPr>
          <w:rFonts w:hint="eastAsia" w:ascii="仿宋" w:hAnsi="仿宋" w:eastAsia="仿宋" w:cs="仿宋"/>
          <w:szCs w:val="32"/>
          <w:lang w:eastAsia="zh-CN"/>
        </w:rPr>
        <w:t>，</w:t>
      </w:r>
      <w:r>
        <w:rPr>
          <w:rFonts w:hint="eastAsia" w:ascii="仿宋" w:hAnsi="仿宋" w:eastAsia="仿宋" w:cs="仿宋"/>
          <w:szCs w:val="32"/>
          <w:shd w:val="clear" w:color="auto" w:fill="FFFFFF"/>
        </w:rPr>
        <w:t>坚持把学习贯彻习近平新时代中国特色社会主义思想作为首要政治任务，深入贯彻落实党的二十大精神，</w:t>
      </w:r>
      <w:r>
        <w:rPr>
          <w:rFonts w:hint="eastAsia" w:ascii="仿宋" w:hAnsi="仿宋" w:eastAsia="仿宋" w:cs="仿宋"/>
          <w:szCs w:val="32"/>
        </w:rPr>
        <w:t>围绕规范、品牌、活力三个关键词，</w:t>
      </w:r>
      <w:r>
        <w:rPr>
          <w:rFonts w:hint="eastAsia" w:ascii="仿宋" w:hAnsi="仿宋" w:eastAsia="仿宋" w:cs="仿宋"/>
          <w:szCs w:val="32"/>
          <w:shd w:val="clear" w:color="auto" w:fill="FFFFFF"/>
        </w:rPr>
        <w:t>唱响“</w:t>
      </w:r>
      <w:r>
        <w:rPr>
          <w:rFonts w:hint="eastAsia" w:ascii="仿宋" w:hAnsi="仿宋" w:eastAsia="仿宋" w:cs="仿宋"/>
          <w:szCs w:val="32"/>
        </w:rPr>
        <w:t>白衣红心护健康，优质服务惠民生</w:t>
      </w:r>
      <w:r>
        <w:rPr>
          <w:rFonts w:hint="eastAsia" w:ascii="仿宋" w:hAnsi="仿宋" w:eastAsia="仿宋" w:cs="仿宋"/>
          <w:szCs w:val="32"/>
          <w:shd w:val="clear" w:color="auto" w:fill="FFFFFF"/>
        </w:rPr>
        <w:t>”主旋律，塑造“双引领（队伍建设、质量提升）、四走进（医疗机构、诊室病房、重点场所、社区家庭）”特色党建品牌，强</w:t>
      </w:r>
      <w:r>
        <w:rPr>
          <w:rFonts w:hint="eastAsia" w:ascii="仿宋" w:hAnsi="仿宋" w:eastAsia="仿宋" w:cs="仿宋"/>
          <w:szCs w:val="32"/>
        </w:rPr>
        <w:t>抓机关及基层党建，规定动作不走样，自选动作有特色，</w:t>
      </w:r>
      <w:r>
        <w:rPr>
          <w:rFonts w:hint="eastAsia" w:ascii="仿宋" w:hAnsi="仿宋" w:eastAsia="仿宋" w:cs="仿宋"/>
          <w:szCs w:val="32"/>
          <w:shd w:val="clear" w:color="auto" w:fill="FFFFFF"/>
        </w:rPr>
        <w:t>让基层党组织在工作中挑大梁、唱主角、打头阵、作表率。认真履行全面从严治党主体责任，层层压实党风廉政建设和意识形态工作责任。持续巩固医疗卫生领域突出问题专项治理成效</w:t>
      </w:r>
      <w:r>
        <w:rPr>
          <w:rStyle w:val="16"/>
          <w:rFonts w:hint="eastAsia" w:ascii="仿宋" w:hAnsi="仿宋" w:eastAsia="仿宋" w:cs="仿宋"/>
          <w:spacing w:val="-6"/>
          <w:sz w:val="32"/>
          <w:szCs w:val="32"/>
        </w:rPr>
        <w:t>，全力打造“清廉医院”。</w:t>
      </w:r>
      <w:r>
        <w:rPr>
          <w:rFonts w:hint="eastAsia" w:ascii="仿宋" w:hAnsi="仿宋" w:eastAsia="仿宋" w:cs="仿宋"/>
          <w:szCs w:val="32"/>
          <w:shd w:val="clear" w:color="auto" w:fill="FFFFFF"/>
        </w:rPr>
        <w:t>扎实开展“干部作风提升年”活动，</w:t>
      </w:r>
      <w:r>
        <w:rPr>
          <w:rStyle w:val="16"/>
          <w:rFonts w:hint="eastAsia" w:ascii="仿宋" w:hAnsi="仿宋" w:eastAsia="仿宋" w:cs="仿宋"/>
          <w:spacing w:val="-6"/>
          <w:sz w:val="32"/>
          <w:szCs w:val="32"/>
        </w:rPr>
        <w:t>站在群众立场，紧盯重点环节，完善防范机制，加强警示教育，持续改进行风，推动</w:t>
      </w:r>
      <w:r>
        <w:rPr>
          <w:rStyle w:val="16"/>
          <w:rFonts w:hint="eastAsia" w:ascii="仿宋" w:hAnsi="仿宋" w:eastAsia="仿宋" w:cs="仿宋"/>
          <w:sz w:val="32"/>
          <w:szCs w:val="32"/>
        </w:rPr>
        <w:t>卫生健康</w:t>
      </w:r>
      <w:r>
        <w:rPr>
          <w:rStyle w:val="16"/>
          <w:rFonts w:hint="eastAsia" w:ascii="仿宋" w:hAnsi="仿宋" w:eastAsia="仿宋" w:cs="仿宋"/>
          <w:spacing w:val="-6"/>
          <w:sz w:val="32"/>
          <w:szCs w:val="32"/>
        </w:rPr>
        <w:t>系统形象不断提升。</w:t>
      </w:r>
    </w:p>
    <w:p>
      <w:pPr>
        <w:pStyle w:val="15"/>
        <w:pBdr>
          <w:bottom w:val="single" w:color="FFFFFF" w:sz="4" w:space="31"/>
        </w:pBdr>
        <w:spacing w:line="560" w:lineRule="exact"/>
        <w:ind w:firstLine="616"/>
        <w:rPr>
          <w:rFonts w:ascii="仿宋" w:hAnsi="仿宋" w:eastAsia="仿宋" w:cs="仿宋"/>
          <w:szCs w:val="32"/>
        </w:rPr>
      </w:pPr>
      <w:r>
        <w:rPr>
          <w:rStyle w:val="16"/>
          <w:rFonts w:hint="eastAsia" w:ascii="仿宋" w:hAnsi="仿宋" w:eastAsia="仿宋" w:cs="仿宋"/>
          <w:spacing w:val="-6"/>
          <w:sz w:val="32"/>
          <w:szCs w:val="32"/>
        </w:rPr>
        <w:t>（八）大力弘扬伟大抗疫精神和崇高职业精神，</w:t>
      </w:r>
      <w:r>
        <w:rPr>
          <w:rFonts w:hint="eastAsia" w:ascii="仿宋" w:hAnsi="仿宋" w:eastAsia="仿宋" w:cs="仿宋"/>
          <w:szCs w:val="32"/>
        </w:rPr>
        <w:t>深度挖掘疫情防控、基层一线先进典型，加大选树创优力度，办好“医师节”“护士节”表彰；及时回应群众关切，强化正面宣传引导，妥善有效处理问题；打通“报、网、端、微、屏”各种资源平台，通过文字、图片、视频、音频等多种形式，讲述卫健好故事，传递卫健正能量，营造全社会尊医重卫的良好氛围。</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九）持续完善人才培养制度，实施好基层人员能力提升培训、全科医生转岗培训，强化乡村医生队伍建设。探索建立医疗卫生机构中层干部职数核定、报备管理、选拔聘任等制度，规范系统内部中层干部选、竞、聘、任一体化流程，强化制度管人、依规办事的规矩意识，营造能上能下、能进能退的干事创业良好氛围。举办干部培训班，继续开设“健康紫阳卫健大讲堂”，加强干部交流和双向挂职锻炼，推进年轻后备干部培养，锻造一支“提笔能写、开口能讲、问策能对、遇事能办”的“四型”卫健干部队伍。</w:t>
      </w:r>
    </w:p>
    <w:p>
      <w:pPr>
        <w:pStyle w:val="15"/>
        <w:pBdr>
          <w:bottom w:val="single" w:color="FFFFFF" w:sz="4" w:space="31"/>
        </w:pBdr>
        <w:spacing w:line="560" w:lineRule="exact"/>
        <w:ind w:firstLine="643"/>
        <w:rPr>
          <w:rFonts w:ascii="仿宋" w:hAnsi="仿宋" w:eastAsia="仿宋" w:cs="仿宋"/>
          <w:b/>
          <w:bCs/>
          <w:szCs w:val="32"/>
        </w:rPr>
      </w:pPr>
      <w:r>
        <w:rPr>
          <w:rFonts w:hint="eastAsia" w:ascii="仿宋" w:hAnsi="仿宋" w:eastAsia="仿宋" w:cs="仿宋"/>
          <w:b/>
          <w:bCs/>
          <w:szCs w:val="32"/>
        </w:rPr>
        <w:t>三、部门预算单位构成</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从预算单位构成看，本系统的部门预算包括部门本级（机关）预算和所属事业单位预算。</w:t>
      </w:r>
    </w:p>
    <w:p>
      <w:pPr>
        <w:pStyle w:val="15"/>
        <w:pBdr>
          <w:bottom w:val="single" w:color="FFFFFF" w:sz="4" w:space="31"/>
        </w:pBdr>
        <w:spacing w:line="560" w:lineRule="exact"/>
        <w:ind w:firstLine="640"/>
        <w:rPr>
          <w:rFonts w:ascii="仿宋" w:hAnsi="仿宋" w:eastAsia="仿宋" w:cs="仿宋"/>
          <w:szCs w:val="32"/>
        </w:rPr>
      </w:pPr>
      <w:r>
        <w:rPr>
          <w:rFonts w:hint="eastAsia" w:ascii="仿宋" w:hAnsi="仿宋" w:eastAsia="仿宋" w:cs="仿宋"/>
          <w:szCs w:val="32"/>
        </w:rPr>
        <w:t>纳入本部门2023年部门预算编制范围的二级预算单位共有23个，包括：</w:t>
      </w:r>
    </w:p>
    <w:p>
      <w:pPr>
        <w:pStyle w:val="6"/>
        <w:ind w:firstLine="79" w:firstLineChars="38"/>
        <w:jc w:val="both"/>
        <w:rPr>
          <w:sz w:val="21"/>
          <w:szCs w:val="21"/>
        </w:rPr>
      </w:pP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紫阳县卫生健康局（机关）</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紫阳县城关镇中心卫生院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3</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紫阳县蒿坪镇中心卫生院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4</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紫阳县汉王镇中心卫生院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5</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紫阳县洞河镇中心卫生院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6</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紫阳县洄水镇中心卫生院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7</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紫阳县双桥镇中心卫生院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8</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紫阳县高桥镇中心卫生院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9</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紫阳县向阳镇中心卫生院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10</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紫阳县高滩镇中心卫生院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紫阳县毛坝镇中心卫生院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12</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紫阳县红椿镇中心卫生院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13</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紫阳县焕古镇卫生院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14</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紫阳县疾病预防控制中心</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15</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紫阳县麻柳镇卫生院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16</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紫阳县瓦庙镇卫生院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17</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紫阳县双安镇卫生院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18</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紫阳县界岭镇卫生院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19</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紫阳县东木镇卫生院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20</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紫阳县妇幼保健计划生育服务中心</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紫阳县卫生计生监督所</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22</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紫阳县人民医院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2" w:hRule="atLeast"/>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23</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紫阳县中医院</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bl>
    <w:p>
      <w:pPr>
        <w:spacing w:line="560" w:lineRule="exact"/>
        <w:ind w:firstLine="630" w:firstLineChars="196"/>
        <w:rPr>
          <w:rFonts w:ascii="仿宋" w:hAnsi="仿宋" w:eastAsia="仿宋" w:cs="仿宋"/>
          <w:b/>
          <w:bCs/>
          <w:sz w:val="32"/>
          <w:szCs w:val="32"/>
        </w:rPr>
      </w:pP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截止</w:t>
      </w:r>
      <w:bookmarkStart w:id="0" w:name="_GoBack"/>
      <w:bookmarkEnd w:id="0"/>
      <w:r>
        <w:rPr>
          <w:rFonts w:hint="eastAsia" w:ascii="仿宋" w:hAnsi="仿宋" w:eastAsia="仿宋" w:cs="仿宋"/>
          <w:sz w:val="32"/>
          <w:szCs w:val="32"/>
        </w:rPr>
        <w:t>2022年底，本系统人员编制788人，其中行政编制16人、事业编制772人；实有人员766人，其中行政16人、事业750人。系统管理的离退休人员138人。</w:t>
      </w:r>
      <w:r>
        <w:rPr>
          <w:rFonts w:hint="eastAsia" w:ascii="仿宋" w:hAnsi="仿宋" w:eastAsia="仿宋" w:cs="仿宋"/>
          <w:sz w:val="32"/>
          <w:szCs w:val="32"/>
        </w:rPr>
        <w:tab/>
      </w:r>
    </w:p>
    <w:p>
      <w:pPr>
        <w:pStyle w:val="6"/>
        <w:ind w:firstLine="300"/>
        <w:rPr>
          <w:sz w:val="15"/>
          <w:szCs w:val="15"/>
        </w:rPr>
      </w:pPr>
    </w:p>
    <w:p>
      <w:pPr>
        <w:pStyle w:val="6"/>
        <w:ind w:firstLine="197" w:firstLineChars="38"/>
        <w:jc w:val="both"/>
      </w:pPr>
      <w:r>
        <w:drawing>
          <wp:inline distT="0" distB="0" distL="114300" distR="114300">
            <wp:extent cx="4505325" cy="2743200"/>
            <wp:effectExtent l="4445" t="4445" r="5080"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6"/>
        <w:ind w:firstLine="643"/>
        <w:rPr>
          <w:rFonts w:ascii="仿宋" w:hAnsi="仿宋" w:eastAsia="仿宋" w:cs="仿宋"/>
          <w:b/>
          <w:bCs/>
          <w:sz w:val="32"/>
          <w:szCs w:val="32"/>
        </w:rPr>
      </w:pPr>
    </w:p>
    <w:p>
      <w:pPr>
        <w:pStyle w:val="6"/>
        <w:ind w:firstLine="643"/>
        <w:rPr>
          <w:rFonts w:ascii="仿宋" w:hAnsi="仿宋" w:eastAsia="仿宋" w:cs="仿宋"/>
          <w:b/>
          <w:bCs/>
          <w:sz w:val="32"/>
          <w:szCs w:val="32"/>
        </w:rPr>
      </w:pPr>
    </w:p>
    <w:p>
      <w:pPr>
        <w:pStyle w:val="6"/>
        <w:ind w:firstLine="643"/>
        <w:rPr>
          <w:rFonts w:ascii="仿宋" w:hAnsi="仿宋" w:eastAsia="仿宋" w:cs="仿宋"/>
          <w:b/>
          <w:bCs/>
          <w:color w:val="FF0000"/>
          <w:sz w:val="32"/>
          <w:szCs w:val="32"/>
        </w:rPr>
      </w:pPr>
      <w:r>
        <w:rPr>
          <w:rFonts w:hint="eastAsia" w:ascii="仿宋" w:hAnsi="仿宋" w:eastAsia="仿宋" w:cs="仿宋"/>
          <w:b/>
          <w:bCs/>
          <w:sz w:val="32"/>
          <w:szCs w:val="32"/>
        </w:rPr>
        <w:t>第二部分  收支情况</w:t>
      </w:r>
    </w:p>
    <w:p>
      <w:pPr>
        <w:pStyle w:val="6"/>
        <w:ind w:firstLine="643"/>
        <w:jc w:val="both"/>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按照综合预算的原则，本系统所有收入和支出均纳入部门预算管理。2023年本系统预算收入7191.89万元，其中一般公共预算拨款收入7191.89万元，政府性基金拨款收入0.00万元，事业收入0.00万元，实户资金余额（2022年年底非财政性资金）收入0.00万元，事业单位经营收入0.00万元，附属单位上缴收入0.00万元，其他自有资金收入0.00万元，上年结转收入0.00万元，2023年本系统预算收入较上年增加7191.89万元，</w:t>
      </w:r>
      <w:r>
        <w:rPr>
          <w:rFonts w:hint="eastAsia" w:ascii="仿宋" w:hAnsi="仿宋" w:eastAsia="仿宋" w:cs="仿宋"/>
          <w:kern w:val="0"/>
          <w:sz w:val="32"/>
          <w:szCs w:val="32"/>
          <w:shd w:val="clear" w:color="auto" w:fill="FFFFFF"/>
        </w:rPr>
        <w:t>原因是上年系统汇总预算未公开</w:t>
      </w:r>
      <w:r>
        <w:rPr>
          <w:rFonts w:hint="eastAsia" w:ascii="仿宋" w:hAnsi="仿宋" w:eastAsia="仿宋" w:cs="仿宋"/>
          <w:sz w:val="32"/>
          <w:szCs w:val="32"/>
        </w:rPr>
        <w:t>；2023年本系统预算支出7191.89万元，其中一般公共预算拨款支出7191.89万元，政府性基金拨款支出0.00万元，事业收入支出0.00万元，实户资金余额（2022年年底非财政性资金）支出0.00万元，事业单位经营收入支出0.00万元，附属单位上缴收入支出0.00万元，其他自有资金支出0.00万元，上年结转支出0.00万元，2023年本部门预算支出较上年增加7191.89万元，</w:t>
      </w:r>
      <w:r>
        <w:rPr>
          <w:rFonts w:hint="eastAsia" w:ascii="仿宋" w:hAnsi="仿宋" w:eastAsia="仿宋" w:cs="仿宋"/>
          <w:kern w:val="0"/>
          <w:sz w:val="32"/>
          <w:szCs w:val="32"/>
          <w:shd w:val="clear" w:color="auto" w:fill="FFFFFF"/>
        </w:rPr>
        <w:t>原因是上年系统汇总预算未公开</w:t>
      </w:r>
      <w:r>
        <w:rPr>
          <w:rFonts w:hint="eastAsia" w:ascii="仿宋" w:hAnsi="仿宋" w:eastAsia="仿宋" w:cs="仿宋"/>
          <w:sz w:val="32"/>
          <w:szCs w:val="32"/>
        </w:rPr>
        <w:t>。</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2023年本系统财政拨款收入7191.89万元，其中一般公共预算拨款收入7191.89万元，2023年本系统财政拨款收入较上年7191.89万元，</w:t>
      </w:r>
      <w:r>
        <w:rPr>
          <w:rFonts w:hint="eastAsia" w:ascii="仿宋" w:hAnsi="仿宋" w:eastAsia="仿宋" w:cs="仿宋"/>
          <w:kern w:val="0"/>
          <w:sz w:val="32"/>
          <w:szCs w:val="32"/>
          <w:shd w:val="clear" w:color="auto" w:fill="FFFFFF"/>
        </w:rPr>
        <w:t>原因是上年系统汇总预算未公开。</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2023年本系统财政拨款支出7191.89万元，其中一般公共预算拨款支出7191.89万元，2023年本系统财政拨款支出较上年增加7191.89万元，</w:t>
      </w:r>
      <w:r>
        <w:rPr>
          <w:rFonts w:hint="eastAsia" w:ascii="仿宋" w:hAnsi="仿宋" w:eastAsia="仿宋" w:cs="仿宋"/>
          <w:kern w:val="0"/>
          <w:sz w:val="32"/>
          <w:szCs w:val="32"/>
          <w:shd w:val="clear" w:color="auto" w:fill="FFFFFF"/>
        </w:rPr>
        <w:t>原因是上年系统汇总预算未公开</w:t>
      </w:r>
      <w:r>
        <w:rPr>
          <w:rFonts w:hint="eastAsia" w:ascii="仿宋" w:hAnsi="仿宋" w:eastAsia="仿宋" w:cs="仿宋"/>
          <w:sz w:val="32"/>
          <w:szCs w:val="32"/>
        </w:rPr>
        <w:t>。</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1、一般公共预算当年拨款规模变化情况。</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2023年本系统当年一般公共预算拨款支出7191.89万元，较上年增加7191.89万元，</w:t>
      </w:r>
      <w:r>
        <w:rPr>
          <w:rFonts w:hint="eastAsia" w:ascii="仿宋" w:hAnsi="仿宋" w:eastAsia="仿宋" w:cs="仿宋"/>
          <w:kern w:val="0"/>
          <w:sz w:val="32"/>
          <w:szCs w:val="32"/>
          <w:shd w:val="clear" w:color="auto" w:fill="FFFFFF"/>
        </w:rPr>
        <w:t>原因是上年系统汇总预算未公开</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 xml:space="preserve"> 2、支出按功能科目分类的明细情况。</w:t>
      </w:r>
    </w:p>
    <w:p>
      <w:pPr>
        <w:spacing w:line="560" w:lineRule="exact"/>
        <w:ind w:firstLine="640"/>
        <w:rPr>
          <w:rFonts w:ascii="仿宋" w:hAnsi="仿宋" w:eastAsia="仿宋" w:cs="仿宋"/>
          <w:b/>
          <w:bCs/>
          <w:sz w:val="32"/>
          <w:szCs w:val="32"/>
        </w:rPr>
      </w:pPr>
      <w:r>
        <w:rPr>
          <w:rFonts w:hint="eastAsia" w:ascii="仿宋" w:hAnsi="仿宋" w:eastAsia="仿宋" w:cs="仿宋"/>
          <w:kern w:val="0"/>
          <w:sz w:val="32"/>
          <w:szCs w:val="32"/>
          <w:shd w:val="clear" w:color="auto" w:fill="FFFFFF"/>
        </w:rPr>
        <w:t>本系统2023年当年一般公共预算支出</w:t>
      </w:r>
      <w:r>
        <w:rPr>
          <w:rFonts w:hint="eastAsia" w:ascii="仿宋" w:hAnsi="仿宋" w:eastAsia="仿宋" w:cs="仿宋"/>
          <w:sz w:val="32"/>
          <w:szCs w:val="32"/>
        </w:rPr>
        <w:t>7191.89</w:t>
      </w:r>
      <w:r>
        <w:rPr>
          <w:rFonts w:hint="eastAsia" w:ascii="仿宋" w:hAnsi="仿宋" w:eastAsia="仿宋" w:cs="仿宋"/>
          <w:kern w:val="0"/>
          <w:sz w:val="32"/>
          <w:szCs w:val="32"/>
          <w:shd w:val="clear" w:color="auto" w:fill="FFFFFF"/>
        </w:rPr>
        <w:t>万元，其中：</w:t>
      </w:r>
    </w:p>
    <w:p>
      <w:pPr>
        <w:spacing w:line="560" w:lineRule="exact"/>
        <w:ind w:firstLine="640"/>
        <w:rPr>
          <w:rFonts w:ascii="仿宋" w:hAnsi="仿宋" w:eastAsia="仿宋" w:cs="仿宋"/>
          <w:b/>
          <w:bCs/>
          <w:sz w:val="32"/>
          <w:szCs w:val="32"/>
        </w:rPr>
      </w:pPr>
      <w:r>
        <w:rPr>
          <w:rFonts w:hint="eastAsia" w:ascii="仿宋" w:hAnsi="仿宋" w:eastAsia="仿宋" w:cs="仿宋"/>
          <w:kern w:val="0"/>
          <w:sz w:val="32"/>
          <w:szCs w:val="32"/>
          <w:shd w:val="clear" w:color="auto" w:fill="FFFFFF"/>
        </w:rPr>
        <w:t>（1）机关事业单位基本养老（2080505）857.09万元，较上年增加857.09万元，原因是上年系统汇总预算未公开；</w:t>
      </w:r>
    </w:p>
    <w:p>
      <w:pPr>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（2）行政运行（2100101）264.31万元，较上年增加264.31万元，原因是上年系统汇总预算未公开；</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（3）一般行政管理事务（2100102）13.07万元，较上年增加13.07万元，原因是上年系统汇总预算未公开；</w:t>
      </w:r>
    </w:p>
    <w:p>
      <w:pPr>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（4）综合医院（2100201）460.49万元，较上年增加460.49万元，原因是上年系统汇总预算未公开；</w:t>
      </w:r>
    </w:p>
    <w:p>
      <w:pPr>
        <w:pStyle w:val="2"/>
        <w:spacing w:line="560" w:lineRule="exact"/>
        <w:ind w:firstLine="640"/>
        <w:rPr>
          <w:rFonts w:eastAsia="仿宋"/>
        </w:rPr>
      </w:pPr>
      <w:r>
        <w:rPr>
          <w:rFonts w:hint="eastAsia" w:ascii="仿宋" w:hAnsi="仿宋" w:eastAsia="仿宋" w:cs="仿宋"/>
          <w:kern w:val="0"/>
          <w:sz w:val="32"/>
          <w:szCs w:val="32"/>
          <w:shd w:val="clear" w:color="auto" w:fill="FFFFFF"/>
        </w:rPr>
        <w:t>（5）中医（民族）医院（2100202）179.69万元，较上年增加179.69万元，原因是上年系统汇总预算未公开；</w:t>
      </w:r>
    </w:p>
    <w:p>
      <w:pPr>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（6）乡镇卫生院（2100302）1250.65万元，较上年增加1250.65万元，原因是上年系统汇总预算未公开；</w:t>
      </w:r>
    </w:p>
    <w:p>
      <w:pPr>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（7）其他基层医疗卫生机构支出（2100399）125.06万元，较上年增加125.06万元，原因是上年系统汇总预算未公开；</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（8）疾病预防控制机构（2100401）280.83万元，较上年增加280.83万元，原因是上年系统汇总预算未公开；</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（9）卫生监督机构（2100402）35.93万元，较上年增加35.93万元，原因是上年系统汇总预算未公开；</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（10）妇幼保健机构（2100403）306.85万元，较上年增加306.85万元，原因是上年系统汇总预算未公开；</w:t>
      </w:r>
    </w:p>
    <w:p>
      <w:pPr>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（11）基本公共卫生服务（2100408）173.20万元，较上年增加173.20万元，原因是专项经费上年未纳入部门预算</w:t>
      </w:r>
      <w:r>
        <w:rPr>
          <w:rFonts w:hint="eastAsia" w:ascii="仿宋" w:hAnsi="仿宋" w:eastAsia="仿宋" w:cs="仿宋"/>
          <w:kern w:val="0"/>
          <w:sz w:val="32"/>
          <w:szCs w:val="32"/>
          <w:shd w:val="clear" w:color="auto" w:fill="FFFFFF"/>
          <w:lang w:eastAsia="zh-CN"/>
        </w:rPr>
        <w:t>；</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(12</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rPr>
        <w:t>重大公共卫生服务（2100409）630.00万元，较上年增加630.00万元，原因是专项经费上年未纳入部门预算</w:t>
      </w:r>
      <w:r>
        <w:rPr>
          <w:rFonts w:hint="eastAsia" w:ascii="仿宋" w:hAnsi="仿宋" w:eastAsia="仿宋" w:cs="仿宋"/>
          <w:kern w:val="0"/>
          <w:sz w:val="32"/>
          <w:szCs w:val="32"/>
          <w:shd w:val="clear" w:color="auto" w:fill="FFFFFF"/>
          <w:lang w:eastAsia="zh-CN"/>
        </w:rPr>
        <w:t>；</w:t>
      </w:r>
    </w:p>
    <w:p>
      <w:pPr>
        <w:pStyle w:val="2"/>
        <w:spacing w:line="560" w:lineRule="exact"/>
        <w:ind w:firstLine="640"/>
      </w:pPr>
      <w:r>
        <w:rPr>
          <w:rFonts w:hint="eastAsia" w:ascii="仿宋" w:hAnsi="仿宋" w:eastAsia="仿宋" w:cs="仿宋"/>
          <w:sz w:val="32"/>
          <w:szCs w:val="32"/>
        </w:rPr>
        <w:t>（13）其他计划生育事务支出（2100799）383.00万元，</w:t>
      </w:r>
      <w:r>
        <w:rPr>
          <w:rFonts w:hint="eastAsia" w:ascii="仿宋" w:hAnsi="仿宋" w:eastAsia="仿宋" w:cs="仿宋"/>
          <w:kern w:val="0"/>
          <w:sz w:val="32"/>
          <w:szCs w:val="32"/>
          <w:shd w:val="clear" w:color="auto" w:fill="FFFFFF"/>
        </w:rPr>
        <w:t>较上年增加383.00万元，原因是专项经费上年未纳入部门预算</w:t>
      </w:r>
      <w:r>
        <w:rPr>
          <w:rFonts w:hint="eastAsia" w:ascii="仿宋" w:hAnsi="仿宋" w:eastAsia="仿宋" w:cs="仿宋"/>
          <w:kern w:val="0"/>
          <w:sz w:val="32"/>
          <w:szCs w:val="32"/>
          <w:shd w:val="clear" w:color="auto" w:fill="FFFFFF"/>
          <w:lang w:eastAsia="zh-CN"/>
        </w:rPr>
        <w:t>；</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（14）行政单位医疗（2101101）14.59万元，较上年增加14.59万元，原因是上年系统汇总预算未公开；</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（15）事业单位医疗（2101102）234.28万元，较上年增加234.28万元，原因是上年系统汇总预算未公开；</w:t>
      </w:r>
    </w:p>
    <w:p>
      <w:pPr>
        <w:pStyle w:val="2"/>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（16）老龄卫生健康事务（2101601）1600.00万元，较上年增加1600.00万元，原因是专项经费上年未纳入部门预算</w:t>
      </w:r>
      <w:r>
        <w:rPr>
          <w:rFonts w:hint="eastAsia" w:ascii="仿宋" w:hAnsi="仿宋" w:eastAsia="仿宋" w:cs="仿宋"/>
          <w:kern w:val="0"/>
          <w:sz w:val="32"/>
          <w:szCs w:val="32"/>
          <w:shd w:val="clear" w:color="auto" w:fill="FFFFFF"/>
          <w:lang w:eastAsia="zh-CN"/>
        </w:rPr>
        <w:t>；</w:t>
      </w:r>
    </w:p>
    <w:p>
      <w:pPr>
        <w:pStyle w:val="2"/>
        <w:spacing w:line="560" w:lineRule="exact"/>
        <w:ind w:firstLine="640"/>
        <w:rPr>
          <w:rFonts w:ascii="仿宋" w:hAnsi="仿宋" w:eastAsia="仿宋" w:cs="仿宋"/>
          <w:sz w:val="32"/>
          <w:szCs w:val="32"/>
        </w:rPr>
      </w:pPr>
      <w:r>
        <w:rPr>
          <w:rFonts w:hint="eastAsia" w:ascii="仿宋" w:hAnsi="仿宋" w:eastAsia="仿宋" w:cs="仿宋"/>
          <w:sz w:val="32"/>
          <w:szCs w:val="32"/>
        </w:rPr>
        <w:t>（17）住房公积金（2210201）382.86万元，</w:t>
      </w:r>
      <w:r>
        <w:rPr>
          <w:rFonts w:hint="eastAsia" w:ascii="仿宋" w:hAnsi="仿宋" w:eastAsia="仿宋" w:cs="仿宋"/>
          <w:kern w:val="0"/>
          <w:sz w:val="32"/>
          <w:szCs w:val="32"/>
          <w:shd w:val="clear" w:color="auto" w:fill="FFFFFF"/>
        </w:rPr>
        <w:t>较上年增加</w:t>
      </w:r>
      <w:r>
        <w:rPr>
          <w:rFonts w:hint="eastAsia" w:ascii="仿宋" w:hAnsi="仿宋" w:eastAsia="仿宋" w:cs="仿宋"/>
          <w:sz w:val="32"/>
          <w:szCs w:val="32"/>
        </w:rPr>
        <w:t>382.86</w:t>
      </w:r>
      <w:r>
        <w:rPr>
          <w:rFonts w:hint="eastAsia" w:ascii="仿宋" w:hAnsi="仿宋" w:eastAsia="仿宋" w:cs="仿宋"/>
          <w:kern w:val="0"/>
          <w:sz w:val="32"/>
          <w:szCs w:val="32"/>
          <w:shd w:val="clear" w:color="auto" w:fill="FFFFFF"/>
        </w:rPr>
        <w:t>万元，原因是上年系统汇总预算未公开。</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3、支出按经济科目分类的明细情况。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2023年本系统当年一般公共预算支出7191.89万元，其中：工资福利支出（301）3729.07万元，较上年增加3729.07万元，</w:t>
      </w:r>
      <w:r>
        <w:rPr>
          <w:rFonts w:hint="eastAsia" w:ascii="仿宋" w:hAnsi="仿宋" w:eastAsia="仿宋" w:cs="仿宋"/>
          <w:kern w:val="0"/>
          <w:sz w:val="32"/>
          <w:szCs w:val="32"/>
          <w:shd w:val="clear" w:color="auto" w:fill="FFFFFF"/>
        </w:rPr>
        <w:t>原因是上年系统汇总预算未公开</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商品和服务支出（302）1411.91万元，较上年增加1411.91万元，</w:t>
      </w:r>
      <w:r>
        <w:rPr>
          <w:rFonts w:hint="eastAsia" w:ascii="仿宋" w:hAnsi="仿宋" w:eastAsia="仿宋" w:cs="仿宋"/>
          <w:kern w:val="0"/>
          <w:sz w:val="32"/>
          <w:szCs w:val="32"/>
          <w:shd w:val="clear" w:color="auto" w:fill="FFFFFF"/>
        </w:rPr>
        <w:t>原因是上年系统汇总预算未公开</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对个人和家庭的补助（303）2050.91万元，较上年增加2050.91万元，</w:t>
      </w:r>
      <w:r>
        <w:rPr>
          <w:rFonts w:hint="eastAsia" w:ascii="仿宋" w:hAnsi="仿宋" w:eastAsia="仿宋" w:cs="仿宋"/>
          <w:kern w:val="0"/>
          <w:sz w:val="32"/>
          <w:szCs w:val="32"/>
          <w:shd w:val="clear" w:color="auto" w:fill="FFFFFF"/>
        </w:rPr>
        <w:t>原因是上年系统汇总预算未公开</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（2）按照政府预算支出经济分类的类级科目说明。</w:t>
      </w:r>
    </w:p>
    <w:p>
      <w:pPr>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2023年本系统当年一般公共预算支出</w:t>
      </w:r>
      <w:r>
        <w:rPr>
          <w:rFonts w:hint="eastAsia" w:ascii="仿宋" w:hAnsi="仿宋" w:eastAsia="仿宋" w:cs="仿宋"/>
          <w:sz w:val="32"/>
          <w:szCs w:val="32"/>
        </w:rPr>
        <w:t>7191.89</w:t>
      </w:r>
      <w:r>
        <w:rPr>
          <w:rFonts w:hint="eastAsia" w:ascii="仿宋" w:hAnsi="仿宋" w:eastAsia="仿宋" w:cs="仿宋"/>
          <w:kern w:val="0"/>
          <w:sz w:val="32"/>
          <w:szCs w:val="32"/>
          <w:shd w:val="clear" w:color="auto" w:fill="FFFFFF"/>
        </w:rPr>
        <w:t>万元，其中：工资福利支出（501）3729.07万元，较上年增加3729.07万元，原因是上年系统汇总预算未公开；</w:t>
      </w:r>
    </w:p>
    <w:p>
      <w:pPr>
        <w:spacing w:line="560" w:lineRule="exact"/>
        <w:ind w:firstLine="640"/>
        <w:rPr>
          <w:rFonts w:ascii="仿宋" w:hAnsi="仿宋" w:eastAsia="仿宋" w:cs="仿宋"/>
          <w:b/>
          <w:bCs/>
          <w:sz w:val="32"/>
          <w:szCs w:val="32"/>
        </w:rPr>
      </w:pPr>
      <w:r>
        <w:rPr>
          <w:rFonts w:hint="eastAsia" w:ascii="仿宋" w:hAnsi="仿宋" w:eastAsia="仿宋" w:cs="仿宋"/>
          <w:kern w:val="0"/>
          <w:sz w:val="32"/>
          <w:szCs w:val="32"/>
          <w:shd w:val="clear" w:color="auto" w:fill="FFFFFF"/>
        </w:rPr>
        <w:t>商品和服务支出（502）1411.91万元，较上年增加1411.91万元，原因是专项经费上年未纳入部门预算；</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对个人和家庭的补助（509）2050.91万元，较上年增加2050.91万元，</w:t>
      </w:r>
      <w:r>
        <w:rPr>
          <w:rFonts w:hint="eastAsia" w:ascii="仿宋" w:hAnsi="仿宋" w:eastAsia="仿宋" w:cs="仿宋"/>
          <w:kern w:val="0"/>
          <w:sz w:val="32"/>
          <w:szCs w:val="32"/>
          <w:shd w:val="clear" w:color="auto" w:fill="FFFFFF"/>
        </w:rPr>
        <w:t>原因是专项经费上年未纳入部门预算</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4、2022年结转财政资金一般公共预算拨款支出情况。</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本部门无2022年结转的一般公共预算拨款资金支出。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（四）政府性基金预算支出情况。</w:t>
      </w:r>
    </w:p>
    <w:p>
      <w:pPr>
        <w:numPr>
          <w:ilvl w:val="0"/>
          <w:numId w:val="1"/>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1"/>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（五）国有资本经营预算拨款收支情况。</w:t>
      </w:r>
    </w:p>
    <w:p>
      <w:pPr>
        <w:widowControl/>
        <w:shd w:val="clear" w:color="auto" w:fill="FFFFFF"/>
        <w:spacing w:line="560" w:lineRule="exact"/>
        <w:ind w:firstLine="640"/>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rPr>
        <w:t>本系统无当年国有资本经营预算拨款收支，并在财政拨款收支总体情况表中列示。</w:t>
      </w:r>
    </w:p>
    <w:p>
      <w:pPr>
        <w:widowControl/>
        <w:shd w:val="clear" w:color="auto" w:fill="FFFFFF"/>
        <w:spacing w:line="560" w:lineRule="exact"/>
        <w:ind w:firstLine="640"/>
        <w:jc w:val="left"/>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rPr>
        <w:t>本系统无2022年结转的国有资本经营预算拨款支出。</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560" w:lineRule="exact"/>
        <w:ind w:firstLine="640"/>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1.2023年本系统当年一般公共预算“三公”经费预算支出8.26万元，公务接待费4.26万元，公务用车运行费4万元。</w:t>
      </w:r>
    </w:p>
    <w:p>
      <w:pPr>
        <w:spacing w:line="560" w:lineRule="exact"/>
        <w:ind w:firstLine="640"/>
        <w:rPr>
          <w:rFonts w:ascii="仿宋" w:hAnsi="仿宋" w:eastAsia="仿宋" w:cs="仿宋"/>
          <w:b/>
          <w:bCs/>
          <w:sz w:val="32"/>
          <w:szCs w:val="32"/>
        </w:rPr>
      </w:pPr>
      <w:r>
        <w:rPr>
          <w:rFonts w:hint="eastAsia" w:ascii="仿宋" w:hAnsi="仿宋" w:eastAsia="仿宋" w:cs="仿宋"/>
          <w:color w:val="333333"/>
          <w:kern w:val="0"/>
          <w:sz w:val="32"/>
          <w:szCs w:val="32"/>
          <w:shd w:val="clear" w:color="auto" w:fill="FFFFFF"/>
        </w:rPr>
        <w:t>2.2023年本系统无会议费、无培训费预算支出。</w:t>
      </w:r>
    </w:p>
    <w:p>
      <w:pPr>
        <w:widowControl/>
        <w:shd w:val="clear" w:color="auto" w:fill="FFFFFF"/>
        <w:spacing w:line="560" w:lineRule="exact"/>
        <w:ind w:firstLine="640"/>
        <w:jc w:val="left"/>
        <w:rPr>
          <w:rFonts w:ascii="仿宋" w:hAnsi="仿宋" w:eastAsia="仿宋" w:cs="仿宋"/>
          <w:sz w:val="32"/>
          <w:szCs w:val="32"/>
        </w:rPr>
      </w:pPr>
      <w:r>
        <w:rPr>
          <w:rFonts w:hint="eastAsia" w:ascii="仿宋" w:hAnsi="仿宋" w:eastAsia="仿宋" w:cs="仿宋"/>
          <w:color w:val="333333"/>
          <w:kern w:val="0"/>
          <w:sz w:val="32"/>
          <w:szCs w:val="32"/>
          <w:shd w:val="clear" w:color="auto" w:fill="FFFFFF"/>
        </w:rPr>
        <w:t>本系统无2022年结转的财政拨款‘三公’经费和会议费、培训费支出。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截止2022年底，本系统所属预算单位共有车辆0辆，单价20万元以上的设备0台（套）。2023年当年部门预算安排购置车辆0辆；安排购置单价20万元以上的设备0台（套）。</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本系统无2022年结转的财政拨款支出资产购置。</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八、部门政府采购情况说明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2023年本系统政府采购预算共201.98万元，其中政府采购货物类预算201.98万元。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2023年本系统绩效目标管理全覆盖，涉及当年一般公共预算拨款7191.89万元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pStyle w:val="6"/>
        <w:spacing w:line="560" w:lineRule="exact"/>
        <w:ind w:firstLine="640"/>
        <w:jc w:val="left"/>
        <w:rPr>
          <w:rFonts w:ascii="仿宋" w:hAnsi="仿宋" w:eastAsia="仿宋" w:cs="仿宋"/>
          <w:sz w:val="32"/>
          <w:szCs w:val="32"/>
        </w:rPr>
      </w:pPr>
      <w:r>
        <w:rPr>
          <w:rFonts w:hint="eastAsia" w:ascii="仿宋" w:hAnsi="仿宋" w:eastAsia="仿宋" w:cs="仿宋"/>
          <w:sz w:val="32"/>
          <w:szCs w:val="32"/>
        </w:rPr>
        <w:t>本系统无2022年结转的财政拨款支出涉及的绩效目标管理。</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本系统当年机关运行经费预算安排50.92万元，较上年增加50.92万元，</w:t>
      </w:r>
      <w:r>
        <w:rPr>
          <w:rFonts w:hint="eastAsia" w:ascii="仿宋" w:hAnsi="仿宋" w:eastAsia="仿宋" w:cs="仿宋"/>
          <w:kern w:val="0"/>
          <w:sz w:val="32"/>
          <w:szCs w:val="32"/>
          <w:shd w:val="clear" w:color="auto" w:fill="FFFFFF"/>
        </w:rPr>
        <w:t>原因是上年系统汇总预算未公开</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本系统无2022年结转的财政拨款机关运行经费支出。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一）机关运行经费：为保障行政单位（包括参照公务员法管理的事业单位）运行用于购买物和服务的各项公用经费，包括办公及印刷费、邮电费、差旅费、会议费、福利费、日常维修费、专用材料及办公用房水电费、办公用房取暖费、办公用房物业管理费、公务用车运行维护费以及其他费。</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二）“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560" w:lineRule="exact"/>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 xml:space="preserve">  第四部分  公开报表</w:t>
      </w:r>
    </w:p>
    <w:p>
      <w:pPr>
        <w:pStyle w:val="6"/>
        <w:ind w:firstLine="640"/>
        <w:jc w:val="left"/>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见附件2内容</w:t>
      </w:r>
      <w:r>
        <w:rPr>
          <w:rFonts w:hint="eastAsia" w:ascii="仿宋" w:hAnsi="仿宋" w:eastAsia="仿宋" w:cs="仿宋"/>
          <w:sz w:val="32"/>
          <w:szCs w:val="32"/>
          <w:lang w:eastAsia="zh-CN"/>
        </w:rPr>
        <w:t>）</w:t>
      </w:r>
    </w:p>
    <w:p>
      <w:pPr>
        <w:pStyle w:val="7"/>
        <w:ind w:left="480" w:firstLine="640"/>
        <w:rPr>
          <w:rFonts w:ascii="仿宋" w:hAnsi="仿宋" w:eastAsia="仿宋" w:cs="仿宋"/>
          <w:sz w:val="32"/>
          <w:szCs w:val="32"/>
        </w:rPr>
      </w:pPr>
    </w:p>
    <w:p>
      <w:pPr>
        <w:ind w:firstLine="640"/>
        <w:rPr>
          <w:rFonts w:ascii="仿宋" w:hAnsi="仿宋" w:eastAsia="仿宋" w:cs="仿宋"/>
          <w:sz w:val="32"/>
          <w:szCs w:val="32"/>
        </w:rPr>
      </w:pPr>
    </w:p>
    <w:p>
      <w:pPr>
        <w:pStyle w:val="7"/>
        <w:ind w:left="0" w:leftChars="0" w:firstLine="0" w:firstLineChars="0"/>
        <w:rPr>
          <w:rFonts w:ascii="仿宋" w:hAnsi="仿宋" w:eastAsia="仿宋" w:cs="仿宋"/>
          <w:sz w:val="32"/>
          <w:szCs w:val="32"/>
        </w:rPr>
      </w:pPr>
    </w:p>
    <w:p>
      <w:pPr>
        <w:pStyle w:val="7"/>
        <w:ind w:left="5918" w:leftChars="466" w:hanging="4800" w:hangingChars="1500"/>
        <w:jc w:val="right"/>
        <w:rPr>
          <w:rFonts w:ascii="仿宋" w:hAnsi="仿宋" w:eastAsia="仿宋" w:cs="仿宋"/>
          <w:sz w:val="32"/>
          <w:szCs w:val="32"/>
        </w:rPr>
      </w:pPr>
      <w:r>
        <w:rPr>
          <w:rFonts w:hint="eastAsia" w:ascii="仿宋" w:hAnsi="仿宋" w:eastAsia="仿宋" w:cs="仿宋"/>
          <w:sz w:val="32"/>
          <w:szCs w:val="32"/>
        </w:rPr>
        <w:t xml:space="preserve">紫阳县卫生健康局                              </w:t>
      </w:r>
    </w:p>
    <w:p>
      <w:pPr>
        <w:pStyle w:val="7"/>
        <w:ind w:left="5918" w:leftChars="466" w:hanging="4800" w:hangingChars="1500"/>
        <w:jc w:val="right"/>
        <w:rPr>
          <w:rFonts w:ascii="仿宋" w:hAnsi="仿宋" w:eastAsia="仿宋"/>
          <w:sz w:val="32"/>
          <w:szCs w:val="32"/>
        </w:rPr>
      </w:pPr>
      <w:r>
        <w:rPr>
          <w:rFonts w:hint="eastAsia" w:ascii="仿宋" w:hAnsi="仿宋" w:eastAsia="仿宋" w:cs="仿宋"/>
          <w:sz w:val="32"/>
          <w:szCs w:val="32"/>
        </w:rPr>
        <w:t>2023年3月24日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00172A27"/>
    <w:rsid w:val="0002500C"/>
    <w:rsid w:val="00052A18"/>
    <w:rsid w:val="001315D9"/>
    <w:rsid w:val="00172A27"/>
    <w:rsid w:val="002B66C0"/>
    <w:rsid w:val="00305CE7"/>
    <w:rsid w:val="00423572"/>
    <w:rsid w:val="00515C9B"/>
    <w:rsid w:val="005F037B"/>
    <w:rsid w:val="005F5E03"/>
    <w:rsid w:val="00612345"/>
    <w:rsid w:val="006E62C8"/>
    <w:rsid w:val="00732008"/>
    <w:rsid w:val="00805E0A"/>
    <w:rsid w:val="00817C7C"/>
    <w:rsid w:val="00856137"/>
    <w:rsid w:val="008E658C"/>
    <w:rsid w:val="00AD12AD"/>
    <w:rsid w:val="00B46918"/>
    <w:rsid w:val="00B559E6"/>
    <w:rsid w:val="00B96210"/>
    <w:rsid w:val="00C31BE7"/>
    <w:rsid w:val="00C80085"/>
    <w:rsid w:val="00CE11C6"/>
    <w:rsid w:val="00E10B24"/>
    <w:rsid w:val="00E57791"/>
    <w:rsid w:val="00E92A8A"/>
    <w:rsid w:val="00EE198E"/>
    <w:rsid w:val="00F13B71"/>
    <w:rsid w:val="00F211EF"/>
    <w:rsid w:val="00F66ABC"/>
    <w:rsid w:val="00F86BD8"/>
    <w:rsid w:val="011D2710"/>
    <w:rsid w:val="014A4B87"/>
    <w:rsid w:val="015358A1"/>
    <w:rsid w:val="016320EC"/>
    <w:rsid w:val="0169037A"/>
    <w:rsid w:val="01814321"/>
    <w:rsid w:val="019A37DB"/>
    <w:rsid w:val="01A249C3"/>
    <w:rsid w:val="01A85D51"/>
    <w:rsid w:val="01C34939"/>
    <w:rsid w:val="01DF2BB7"/>
    <w:rsid w:val="01ED29DF"/>
    <w:rsid w:val="02005B8D"/>
    <w:rsid w:val="0209026D"/>
    <w:rsid w:val="022950E4"/>
    <w:rsid w:val="025033FE"/>
    <w:rsid w:val="02557C87"/>
    <w:rsid w:val="025830ED"/>
    <w:rsid w:val="025D4D8E"/>
    <w:rsid w:val="02AE38DD"/>
    <w:rsid w:val="02B44DAC"/>
    <w:rsid w:val="02D36DFE"/>
    <w:rsid w:val="02E940E4"/>
    <w:rsid w:val="02FA082F"/>
    <w:rsid w:val="03065425"/>
    <w:rsid w:val="031C2553"/>
    <w:rsid w:val="03295794"/>
    <w:rsid w:val="03347010"/>
    <w:rsid w:val="033B6E7D"/>
    <w:rsid w:val="034D4E02"/>
    <w:rsid w:val="037A0CE5"/>
    <w:rsid w:val="037B747C"/>
    <w:rsid w:val="03990047"/>
    <w:rsid w:val="03AC5C73"/>
    <w:rsid w:val="03B92498"/>
    <w:rsid w:val="03C51AA4"/>
    <w:rsid w:val="03F02558"/>
    <w:rsid w:val="03F03CCE"/>
    <w:rsid w:val="041336A0"/>
    <w:rsid w:val="042123E7"/>
    <w:rsid w:val="042542D3"/>
    <w:rsid w:val="042C2C6A"/>
    <w:rsid w:val="04652BB5"/>
    <w:rsid w:val="04671024"/>
    <w:rsid w:val="046B5540"/>
    <w:rsid w:val="048B3E34"/>
    <w:rsid w:val="04986A1A"/>
    <w:rsid w:val="04C70D83"/>
    <w:rsid w:val="04D8694E"/>
    <w:rsid w:val="04EE7F1F"/>
    <w:rsid w:val="050C7A05"/>
    <w:rsid w:val="053D0B13"/>
    <w:rsid w:val="058C4DF7"/>
    <w:rsid w:val="059B00A7"/>
    <w:rsid w:val="05A6512B"/>
    <w:rsid w:val="05AF0381"/>
    <w:rsid w:val="05BE3D95"/>
    <w:rsid w:val="05DE61E6"/>
    <w:rsid w:val="05F45A09"/>
    <w:rsid w:val="06052BB4"/>
    <w:rsid w:val="061B11E8"/>
    <w:rsid w:val="063A2179"/>
    <w:rsid w:val="06535650"/>
    <w:rsid w:val="06555A5A"/>
    <w:rsid w:val="066016CB"/>
    <w:rsid w:val="06B900B8"/>
    <w:rsid w:val="06CD10FE"/>
    <w:rsid w:val="072919FB"/>
    <w:rsid w:val="073A744C"/>
    <w:rsid w:val="073C1416"/>
    <w:rsid w:val="0753082F"/>
    <w:rsid w:val="07600B39"/>
    <w:rsid w:val="07632917"/>
    <w:rsid w:val="07956EB7"/>
    <w:rsid w:val="07D21D7A"/>
    <w:rsid w:val="07DB29DD"/>
    <w:rsid w:val="08346591"/>
    <w:rsid w:val="0877497F"/>
    <w:rsid w:val="087D5842"/>
    <w:rsid w:val="087D7F38"/>
    <w:rsid w:val="08AC10A9"/>
    <w:rsid w:val="08B33959"/>
    <w:rsid w:val="08DA2EA3"/>
    <w:rsid w:val="08EB280C"/>
    <w:rsid w:val="08F85810"/>
    <w:rsid w:val="092F4832"/>
    <w:rsid w:val="09405DA8"/>
    <w:rsid w:val="09412D13"/>
    <w:rsid w:val="095E38C5"/>
    <w:rsid w:val="097F3883"/>
    <w:rsid w:val="09821A03"/>
    <w:rsid w:val="0983332C"/>
    <w:rsid w:val="09A3752A"/>
    <w:rsid w:val="09A908B8"/>
    <w:rsid w:val="09D122E9"/>
    <w:rsid w:val="09DB4BAE"/>
    <w:rsid w:val="09DE4A06"/>
    <w:rsid w:val="0A261F09"/>
    <w:rsid w:val="0A334D52"/>
    <w:rsid w:val="0A391333"/>
    <w:rsid w:val="0A786C09"/>
    <w:rsid w:val="0AA50E2F"/>
    <w:rsid w:val="0AA6727C"/>
    <w:rsid w:val="0AC05463"/>
    <w:rsid w:val="0AD97118"/>
    <w:rsid w:val="0ADA51CD"/>
    <w:rsid w:val="0AEE1997"/>
    <w:rsid w:val="0B0259FF"/>
    <w:rsid w:val="0B115838"/>
    <w:rsid w:val="0B225885"/>
    <w:rsid w:val="0B325009"/>
    <w:rsid w:val="0B420AEA"/>
    <w:rsid w:val="0B4A656B"/>
    <w:rsid w:val="0B633874"/>
    <w:rsid w:val="0B8C27E0"/>
    <w:rsid w:val="0BAB6B6A"/>
    <w:rsid w:val="0BBE4AEF"/>
    <w:rsid w:val="0BBF2E48"/>
    <w:rsid w:val="0BC70C0A"/>
    <w:rsid w:val="0BC817E1"/>
    <w:rsid w:val="0BCE6852"/>
    <w:rsid w:val="0BE61950"/>
    <w:rsid w:val="0BEA54A6"/>
    <w:rsid w:val="0C000C64"/>
    <w:rsid w:val="0C0224F5"/>
    <w:rsid w:val="0C06345B"/>
    <w:rsid w:val="0C284A48"/>
    <w:rsid w:val="0C3D305A"/>
    <w:rsid w:val="0C4F74F5"/>
    <w:rsid w:val="0C743330"/>
    <w:rsid w:val="0C923886"/>
    <w:rsid w:val="0CA912FB"/>
    <w:rsid w:val="0CB963C1"/>
    <w:rsid w:val="0CBF4530"/>
    <w:rsid w:val="0D247F78"/>
    <w:rsid w:val="0D2E4E0F"/>
    <w:rsid w:val="0D332B67"/>
    <w:rsid w:val="0D3C0CD1"/>
    <w:rsid w:val="0D473781"/>
    <w:rsid w:val="0D75742F"/>
    <w:rsid w:val="0D953218"/>
    <w:rsid w:val="0DB461AA"/>
    <w:rsid w:val="0DEB13DD"/>
    <w:rsid w:val="0DF30981"/>
    <w:rsid w:val="0E0C1122"/>
    <w:rsid w:val="0E1B7FD7"/>
    <w:rsid w:val="0E250E55"/>
    <w:rsid w:val="0E407A3D"/>
    <w:rsid w:val="0E58315B"/>
    <w:rsid w:val="0E680D42"/>
    <w:rsid w:val="0E797AC2"/>
    <w:rsid w:val="0E7B41E7"/>
    <w:rsid w:val="0E8611C8"/>
    <w:rsid w:val="0EA83E98"/>
    <w:rsid w:val="0EB126E9"/>
    <w:rsid w:val="0EC20452"/>
    <w:rsid w:val="0EC56195"/>
    <w:rsid w:val="0EF10D38"/>
    <w:rsid w:val="0F081333"/>
    <w:rsid w:val="0F1008A4"/>
    <w:rsid w:val="0F1B056F"/>
    <w:rsid w:val="0F2E7896"/>
    <w:rsid w:val="0F423341"/>
    <w:rsid w:val="0F566B52"/>
    <w:rsid w:val="0F610C24"/>
    <w:rsid w:val="0F6C5E1D"/>
    <w:rsid w:val="0F711E78"/>
    <w:rsid w:val="0FA45A72"/>
    <w:rsid w:val="0FA826FB"/>
    <w:rsid w:val="0FCE2E27"/>
    <w:rsid w:val="0FD41361"/>
    <w:rsid w:val="0FE73EE9"/>
    <w:rsid w:val="0FEC0C91"/>
    <w:rsid w:val="0FF5179F"/>
    <w:rsid w:val="1032477F"/>
    <w:rsid w:val="108300B5"/>
    <w:rsid w:val="10883F67"/>
    <w:rsid w:val="10946959"/>
    <w:rsid w:val="10991687"/>
    <w:rsid w:val="10A342B4"/>
    <w:rsid w:val="10B332B2"/>
    <w:rsid w:val="10BC5375"/>
    <w:rsid w:val="10DC1574"/>
    <w:rsid w:val="10F92125"/>
    <w:rsid w:val="110D4BD9"/>
    <w:rsid w:val="110E3C0C"/>
    <w:rsid w:val="110E5BD1"/>
    <w:rsid w:val="1125116C"/>
    <w:rsid w:val="11390774"/>
    <w:rsid w:val="113B7203"/>
    <w:rsid w:val="114535BD"/>
    <w:rsid w:val="11471180"/>
    <w:rsid w:val="118A09AF"/>
    <w:rsid w:val="11B3097A"/>
    <w:rsid w:val="11C346FF"/>
    <w:rsid w:val="11E55DE6"/>
    <w:rsid w:val="11F0044E"/>
    <w:rsid w:val="11FF19BD"/>
    <w:rsid w:val="12042B30"/>
    <w:rsid w:val="12082FE5"/>
    <w:rsid w:val="121D3BF2"/>
    <w:rsid w:val="1226519C"/>
    <w:rsid w:val="1282120A"/>
    <w:rsid w:val="129E1223"/>
    <w:rsid w:val="12B7265B"/>
    <w:rsid w:val="12C0114D"/>
    <w:rsid w:val="12E45938"/>
    <w:rsid w:val="12EB3531"/>
    <w:rsid w:val="12F8536A"/>
    <w:rsid w:val="12FB03D7"/>
    <w:rsid w:val="13196AAF"/>
    <w:rsid w:val="135107D4"/>
    <w:rsid w:val="13785584"/>
    <w:rsid w:val="13936874"/>
    <w:rsid w:val="13C723C5"/>
    <w:rsid w:val="13DF3855"/>
    <w:rsid w:val="13E75309"/>
    <w:rsid w:val="140E7C96"/>
    <w:rsid w:val="14150C68"/>
    <w:rsid w:val="1416199A"/>
    <w:rsid w:val="141E5640"/>
    <w:rsid w:val="14277E33"/>
    <w:rsid w:val="142E658A"/>
    <w:rsid w:val="1437543F"/>
    <w:rsid w:val="145C6C53"/>
    <w:rsid w:val="149A3343"/>
    <w:rsid w:val="14A35726"/>
    <w:rsid w:val="14BC1DE8"/>
    <w:rsid w:val="14C75E7F"/>
    <w:rsid w:val="15087B4C"/>
    <w:rsid w:val="150F4227"/>
    <w:rsid w:val="15145780"/>
    <w:rsid w:val="151A5896"/>
    <w:rsid w:val="151F6E6D"/>
    <w:rsid w:val="15211C4B"/>
    <w:rsid w:val="153935D8"/>
    <w:rsid w:val="154F1B9F"/>
    <w:rsid w:val="156F6E5A"/>
    <w:rsid w:val="158C3568"/>
    <w:rsid w:val="15AE7982"/>
    <w:rsid w:val="15B95A59"/>
    <w:rsid w:val="15C8778C"/>
    <w:rsid w:val="15CE592F"/>
    <w:rsid w:val="15D31197"/>
    <w:rsid w:val="15EE4223"/>
    <w:rsid w:val="15F62AB7"/>
    <w:rsid w:val="160A63B3"/>
    <w:rsid w:val="16150B7E"/>
    <w:rsid w:val="162163A6"/>
    <w:rsid w:val="16264D1F"/>
    <w:rsid w:val="167A1613"/>
    <w:rsid w:val="1683496B"/>
    <w:rsid w:val="169D3553"/>
    <w:rsid w:val="16A62408"/>
    <w:rsid w:val="16BA2B09"/>
    <w:rsid w:val="16BB0A11"/>
    <w:rsid w:val="16C17241"/>
    <w:rsid w:val="16EA1853"/>
    <w:rsid w:val="170B670F"/>
    <w:rsid w:val="171667D3"/>
    <w:rsid w:val="17190E2C"/>
    <w:rsid w:val="1726179A"/>
    <w:rsid w:val="17424B58"/>
    <w:rsid w:val="174C1201"/>
    <w:rsid w:val="17571954"/>
    <w:rsid w:val="17910A90"/>
    <w:rsid w:val="1796247C"/>
    <w:rsid w:val="17AA5F28"/>
    <w:rsid w:val="17C74D2B"/>
    <w:rsid w:val="17CA481C"/>
    <w:rsid w:val="17E256C1"/>
    <w:rsid w:val="17E34984"/>
    <w:rsid w:val="17E92EF4"/>
    <w:rsid w:val="180B10BC"/>
    <w:rsid w:val="181F4C6E"/>
    <w:rsid w:val="18335F1D"/>
    <w:rsid w:val="18410DA8"/>
    <w:rsid w:val="18506ACF"/>
    <w:rsid w:val="18534811"/>
    <w:rsid w:val="18680801"/>
    <w:rsid w:val="187A1D9E"/>
    <w:rsid w:val="187C632C"/>
    <w:rsid w:val="18A9238D"/>
    <w:rsid w:val="18C97953"/>
    <w:rsid w:val="18D8782D"/>
    <w:rsid w:val="18DA6CE0"/>
    <w:rsid w:val="18EB2595"/>
    <w:rsid w:val="19055D69"/>
    <w:rsid w:val="19141913"/>
    <w:rsid w:val="191750EC"/>
    <w:rsid w:val="1960119B"/>
    <w:rsid w:val="19942E61"/>
    <w:rsid w:val="199C7AF2"/>
    <w:rsid w:val="19A1335A"/>
    <w:rsid w:val="19B02787"/>
    <w:rsid w:val="19BD63E6"/>
    <w:rsid w:val="19C05ED6"/>
    <w:rsid w:val="19C5529B"/>
    <w:rsid w:val="19CC487B"/>
    <w:rsid w:val="19D76D7C"/>
    <w:rsid w:val="19EA4D01"/>
    <w:rsid w:val="1A1D50D7"/>
    <w:rsid w:val="1A2F0955"/>
    <w:rsid w:val="1A3519E7"/>
    <w:rsid w:val="1A5F749D"/>
    <w:rsid w:val="1A807414"/>
    <w:rsid w:val="1AD75285"/>
    <w:rsid w:val="1ADE52DA"/>
    <w:rsid w:val="1AE02592"/>
    <w:rsid w:val="1B0165C9"/>
    <w:rsid w:val="1B092C9F"/>
    <w:rsid w:val="1B1A7868"/>
    <w:rsid w:val="1B291859"/>
    <w:rsid w:val="1B2D759B"/>
    <w:rsid w:val="1B332B6A"/>
    <w:rsid w:val="1B5A5061"/>
    <w:rsid w:val="1B815532"/>
    <w:rsid w:val="1B8E63BA"/>
    <w:rsid w:val="1BC933DC"/>
    <w:rsid w:val="1C097D46"/>
    <w:rsid w:val="1C2C7853"/>
    <w:rsid w:val="1C320E66"/>
    <w:rsid w:val="1C5A1287"/>
    <w:rsid w:val="1C7D00AF"/>
    <w:rsid w:val="1C9D42AD"/>
    <w:rsid w:val="1CA27B15"/>
    <w:rsid w:val="1CB164B9"/>
    <w:rsid w:val="1CBF2475"/>
    <w:rsid w:val="1CEB326A"/>
    <w:rsid w:val="1D02380A"/>
    <w:rsid w:val="1D083CA6"/>
    <w:rsid w:val="1D1036BA"/>
    <w:rsid w:val="1D552DD9"/>
    <w:rsid w:val="1D743260"/>
    <w:rsid w:val="1D990F18"/>
    <w:rsid w:val="1DA022A7"/>
    <w:rsid w:val="1DAD6772"/>
    <w:rsid w:val="1DC615E1"/>
    <w:rsid w:val="1DC6338F"/>
    <w:rsid w:val="1DF779ED"/>
    <w:rsid w:val="1E1467F1"/>
    <w:rsid w:val="1E164317"/>
    <w:rsid w:val="1E285DF8"/>
    <w:rsid w:val="1E48774E"/>
    <w:rsid w:val="1E672DC4"/>
    <w:rsid w:val="1E6B3FC4"/>
    <w:rsid w:val="1E937F59"/>
    <w:rsid w:val="1E9A0651"/>
    <w:rsid w:val="1EA123DE"/>
    <w:rsid w:val="1EA50D3B"/>
    <w:rsid w:val="1ED0381D"/>
    <w:rsid w:val="1EDA3596"/>
    <w:rsid w:val="1EDE6EF7"/>
    <w:rsid w:val="1F0C571A"/>
    <w:rsid w:val="1F1F71FB"/>
    <w:rsid w:val="1F325180"/>
    <w:rsid w:val="1F356A1F"/>
    <w:rsid w:val="1F474DE3"/>
    <w:rsid w:val="1F59183B"/>
    <w:rsid w:val="1F69491A"/>
    <w:rsid w:val="1F72323A"/>
    <w:rsid w:val="1F9951FF"/>
    <w:rsid w:val="1F9E1EE8"/>
    <w:rsid w:val="1FBC2C9C"/>
    <w:rsid w:val="1FC77172"/>
    <w:rsid w:val="1FC85AE5"/>
    <w:rsid w:val="1FCD5494"/>
    <w:rsid w:val="1FCF0558"/>
    <w:rsid w:val="20032679"/>
    <w:rsid w:val="200710B0"/>
    <w:rsid w:val="200A5AFC"/>
    <w:rsid w:val="201947E5"/>
    <w:rsid w:val="20455988"/>
    <w:rsid w:val="206155F1"/>
    <w:rsid w:val="20827A59"/>
    <w:rsid w:val="208337BA"/>
    <w:rsid w:val="209C3433"/>
    <w:rsid w:val="20B42D9D"/>
    <w:rsid w:val="21092DF0"/>
    <w:rsid w:val="212136FE"/>
    <w:rsid w:val="213062F7"/>
    <w:rsid w:val="213925E9"/>
    <w:rsid w:val="21482EC5"/>
    <w:rsid w:val="21621941"/>
    <w:rsid w:val="216B497A"/>
    <w:rsid w:val="21710A4D"/>
    <w:rsid w:val="21732A0C"/>
    <w:rsid w:val="218E53D3"/>
    <w:rsid w:val="21B01310"/>
    <w:rsid w:val="2217240B"/>
    <w:rsid w:val="221D3069"/>
    <w:rsid w:val="22255342"/>
    <w:rsid w:val="227C4964"/>
    <w:rsid w:val="227E692E"/>
    <w:rsid w:val="227F4EDE"/>
    <w:rsid w:val="22A75E85"/>
    <w:rsid w:val="22AC3736"/>
    <w:rsid w:val="22D037F5"/>
    <w:rsid w:val="22E26EBD"/>
    <w:rsid w:val="22F8223D"/>
    <w:rsid w:val="230B5067"/>
    <w:rsid w:val="231E0E86"/>
    <w:rsid w:val="231F3C6E"/>
    <w:rsid w:val="234424ED"/>
    <w:rsid w:val="23773224"/>
    <w:rsid w:val="237C370A"/>
    <w:rsid w:val="238241FC"/>
    <w:rsid w:val="23B1063E"/>
    <w:rsid w:val="23B3277C"/>
    <w:rsid w:val="23B9674A"/>
    <w:rsid w:val="23CF1137"/>
    <w:rsid w:val="23EB7FF4"/>
    <w:rsid w:val="240D3AC6"/>
    <w:rsid w:val="242B3817"/>
    <w:rsid w:val="244D65B8"/>
    <w:rsid w:val="246D21D5"/>
    <w:rsid w:val="24733F80"/>
    <w:rsid w:val="24A563F4"/>
    <w:rsid w:val="24BD2F2C"/>
    <w:rsid w:val="24DE1906"/>
    <w:rsid w:val="24F3676A"/>
    <w:rsid w:val="250A6257"/>
    <w:rsid w:val="251C5F5A"/>
    <w:rsid w:val="25382DC5"/>
    <w:rsid w:val="25525D80"/>
    <w:rsid w:val="25617CD8"/>
    <w:rsid w:val="25641E0C"/>
    <w:rsid w:val="2580651A"/>
    <w:rsid w:val="25852ABC"/>
    <w:rsid w:val="25993D1B"/>
    <w:rsid w:val="25994027"/>
    <w:rsid w:val="259B2951"/>
    <w:rsid w:val="25C13345"/>
    <w:rsid w:val="25C970BA"/>
    <w:rsid w:val="25D23219"/>
    <w:rsid w:val="26193912"/>
    <w:rsid w:val="26234045"/>
    <w:rsid w:val="26321F0A"/>
    <w:rsid w:val="263537A8"/>
    <w:rsid w:val="26793695"/>
    <w:rsid w:val="26797B39"/>
    <w:rsid w:val="26977E3C"/>
    <w:rsid w:val="26A3260F"/>
    <w:rsid w:val="26AC3A6A"/>
    <w:rsid w:val="26B16FBE"/>
    <w:rsid w:val="26CA57C0"/>
    <w:rsid w:val="26E94B19"/>
    <w:rsid w:val="26F40F6D"/>
    <w:rsid w:val="26F86CAF"/>
    <w:rsid w:val="27192607"/>
    <w:rsid w:val="271E5FEA"/>
    <w:rsid w:val="279F1274"/>
    <w:rsid w:val="279F4B11"/>
    <w:rsid w:val="27FC632B"/>
    <w:rsid w:val="280B2A12"/>
    <w:rsid w:val="28856A2D"/>
    <w:rsid w:val="2886733F"/>
    <w:rsid w:val="28B974D7"/>
    <w:rsid w:val="28BE6984"/>
    <w:rsid w:val="28CB21A2"/>
    <w:rsid w:val="28CD2EC6"/>
    <w:rsid w:val="28CE1906"/>
    <w:rsid w:val="28D92B11"/>
    <w:rsid w:val="28F87669"/>
    <w:rsid w:val="29407CBA"/>
    <w:rsid w:val="2959155B"/>
    <w:rsid w:val="29995172"/>
    <w:rsid w:val="29A30A29"/>
    <w:rsid w:val="29A80341"/>
    <w:rsid w:val="29AC1283"/>
    <w:rsid w:val="29D53111"/>
    <w:rsid w:val="2A126B12"/>
    <w:rsid w:val="2A383F1E"/>
    <w:rsid w:val="2A3D2C2B"/>
    <w:rsid w:val="2A5D507B"/>
    <w:rsid w:val="2AA47CD5"/>
    <w:rsid w:val="2AB0164F"/>
    <w:rsid w:val="2AB078A1"/>
    <w:rsid w:val="2ADC1299"/>
    <w:rsid w:val="2AE37043"/>
    <w:rsid w:val="2AE757FB"/>
    <w:rsid w:val="2AFE23BA"/>
    <w:rsid w:val="2B0F6376"/>
    <w:rsid w:val="2B3E4EAD"/>
    <w:rsid w:val="2B9B0779"/>
    <w:rsid w:val="2BC5112A"/>
    <w:rsid w:val="2BD81239"/>
    <w:rsid w:val="2BE56461"/>
    <w:rsid w:val="2BE75DCA"/>
    <w:rsid w:val="2BF85692"/>
    <w:rsid w:val="2BFC6FEA"/>
    <w:rsid w:val="2C0256C6"/>
    <w:rsid w:val="2C1A76C8"/>
    <w:rsid w:val="2C2959EE"/>
    <w:rsid w:val="2C363DD6"/>
    <w:rsid w:val="2C5222B4"/>
    <w:rsid w:val="2C522B76"/>
    <w:rsid w:val="2C8F6D87"/>
    <w:rsid w:val="2CD258AD"/>
    <w:rsid w:val="2CD906C5"/>
    <w:rsid w:val="2CF3789E"/>
    <w:rsid w:val="2D0D3281"/>
    <w:rsid w:val="2D0D5C2B"/>
    <w:rsid w:val="2D236108"/>
    <w:rsid w:val="2D2500D2"/>
    <w:rsid w:val="2D4542D1"/>
    <w:rsid w:val="2D811081"/>
    <w:rsid w:val="2D99286E"/>
    <w:rsid w:val="2D9A478D"/>
    <w:rsid w:val="2DA27975"/>
    <w:rsid w:val="2DC20777"/>
    <w:rsid w:val="2DCD77AA"/>
    <w:rsid w:val="2DDA23E8"/>
    <w:rsid w:val="2E0B249C"/>
    <w:rsid w:val="2E193A2F"/>
    <w:rsid w:val="2E3738D4"/>
    <w:rsid w:val="2E717347"/>
    <w:rsid w:val="2E803BB2"/>
    <w:rsid w:val="2E8D23D3"/>
    <w:rsid w:val="2E9E309D"/>
    <w:rsid w:val="2EBD433B"/>
    <w:rsid w:val="2EDE2C2F"/>
    <w:rsid w:val="2EF23A77"/>
    <w:rsid w:val="2F0231E7"/>
    <w:rsid w:val="2F2F6948"/>
    <w:rsid w:val="2F3869D8"/>
    <w:rsid w:val="2F560F80"/>
    <w:rsid w:val="2F5B40D4"/>
    <w:rsid w:val="2F5B427F"/>
    <w:rsid w:val="2F7C41F6"/>
    <w:rsid w:val="2F8310E0"/>
    <w:rsid w:val="2F875074"/>
    <w:rsid w:val="2F98708D"/>
    <w:rsid w:val="2FFB15BE"/>
    <w:rsid w:val="300F6E18"/>
    <w:rsid w:val="301B3A0F"/>
    <w:rsid w:val="301F5C98"/>
    <w:rsid w:val="30234671"/>
    <w:rsid w:val="303D1BD7"/>
    <w:rsid w:val="30403678"/>
    <w:rsid w:val="30890978"/>
    <w:rsid w:val="30AF76EF"/>
    <w:rsid w:val="30D77936"/>
    <w:rsid w:val="30DC78E7"/>
    <w:rsid w:val="30E738F1"/>
    <w:rsid w:val="3112096E"/>
    <w:rsid w:val="312C0D1D"/>
    <w:rsid w:val="313D4076"/>
    <w:rsid w:val="314B3E80"/>
    <w:rsid w:val="31554CFE"/>
    <w:rsid w:val="31570A76"/>
    <w:rsid w:val="315C019A"/>
    <w:rsid w:val="319670B8"/>
    <w:rsid w:val="31A54044"/>
    <w:rsid w:val="31DB385B"/>
    <w:rsid w:val="31DD756F"/>
    <w:rsid w:val="31F167D5"/>
    <w:rsid w:val="320003DB"/>
    <w:rsid w:val="322466F2"/>
    <w:rsid w:val="322B447F"/>
    <w:rsid w:val="322E0A52"/>
    <w:rsid w:val="324C0F72"/>
    <w:rsid w:val="32713DBA"/>
    <w:rsid w:val="327B69E7"/>
    <w:rsid w:val="32A777DC"/>
    <w:rsid w:val="32A8762A"/>
    <w:rsid w:val="32DC0B22"/>
    <w:rsid w:val="33011313"/>
    <w:rsid w:val="330469DC"/>
    <w:rsid w:val="3310712F"/>
    <w:rsid w:val="337E2856"/>
    <w:rsid w:val="33966C57"/>
    <w:rsid w:val="33A87367"/>
    <w:rsid w:val="33D0750F"/>
    <w:rsid w:val="33EC2CEC"/>
    <w:rsid w:val="340B52BB"/>
    <w:rsid w:val="340E6646"/>
    <w:rsid w:val="342F5C51"/>
    <w:rsid w:val="343A4FCB"/>
    <w:rsid w:val="343F1D23"/>
    <w:rsid w:val="34684116"/>
    <w:rsid w:val="346F2A37"/>
    <w:rsid w:val="34A22D8F"/>
    <w:rsid w:val="34A75871"/>
    <w:rsid w:val="34C401D1"/>
    <w:rsid w:val="34F15C65"/>
    <w:rsid w:val="34FB7D24"/>
    <w:rsid w:val="351D1FD7"/>
    <w:rsid w:val="353360CA"/>
    <w:rsid w:val="353C245D"/>
    <w:rsid w:val="35560F57"/>
    <w:rsid w:val="358636D8"/>
    <w:rsid w:val="35B77D36"/>
    <w:rsid w:val="35C423A1"/>
    <w:rsid w:val="35D22DC1"/>
    <w:rsid w:val="35DE52C2"/>
    <w:rsid w:val="35FC1049"/>
    <w:rsid w:val="36130651"/>
    <w:rsid w:val="36174C78"/>
    <w:rsid w:val="36256A03"/>
    <w:rsid w:val="36384582"/>
    <w:rsid w:val="36413AA3"/>
    <w:rsid w:val="366D5ED8"/>
    <w:rsid w:val="36AC53C0"/>
    <w:rsid w:val="36D822E6"/>
    <w:rsid w:val="36EC570D"/>
    <w:rsid w:val="36FD1641"/>
    <w:rsid w:val="370945C1"/>
    <w:rsid w:val="371F3DE4"/>
    <w:rsid w:val="372C6501"/>
    <w:rsid w:val="373F7FE3"/>
    <w:rsid w:val="37463827"/>
    <w:rsid w:val="37464376"/>
    <w:rsid w:val="375810A4"/>
    <w:rsid w:val="37624231"/>
    <w:rsid w:val="376C68FE"/>
    <w:rsid w:val="377C5828"/>
    <w:rsid w:val="377E4FAF"/>
    <w:rsid w:val="37B3535F"/>
    <w:rsid w:val="37DD7F65"/>
    <w:rsid w:val="37E345F1"/>
    <w:rsid w:val="37E52450"/>
    <w:rsid w:val="3810606A"/>
    <w:rsid w:val="382F62A9"/>
    <w:rsid w:val="384D2BD3"/>
    <w:rsid w:val="3855655E"/>
    <w:rsid w:val="385B7F48"/>
    <w:rsid w:val="388C3A2F"/>
    <w:rsid w:val="38C509BB"/>
    <w:rsid w:val="38C8225A"/>
    <w:rsid w:val="38D64977"/>
    <w:rsid w:val="38EC419A"/>
    <w:rsid w:val="39111020"/>
    <w:rsid w:val="39184F8F"/>
    <w:rsid w:val="394360F5"/>
    <w:rsid w:val="397D1296"/>
    <w:rsid w:val="39BA1BA2"/>
    <w:rsid w:val="39D36D72"/>
    <w:rsid w:val="39E11825"/>
    <w:rsid w:val="39F23E7D"/>
    <w:rsid w:val="39F27F2D"/>
    <w:rsid w:val="39F94DC1"/>
    <w:rsid w:val="3A296DB0"/>
    <w:rsid w:val="3A3B7187"/>
    <w:rsid w:val="3A4164A5"/>
    <w:rsid w:val="3A8C3EE7"/>
    <w:rsid w:val="3AA30888"/>
    <w:rsid w:val="3B230497"/>
    <w:rsid w:val="3B2714BA"/>
    <w:rsid w:val="3B3B1B9E"/>
    <w:rsid w:val="3B3B3FFE"/>
    <w:rsid w:val="3B4E2552"/>
    <w:rsid w:val="3B5B5607"/>
    <w:rsid w:val="3B6B3A9C"/>
    <w:rsid w:val="3B7C5C60"/>
    <w:rsid w:val="3B7F4E52"/>
    <w:rsid w:val="3BAB75F8"/>
    <w:rsid w:val="3BBA40DC"/>
    <w:rsid w:val="3C08568F"/>
    <w:rsid w:val="3C1732DC"/>
    <w:rsid w:val="3C4D288E"/>
    <w:rsid w:val="3C664263"/>
    <w:rsid w:val="3C6D0C4C"/>
    <w:rsid w:val="3C9F3019"/>
    <w:rsid w:val="3CC33464"/>
    <w:rsid w:val="3CCB2638"/>
    <w:rsid w:val="3CCF1E09"/>
    <w:rsid w:val="3CCF4230"/>
    <w:rsid w:val="3CD1792F"/>
    <w:rsid w:val="3CD8486C"/>
    <w:rsid w:val="3D0740BC"/>
    <w:rsid w:val="3D4B7909"/>
    <w:rsid w:val="3D5247A3"/>
    <w:rsid w:val="3D712EC0"/>
    <w:rsid w:val="3D840E45"/>
    <w:rsid w:val="3D8F7BCA"/>
    <w:rsid w:val="3DC7716C"/>
    <w:rsid w:val="3DD82F3F"/>
    <w:rsid w:val="3DE23DBE"/>
    <w:rsid w:val="3DE25B6C"/>
    <w:rsid w:val="3DF533B8"/>
    <w:rsid w:val="3DFA1107"/>
    <w:rsid w:val="3E2D6F7B"/>
    <w:rsid w:val="3E587BDC"/>
    <w:rsid w:val="3E6124CE"/>
    <w:rsid w:val="3E8A248B"/>
    <w:rsid w:val="3E8C59E9"/>
    <w:rsid w:val="3EA143D4"/>
    <w:rsid w:val="3EA47316"/>
    <w:rsid w:val="3EA97755"/>
    <w:rsid w:val="3EB72B54"/>
    <w:rsid w:val="3EB94B1E"/>
    <w:rsid w:val="3ED03C16"/>
    <w:rsid w:val="3EDF71CC"/>
    <w:rsid w:val="3F093323"/>
    <w:rsid w:val="3F7A5B64"/>
    <w:rsid w:val="3FAF3CF4"/>
    <w:rsid w:val="3FC92B3F"/>
    <w:rsid w:val="3FDA0139"/>
    <w:rsid w:val="3FDA4D4C"/>
    <w:rsid w:val="3FE94F8F"/>
    <w:rsid w:val="4013200C"/>
    <w:rsid w:val="40302CD6"/>
    <w:rsid w:val="40453022"/>
    <w:rsid w:val="40526FD9"/>
    <w:rsid w:val="406D7247"/>
    <w:rsid w:val="408D1DBF"/>
    <w:rsid w:val="41405083"/>
    <w:rsid w:val="415A6016"/>
    <w:rsid w:val="415C72B5"/>
    <w:rsid w:val="41772DBC"/>
    <w:rsid w:val="41780CC1"/>
    <w:rsid w:val="41870F04"/>
    <w:rsid w:val="419817D0"/>
    <w:rsid w:val="41A526D8"/>
    <w:rsid w:val="41C55553"/>
    <w:rsid w:val="41D8350E"/>
    <w:rsid w:val="41E9687E"/>
    <w:rsid w:val="41EB27B6"/>
    <w:rsid w:val="42240501"/>
    <w:rsid w:val="424E670D"/>
    <w:rsid w:val="426232AB"/>
    <w:rsid w:val="42BB24B5"/>
    <w:rsid w:val="42BD2DEB"/>
    <w:rsid w:val="42BF022A"/>
    <w:rsid w:val="42C57F36"/>
    <w:rsid w:val="42DF6B1E"/>
    <w:rsid w:val="431C5459"/>
    <w:rsid w:val="432B1D63"/>
    <w:rsid w:val="43302539"/>
    <w:rsid w:val="43713C1A"/>
    <w:rsid w:val="43972F10"/>
    <w:rsid w:val="43994E6F"/>
    <w:rsid w:val="43AB7F26"/>
    <w:rsid w:val="43B041E5"/>
    <w:rsid w:val="43B12268"/>
    <w:rsid w:val="43BF3FB9"/>
    <w:rsid w:val="43FE04A3"/>
    <w:rsid w:val="441B1DD7"/>
    <w:rsid w:val="44202F4A"/>
    <w:rsid w:val="444D2A0A"/>
    <w:rsid w:val="44541F37"/>
    <w:rsid w:val="44623562"/>
    <w:rsid w:val="4479108A"/>
    <w:rsid w:val="44890AEF"/>
    <w:rsid w:val="44B077BD"/>
    <w:rsid w:val="44BE262C"/>
    <w:rsid w:val="44EA2D09"/>
    <w:rsid w:val="44FC03BC"/>
    <w:rsid w:val="45036889"/>
    <w:rsid w:val="450A60D4"/>
    <w:rsid w:val="450B002B"/>
    <w:rsid w:val="45251B69"/>
    <w:rsid w:val="452847AC"/>
    <w:rsid w:val="45332FC5"/>
    <w:rsid w:val="45392515"/>
    <w:rsid w:val="456152FB"/>
    <w:rsid w:val="45633A36"/>
    <w:rsid w:val="458D2861"/>
    <w:rsid w:val="458E4192"/>
    <w:rsid w:val="45A90764"/>
    <w:rsid w:val="45BB5620"/>
    <w:rsid w:val="45D73ADC"/>
    <w:rsid w:val="45E561F9"/>
    <w:rsid w:val="45F85722"/>
    <w:rsid w:val="46001285"/>
    <w:rsid w:val="460116F2"/>
    <w:rsid w:val="462705C0"/>
    <w:rsid w:val="463A6DF9"/>
    <w:rsid w:val="463D7DE3"/>
    <w:rsid w:val="46424B25"/>
    <w:rsid w:val="464C4E80"/>
    <w:rsid w:val="466C4C60"/>
    <w:rsid w:val="467E4E58"/>
    <w:rsid w:val="468C2B19"/>
    <w:rsid w:val="46AB7443"/>
    <w:rsid w:val="46C2478C"/>
    <w:rsid w:val="46D83FB0"/>
    <w:rsid w:val="46DF0E9A"/>
    <w:rsid w:val="46EF2A42"/>
    <w:rsid w:val="47126981"/>
    <w:rsid w:val="477A0D44"/>
    <w:rsid w:val="47A65E5C"/>
    <w:rsid w:val="47B75973"/>
    <w:rsid w:val="47CC58C3"/>
    <w:rsid w:val="47F70466"/>
    <w:rsid w:val="480F3A01"/>
    <w:rsid w:val="482439FF"/>
    <w:rsid w:val="48315726"/>
    <w:rsid w:val="483F42E6"/>
    <w:rsid w:val="484E10F7"/>
    <w:rsid w:val="485A4E13"/>
    <w:rsid w:val="48830738"/>
    <w:rsid w:val="48885EE0"/>
    <w:rsid w:val="48915554"/>
    <w:rsid w:val="48F826E7"/>
    <w:rsid w:val="490F3BE0"/>
    <w:rsid w:val="491529EA"/>
    <w:rsid w:val="491F7C74"/>
    <w:rsid w:val="49261002"/>
    <w:rsid w:val="4928263A"/>
    <w:rsid w:val="49346E1F"/>
    <w:rsid w:val="494C5C3E"/>
    <w:rsid w:val="496D6C31"/>
    <w:rsid w:val="498507CF"/>
    <w:rsid w:val="499C12C5"/>
    <w:rsid w:val="49BF07A0"/>
    <w:rsid w:val="49C71BF8"/>
    <w:rsid w:val="49D97E23"/>
    <w:rsid w:val="49DB1DA7"/>
    <w:rsid w:val="49EA7890"/>
    <w:rsid w:val="4A080708"/>
    <w:rsid w:val="4A1B48DF"/>
    <w:rsid w:val="4A25750C"/>
    <w:rsid w:val="4A2E50B4"/>
    <w:rsid w:val="4A45195C"/>
    <w:rsid w:val="4A595408"/>
    <w:rsid w:val="4A737AF5"/>
    <w:rsid w:val="4AA20B5D"/>
    <w:rsid w:val="4AA2290B"/>
    <w:rsid w:val="4AB12B4E"/>
    <w:rsid w:val="4ADF76BB"/>
    <w:rsid w:val="4AFE0340"/>
    <w:rsid w:val="4AFF5FAF"/>
    <w:rsid w:val="4B166E55"/>
    <w:rsid w:val="4B1D6435"/>
    <w:rsid w:val="4B3337B7"/>
    <w:rsid w:val="4B3F51E4"/>
    <w:rsid w:val="4B4E4840"/>
    <w:rsid w:val="4B5A31E5"/>
    <w:rsid w:val="4B657062"/>
    <w:rsid w:val="4B850273"/>
    <w:rsid w:val="4BC13264"/>
    <w:rsid w:val="4BF947AC"/>
    <w:rsid w:val="4C026A6E"/>
    <w:rsid w:val="4C22522D"/>
    <w:rsid w:val="4C283ECA"/>
    <w:rsid w:val="4C3103EA"/>
    <w:rsid w:val="4C491D08"/>
    <w:rsid w:val="4C5365B2"/>
    <w:rsid w:val="4C577725"/>
    <w:rsid w:val="4C6858B3"/>
    <w:rsid w:val="4C6E1878"/>
    <w:rsid w:val="4CA05811"/>
    <w:rsid w:val="4CA115D6"/>
    <w:rsid w:val="4CAA1F4A"/>
    <w:rsid w:val="4CAC181F"/>
    <w:rsid w:val="4CEF5BAF"/>
    <w:rsid w:val="4D175B45"/>
    <w:rsid w:val="4D2B0CA3"/>
    <w:rsid w:val="4D5D6FBD"/>
    <w:rsid w:val="4D6B28A0"/>
    <w:rsid w:val="4D706CF0"/>
    <w:rsid w:val="4D8D78A2"/>
    <w:rsid w:val="4D9A1F51"/>
    <w:rsid w:val="4DC66910"/>
    <w:rsid w:val="4DD1134A"/>
    <w:rsid w:val="4DD55E8A"/>
    <w:rsid w:val="4DD86643"/>
    <w:rsid w:val="4DE84C9C"/>
    <w:rsid w:val="4DFE1F86"/>
    <w:rsid w:val="4E0D09E3"/>
    <w:rsid w:val="4E2504EC"/>
    <w:rsid w:val="4E3C3076"/>
    <w:rsid w:val="4E4A3A7D"/>
    <w:rsid w:val="4E52289A"/>
    <w:rsid w:val="4E61488B"/>
    <w:rsid w:val="4E807407"/>
    <w:rsid w:val="4E840476"/>
    <w:rsid w:val="4E9B4352"/>
    <w:rsid w:val="4ED11A10"/>
    <w:rsid w:val="4F310148"/>
    <w:rsid w:val="4F3E246B"/>
    <w:rsid w:val="4F5E7522"/>
    <w:rsid w:val="4F714FA1"/>
    <w:rsid w:val="4F717496"/>
    <w:rsid w:val="4F8A3F9A"/>
    <w:rsid w:val="4FC65972"/>
    <w:rsid w:val="4FDC241B"/>
    <w:rsid w:val="50267B3A"/>
    <w:rsid w:val="502C52CD"/>
    <w:rsid w:val="50395ABF"/>
    <w:rsid w:val="503E30D6"/>
    <w:rsid w:val="505A5A36"/>
    <w:rsid w:val="505D4ACB"/>
    <w:rsid w:val="50630D8E"/>
    <w:rsid w:val="50716074"/>
    <w:rsid w:val="5086682B"/>
    <w:rsid w:val="50884351"/>
    <w:rsid w:val="50946C81"/>
    <w:rsid w:val="50A5479F"/>
    <w:rsid w:val="50BC5012"/>
    <w:rsid w:val="50D47596"/>
    <w:rsid w:val="50E61077"/>
    <w:rsid w:val="50E772C9"/>
    <w:rsid w:val="512131A2"/>
    <w:rsid w:val="51470A03"/>
    <w:rsid w:val="516A4FB3"/>
    <w:rsid w:val="51764AF1"/>
    <w:rsid w:val="51894824"/>
    <w:rsid w:val="51915487"/>
    <w:rsid w:val="51DC0DF8"/>
    <w:rsid w:val="51E25D8E"/>
    <w:rsid w:val="51E90E1F"/>
    <w:rsid w:val="51F223CA"/>
    <w:rsid w:val="51F65B1F"/>
    <w:rsid w:val="51FC6DA4"/>
    <w:rsid w:val="521A4417"/>
    <w:rsid w:val="52A72A88"/>
    <w:rsid w:val="52A84397"/>
    <w:rsid w:val="52B20384"/>
    <w:rsid w:val="52CC56D8"/>
    <w:rsid w:val="52E457C6"/>
    <w:rsid w:val="52EA27FA"/>
    <w:rsid w:val="52F7756C"/>
    <w:rsid w:val="52F91536"/>
    <w:rsid w:val="53071EA5"/>
    <w:rsid w:val="530C3017"/>
    <w:rsid w:val="5311062D"/>
    <w:rsid w:val="5311421D"/>
    <w:rsid w:val="532E19FB"/>
    <w:rsid w:val="533327CB"/>
    <w:rsid w:val="5345477B"/>
    <w:rsid w:val="534D15B8"/>
    <w:rsid w:val="537B4E7C"/>
    <w:rsid w:val="53952C3A"/>
    <w:rsid w:val="53BC61C6"/>
    <w:rsid w:val="53C953AC"/>
    <w:rsid w:val="53D03F38"/>
    <w:rsid w:val="53D0673A"/>
    <w:rsid w:val="53DD1C7A"/>
    <w:rsid w:val="5426154A"/>
    <w:rsid w:val="54332825"/>
    <w:rsid w:val="54534C76"/>
    <w:rsid w:val="54554E92"/>
    <w:rsid w:val="546649A9"/>
    <w:rsid w:val="546B1FBF"/>
    <w:rsid w:val="546D3F89"/>
    <w:rsid w:val="548A4B3B"/>
    <w:rsid w:val="549239F0"/>
    <w:rsid w:val="54994D7E"/>
    <w:rsid w:val="549F13BA"/>
    <w:rsid w:val="54A13C33"/>
    <w:rsid w:val="54B33959"/>
    <w:rsid w:val="54BB2F47"/>
    <w:rsid w:val="54D45DB6"/>
    <w:rsid w:val="54EB503E"/>
    <w:rsid w:val="54FC530D"/>
    <w:rsid w:val="551D1184"/>
    <w:rsid w:val="553A06B6"/>
    <w:rsid w:val="555222D6"/>
    <w:rsid w:val="55552624"/>
    <w:rsid w:val="55603AEE"/>
    <w:rsid w:val="556671D1"/>
    <w:rsid w:val="556F3516"/>
    <w:rsid w:val="55842728"/>
    <w:rsid w:val="55AE7511"/>
    <w:rsid w:val="55C13874"/>
    <w:rsid w:val="55C92133"/>
    <w:rsid w:val="55EE6CB4"/>
    <w:rsid w:val="562E6199"/>
    <w:rsid w:val="563034C0"/>
    <w:rsid w:val="56466840"/>
    <w:rsid w:val="5652764A"/>
    <w:rsid w:val="56586573"/>
    <w:rsid w:val="56623216"/>
    <w:rsid w:val="567E4EEE"/>
    <w:rsid w:val="56811F6E"/>
    <w:rsid w:val="56C360E3"/>
    <w:rsid w:val="56FB15F8"/>
    <w:rsid w:val="571832C4"/>
    <w:rsid w:val="57221542"/>
    <w:rsid w:val="57654D9E"/>
    <w:rsid w:val="57805D82"/>
    <w:rsid w:val="578A6C00"/>
    <w:rsid w:val="579A73D0"/>
    <w:rsid w:val="57A57A54"/>
    <w:rsid w:val="57AD28EF"/>
    <w:rsid w:val="57DE5F38"/>
    <w:rsid w:val="58044C05"/>
    <w:rsid w:val="580A1AEF"/>
    <w:rsid w:val="580A62B2"/>
    <w:rsid w:val="581D7A74"/>
    <w:rsid w:val="58254B7B"/>
    <w:rsid w:val="582A051D"/>
    <w:rsid w:val="58365A33"/>
    <w:rsid w:val="58474568"/>
    <w:rsid w:val="58607961"/>
    <w:rsid w:val="58782A3A"/>
    <w:rsid w:val="58AE7AFC"/>
    <w:rsid w:val="58D041BE"/>
    <w:rsid w:val="58D7523F"/>
    <w:rsid w:val="59117084"/>
    <w:rsid w:val="59301A29"/>
    <w:rsid w:val="59403102"/>
    <w:rsid w:val="594B0611"/>
    <w:rsid w:val="59545718"/>
    <w:rsid w:val="595C45CC"/>
    <w:rsid w:val="598A113A"/>
    <w:rsid w:val="59E96FC2"/>
    <w:rsid w:val="59FC4C3A"/>
    <w:rsid w:val="5A2E77B0"/>
    <w:rsid w:val="5A680DB8"/>
    <w:rsid w:val="5A7C139D"/>
    <w:rsid w:val="5A8D6E06"/>
    <w:rsid w:val="5A8F6603"/>
    <w:rsid w:val="5AFE3B8D"/>
    <w:rsid w:val="5B022F52"/>
    <w:rsid w:val="5B127639"/>
    <w:rsid w:val="5B1433B1"/>
    <w:rsid w:val="5B21787C"/>
    <w:rsid w:val="5B2B24A8"/>
    <w:rsid w:val="5B44356A"/>
    <w:rsid w:val="5B5871ED"/>
    <w:rsid w:val="5B7E082A"/>
    <w:rsid w:val="5B8D6CBF"/>
    <w:rsid w:val="5BA26C0E"/>
    <w:rsid w:val="5BA5743E"/>
    <w:rsid w:val="5BC134B5"/>
    <w:rsid w:val="5BEA2363"/>
    <w:rsid w:val="5C144EDC"/>
    <w:rsid w:val="5C1B42CB"/>
    <w:rsid w:val="5C41710B"/>
    <w:rsid w:val="5CBB387E"/>
    <w:rsid w:val="5CDD77D2"/>
    <w:rsid w:val="5D0B07E3"/>
    <w:rsid w:val="5D1A27D4"/>
    <w:rsid w:val="5D1D4073"/>
    <w:rsid w:val="5D331AE8"/>
    <w:rsid w:val="5D3A3A85"/>
    <w:rsid w:val="5D6323CD"/>
    <w:rsid w:val="5D69550A"/>
    <w:rsid w:val="5D8F2A8A"/>
    <w:rsid w:val="5DF00A57"/>
    <w:rsid w:val="5DFF123C"/>
    <w:rsid w:val="5E171282"/>
    <w:rsid w:val="5E1C432A"/>
    <w:rsid w:val="5E20206C"/>
    <w:rsid w:val="5E204FFD"/>
    <w:rsid w:val="5E27164D"/>
    <w:rsid w:val="5E2D4789"/>
    <w:rsid w:val="5E652175"/>
    <w:rsid w:val="5E710B1A"/>
    <w:rsid w:val="5E9B6246"/>
    <w:rsid w:val="5EA27B33"/>
    <w:rsid w:val="5EA87DA2"/>
    <w:rsid w:val="5EA95314"/>
    <w:rsid w:val="5EBD5B0D"/>
    <w:rsid w:val="5EC657DB"/>
    <w:rsid w:val="5EC76337"/>
    <w:rsid w:val="5ECF75EF"/>
    <w:rsid w:val="5EE65064"/>
    <w:rsid w:val="5EF13A09"/>
    <w:rsid w:val="5EF534F9"/>
    <w:rsid w:val="5F0B0627"/>
    <w:rsid w:val="5F13572D"/>
    <w:rsid w:val="5F381638"/>
    <w:rsid w:val="5F6647E2"/>
    <w:rsid w:val="5F944AC0"/>
    <w:rsid w:val="5F9C2BFD"/>
    <w:rsid w:val="5FA95A4A"/>
    <w:rsid w:val="5FB01758"/>
    <w:rsid w:val="5FC86518"/>
    <w:rsid w:val="5FCE4A2E"/>
    <w:rsid w:val="5FE5531C"/>
    <w:rsid w:val="600734E4"/>
    <w:rsid w:val="602D1FF5"/>
    <w:rsid w:val="602E0357"/>
    <w:rsid w:val="603718EF"/>
    <w:rsid w:val="60406BEA"/>
    <w:rsid w:val="604855C4"/>
    <w:rsid w:val="60687CFB"/>
    <w:rsid w:val="60822B6A"/>
    <w:rsid w:val="60A01243"/>
    <w:rsid w:val="60AE1BB1"/>
    <w:rsid w:val="60CA4AE0"/>
    <w:rsid w:val="60CF1B28"/>
    <w:rsid w:val="60F11A9E"/>
    <w:rsid w:val="60FF41BB"/>
    <w:rsid w:val="610572F8"/>
    <w:rsid w:val="610D7A17"/>
    <w:rsid w:val="61134AB7"/>
    <w:rsid w:val="61156B4C"/>
    <w:rsid w:val="611B3D12"/>
    <w:rsid w:val="61291238"/>
    <w:rsid w:val="61354081"/>
    <w:rsid w:val="614974FF"/>
    <w:rsid w:val="61646714"/>
    <w:rsid w:val="61671D60"/>
    <w:rsid w:val="618648DC"/>
    <w:rsid w:val="61897F29"/>
    <w:rsid w:val="618C17C7"/>
    <w:rsid w:val="61B34AA8"/>
    <w:rsid w:val="61DB4C28"/>
    <w:rsid w:val="61FC06FB"/>
    <w:rsid w:val="62086EF2"/>
    <w:rsid w:val="62115B05"/>
    <w:rsid w:val="62143C96"/>
    <w:rsid w:val="621F43E9"/>
    <w:rsid w:val="623C31ED"/>
    <w:rsid w:val="62410803"/>
    <w:rsid w:val="624520A2"/>
    <w:rsid w:val="62487DE4"/>
    <w:rsid w:val="626369CC"/>
    <w:rsid w:val="6264243B"/>
    <w:rsid w:val="6290516E"/>
    <w:rsid w:val="62B40FD5"/>
    <w:rsid w:val="62B820F9"/>
    <w:rsid w:val="62BB0BD2"/>
    <w:rsid w:val="62C959C8"/>
    <w:rsid w:val="632E70DC"/>
    <w:rsid w:val="63352116"/>
    <w:rsid w:val="635F3637"/>
    <w:rsid w:val="63626BC7"/>
    <w:rsid w:val="63640C4D"/>
    <w:rsid w:val="63691DC0"/>
    <w:rsid w:val="63732C3E"/>
    <w:rsid w:val="63AD43A2"/>
    <w:rsid w:val="63BE25E3"/>
    <w:rsid w:val="640B356D"/>
    <w:rsid w:val="64203D44"/>
    <w:rsid w:val="64256704"/>
    <w:rsid w:val="64265F03"/>
    <w:rsid w:val="646F76DC"/>
    <w:rsid w:val="6471725A"/>
    <w:rsid w:val="64856208"/>
    <w:rsid w:val="64AC5AF6"/>
    <w:rsid w:val="64E14BAA"/>
    <w:rsid w:val="65037FF2"/>
    <w:rsid w:val="652D2122"/>
    <w:rsid w:val="655B2797"/>
    <w:rsid w:val="65613696"/>
    <w:rsid w:val="656960A7"/>
    <w:rsid w:val="65715A32"/>
    <w:rsid w:val="65856C59"/>
    <w:rsid w:val="65965E56"/>
    <w:rsid w:val="659F6980"/>
    <w:rsid w:val="65C15EE3"/>
    <w:rsid w:val="65DD0843"/>
    <w:rsid w:val="66012783"/>
    <w:rsid w:val="660D7BA7"/>
    <w:rsid w:val="66157FDD"/>
    <w:rsid w:val="661F32DD"/>
    <w:rsid w:val="66211FF3"/>
    <w:rsid w:val="663F4DEA"/>
    <w:rsid w:val="664B1C51"/>
    <w:rsid w:val="665876E7"/>
    <w:rsid w:val="665C6A60"/>
    <w:rsid w:val="665F4A68"/>
    <w:rsid w:val="669C57AF"/>
    <w:rsid w:val="669D4B7B"/>
    <w:rsid w:val="66AA2E1B"/>
    <w:rsid w:val="66BC1A23"/>
    <w:rsid w:val="66C72DC6"/>
    <w:rsid w:val="66C95950"/>
    <w:rsid w:val="66DE0E97"/>
    <w:rsid w:val="671D2FC4"/>
    <w:rsid w:val="674212D6"/>
    <w:rsid w:val="67456CD8"/>
    <w:rsid w:val="6764746E"/>
    <w:rsid w:val="676D34EB"/>
    <w:rsid w:val="6787315C"/>
    <w:rsid w:val="678B29FA"/>
    <w:rsid w:val="678D6A6D"/>
    <w:rsid w:val="678E44EB"/>
    <w:rsid w:val="67D05345"/>
    <w:rsid w:val="67F475F0"/>
    <w:rsid w:val="682C696E"/>
    <w:rsid w:val="683C4300"/>
    <w:rsid w:val="685E2B9F"/>
    <w:rsid w:val="6868654D"/>
    <w:rsid w:val="686F4BDB"/>
    <w:rsid w:val="687E1674"/>
    <w:rsid w:val="689F0032"/>
    <w:rsid w:val="691C1682"/>
    <w:rsid w:val="693469CC"/>
    <w:rsid w:val="69381D28"/>
    <w:rsid w:val="69404562"/>
    <w:rsid w:val="69482477"/>
    <w:rsid w:val="694A7017"/>
    <w:rsid w:val="6959071D"/>
    <w:rsid w:val="695F613F"/>
    <w:rsid w:val="696077C1"/>
    <w:rsid w:val="697E59BE"/>
    <w:rsid w:val="6985204A"/>
    <w:rsid w:val="699B7E66"/>
    <w:rsid w:val="69C8232E"/>
    <w:rsid w:val="69E353EA"/>
    <w:rsid w:val="69F17170"/>
    <w:rsid w:val="6A042842"/>
    <w:rsid w:val="6A0942FC"/>
    <w:rsid w:val="6A280AEF"/>
    <w:rsid w:val="6A5228EE"/>
    <w:rsid w:val="6A5D4D68"/>
    <w:rsid w:val="6A8B6AC0"/>
    <w:rsid w:val="6AD20B92"/>
    <w:rsid w:val="6ADF5C76"/>
    <w:rsid w:val="6AF6662F"/>
    <w:rsid w:val="6AFF4E74"/>
    <w:rsid w:val="6B0E0D59"/>
    <w:rsid w:val="6B2F7D93"/>
    <w:rsid w:val="6B3A2BB1"/>
    <w:rsid w:val="6B5C3B33"/>
    <w:rsid w:val="6B6C069F"/>
    <w:rsid w:val="6B8C2AEF"/>
    <w:rsid w:val="6BA936A1"/>
    <w:rsid w:val="6BE5385D"/>
    <w:rsid w:val="6BF71691"/>
    <w:rsid w:val="6BFB7C75"/>
    <w:rsid w:val="6BFC528A"/>
    <w:rsid w:val="6C0C625C"/>
    <w:rsid w:val="6C6B29CE"/>
    <w:rsid w:val="6C6E0447"/>
    <w:rsid w:val="6C772969"/>
    <w:rsid w:val="6C7F08A6"/>
    <w:rsid w:val="6C944F20"/>
    <w:rsid w:val="6CC658B0"/>
    <w:rsid w:val="6CFA617E"/>
    <w:rsid w:val="6CFC1EF7"/>
    <w:rsid w:val="6D273C74"/>
    <w:rsid w:val="6D2B3E12"/>
    <w:rsid w:val="6D396CA7"/>
    <w:rsid w:val="6D9C1930"/>
    <w:rsid w:val="6D9C4121"/>
    <w:rsid w:val="6DC775C9"/>
    <w:rsid w:val="6DCA4784"/>
    <w:rsid w:val="6DCB1BF8"/>
    <w:rsid w:val="6DD71A20"/>
    <w:rsid w:val="6DDB5FB0"/>
    <w:rsid w:val="6DEC1F6B"/>
    <w:rsid w:val="6DF42BCE"/>
    <w:rsid w:val="6DFF6B64"/>
    <w:rsid w:val="6E153270"/>
    <w:rsid w:val="6E1868BC"/>
    <w:rsid w:val="6E536520"/>
    <w:rsid w:val="6E557B10"/>
    <w:rsid w:val="6E770F59"/>
    <w:rsid w:val="6E8E6B7E"/>
    <w:rsid w:val="6EC46A44"/>
    <w:rsid w:val="6EE558D3"/>
    <w:rsid w:val="6F137CCD"/>
    <w:rsid w:val="6F2067D0"/>
    <w:rsid w:val="6F333079"/>
    <w:rsid w:val="6F50174B"/>
    <w:rsid w:val="6F5813C5"/>
    <w:rsid w:val="6F5D54F1"/>
    <w:rsid w:val="6F883E6F"/>
    <w:rsid w:val="6FBF1A0F"/>
    <w:rsid w:val="6FDE0859"/>
    <w:rsid w:val="6FF11ABB"/>
    <w:rsid w:val="7068100B"/>
    <w:rsid w:val="70717DA5"/>
    <w:rsid w:val="70CB230C"/>
    <w:rsid w:val="70D8620A"/>
    <w:rsid w:val="70E6284C"/>
    <w:rsid w:val="70E909E4"/>
    <w:rsid w:val="71206EA1"/>
    <w:rsid w:val="71381C3F"/>
    <w:rsid w:val="71501558"/>
    <w:rsid w:val="715C11B6"/>
    <w:rsid w:val="71775FF0"/>
    <w:rsid w:val="71A75E98"/>
    <w:rsid w:val="71EB5A4B"/>
    <w:rsid w:val="72043BFE"/>
    <w:rsid w:val="721826BF"/>
    <w:rsid w:val="72200435"/>
    <w:rsid w:val="724265FE"/>
    <w:rsid w:val="72507015"/>
    <w:rsid w:val="729B1B20"/>
    <w:rsid w:val="72C214EC"/>
    <w:rsid w:val="72CF38C3"/>
    <w:rsid w:val="72D60AF4"/>
    <w:rsid w:val="72DC25AE"/>
    <w:rsid w:val="72E43211"/>
    <w:rsid w:val="72F316A6"/>
    <w:rsid w:val="73886F6D"/>
    <w:rsid w:val="73A500E4"/>
    <w:rsid w:val="73CD0149"/>
    <w:rsid w:val="73D56FFD"/>
    <w:rsid w:val="73E41056"/>
    <w:rsid w:val="73EA4857"/>
    <w:rsid w:val="741B7106"/>
    <w:rsid w:val="741C4C2C"/>
    <w:rsid w:val="74251D33"/>
    <w:rsid w:val="7427037A"/>
    <w:rsid w:val="742F7DF6"/>
    <w:rsid w:val="74315994"/>
    <w:rsid w:val="74512ED0"/>
    <w:rsid w:val="74A013B9"/>
    <w:rsid w:val="74A27CCB"/>
    <w:rsid w:val="74CF1C9F"/>
    <w:rsid w:val="74E120FE"/>
    <w:rsid w:val="74E219D2"/>
    <w:rsid w:val="74F00DA8"/>
    <w:rsid w:val="7511010D"/>
    <w:rsid w:val="752718BC"/>
    <w:rsid w:val="75497CA3"/>
    <w:rsid w:val="754F73CA"/>
    <w:rsid w:val="75591F38"/>
    <w:rsid w:val="755F3023"/>
    <w:rsid w:val="7569055C"/>
    <w:rsid w:val="756D573F"/>
    <w:rsid w:val="758D2060"/>
    <w:rsid w:val="75A5137D"/>
    <w:rsid w:val="75A90742"/>
    <w:rsid w:val="75AB0E66"/>
    <w:rsid w:val="75BA46FD"/>
    <w:rsid w:val="75D67050"/>
    <w:rsid w:val="75E40BB4"/>
    <w:rsid w:val="75E556A7"/>
    <w:rsid w:val="75FF0362"/>
    <w:rsid w:val="761B163F"/>
    <w:rsid w:val="763711D3"/>
    <w:rsid w:val="76423651"/>
    <w:rsid w:val="764F753B"/>
    <w:rsid w:val="765319EE"/>
    <w:rsid w:val="76535453"/>
    <w:rsid w:val="767D6E87"/>
    <w:rsid w:val="7684252C"/>
    <w:rsid w:val="76846871"/>
    <w:rsid w:val="76B178AE"/>
    <w:rsid w:val="76CB2469"/>
    <w:rsid w:val="76E2611D"/>
    <w:rsid w:val="76E47C83"/>
    <w:rsid w:val="76F81981"/>
    <w:rsid w:val="76F8372F"/>
    <w:rsid w:val="77170059"/>
    <w:rsid w:val="772B2E52"/>
    <w:rsid w:val="773330BD"/>
    <w:rsid w:val="774E15A1"/>
    <w:rsid w:val="776E10D5"/>
    <w:rsid w:val="77701CC3"/>
    <w:rsid w:val="7789082B"/>
    <w:rsid w:val="778925D9"/>
    <w:rsid w:val="7793098B"/>
    <w:rsid w:val="77B04009"/>
    <w:rsid w:val="77D14F5D"/>
    <w:rsid w:val="77DB6EAD"/>
    <w:rsid w:val="77DE0B76"/>
    <w:rsid w:val="77FA5D85"/>
    <w:rsid w:val="780D320A"/>
    <w:rsid w:val="781311E0"/>
    <w:rsid w:val="78164C76"/>
    <w:rsid w:val="7823277B"/>
    <w:rsid w:val="78281DF2"/>
    <w:rsid w:val="78362761"/>
    <w:rsid w:val="783B1B25"/>
    <w:rsid w:val="78654DF4"/>
    <w:rsid w:val="786A2290"/>
    <w:rsid w:val="78762B5D"/>
    <w:rsid w:val="789720A1"/>
    <w:rsid w:val="78DF4171"/>
    <w:rsid w:val="78E82ECC"/>
    <w:rsid w:val="793F1A7F"/>
    <w:rsid w:val="797057FE"/>
    <w:rsid w:val="7A13262E"/>
    <w:rsid w:val="7A1E34AC"/>
    <w:rsid w:val="7A263AD8"/>
    <w:rsid w:val="7A2A00A3"/>
    <w:rsid w:val="7A3E4BD3"/>
    <w:rsid w:val="7A58407F"/>
    <w:rsid w:val="7A71520D"/>
    <w:rsid w:val="7A9B5F68"/>
    <w:rsid w:val="7AD26045"/>
    <w:rsid w:val="7AD65B35"/>
    <w:rsid w:val="7AFC2BC9"/>
    <w:rsid w:val="7B0207E5"/>
    <w:rsid w:val="7B1E128A"/>
    <w:rsid w:val="7B2A5E81"/>
    <w:rsid w:val="7B7E7CCE"/>
    <w:rsid w:val="7B8A5EE1"/>
    <w:rsid w:val="7BA251B9"/>
    <w:rsid w:val="7BA31A24"/>
    <w:rsid w:val="7BA94FF8"/>
    <w:rsid w:val="7BAC2077"/>
    <w:rsid w:val="7BC05A6B"/>
    <w:rsid w:val="7BC2255D"/>
    <w:rsid w:val="7BCE0F02"/>
    <w:rsid w:val="7BE349AD"/>
    <w:rsid w:val="7BEC1388"/>
    <w:rsid w:val="7BF212CD"/>
    <w:rsid w:val="7C09730A"/>
    <w:rsid w:val="7C0F4659"/>
    <w:rsid w:val="7C142DB9"/>
    <w:rsid w:val="7C280D5C"/>
    <w:rsid w:val="7C2A2184"/>
    <w:rsid w:val="7C305719"/>
    <w:rsid w:val="7C3677E7"/>
    <w:rsid w:val="7C4B10B5"/>
    <w:rsid w:val="7C9C6796"/>
    <w:rsid w:val="7CB9570E"/>
    <w:rsid w:val="7CC12815"/>
    <w:rsid w:val="7CD37616"/>
    <w:rsid w:val="7CDD0CEE"/>
    <w:rsid w:val="7D0540B1"/>
    <w:rsid w:val="7D0D23CC"/>
    <w:rsid w:val="7D2302BB"/>
    <w:rsid w:val="7D2B267F"/>
    <w:rsid w:val="7D3E3E65"/>
    <w:rsid w:val="7D460C63"/>
    <w:rsid w:val="7D6804B0"/>
    <w:rsid w:val="7D74257D"/>
    <w:rsid w:val="7DA737B9"/>
    <w:rsid w:val="7DB912A3"/>
    <w:rsid w:val="7DDB1BD7"/>
    <w:rsid w:val="7DE60785"/>
    <w:rsid w:val="7DFC3B04"/>
    <w:rsid w:val="7E15004F"/>
    <w:rsid w:val="7E191C83"/>
    <w:rsid w:val="7E3077B5"/>
    <w:rsid w:val="7E3967A0"/>
    <w:rsid w:val="7E3D6351"/>
    <w:rsid w:val="7E611BB9"/>
    <w:rsid w:val="7E7713DD"/>
    <w:rsid w:val="7E9D3FBA"/>
    <w:rsid w:val="7EAD188A"/>
    <w:rsid w:val="7EBB5FC7"/>
    <w:rsid w:val="7ED405DD"/>
    <w:rsid w:val="7EE54599"/>
    <w:rsid w:val="7F074E4B"/>
    <w:rsid w:val="7F1B620C"/>
    <w:rsid w:val="7F1B6628"/>
    <w:rsid w:val="7F45772D"/>
    <w:rsid w:val="7F4F7C8B"/>
    <w:rsid w:val="7F6A4704"/>
    <w:rsid w:val="7F8525F4"/>
    <w:rsid w:val="7F953772"/>
    <w:rsid w:val="7FAE56BF"/>
    <w:rsid w:val="7FE9455C"/>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1"/>
    <w:qFormat/>
    <w:uiPriority w:val="0"/>
    <w:pPr>
      <w:spacing w:line="240" w:lineRule="auto"/>
    </w:pPr>
    <w:rPr>
      <w:sz w:val="18"/>
      <w:szCs w:val="18"/>
    </w:rPr>
  </w:style>
  <w:style w:type="paragraph" w:styleId="4">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7"/>
    <w:qFormat/>
    <w:uiPriority w:val="99"/>
    <w:pPr>
      <w:spacing w:line="240" w:lineRule="atLeast"/>
      <w:jc w:val="center"/>
    </w:pPr>
    <w:rPr>
      <w:rFonts w:ascii="Arial" w:hAnsi="Arial" w:eastAsia="黑体"/>
      <w:sz w:val="52"/>
      <w:szCs w:val="22"/>
    </w:rPr>
  </w:style>
  <w:style w:type="paragraph" w:customStyle="1" w:styleId="7">
    <w:name w:val="UserStyle_11"/>
    <w:basedOn w:val="1"/>
    <w:next w:val="1"/>
    <w:qFormat/>
    <w:uiPriority w:val="99"/>
    <w:pPr>
      <w:spacing w:after="120"/>
      <w:ind w:left="420" w:leftChars="200"/>
    </w:pPr>
    <w:rPr>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basedOn w:val="10"/>
    <w:link w:val="3"/>
    <w:qFormat/>
    <w:uiPriority w:val="0"/>
    <w:rPr>
      <w:kern w:val="2"/>
      <w:sz w:val="18"/>
      <w:szCs w:val="18"/>
    </w:rPr>
  </w:style>
  <w:style w:type="character" w:customStyle="1" w:styleId="12">
    <w:name w:val="UserStyle_0"/>
    <w:semiHidden/>
    <w:qFormat/>
    <w:uiPriority w:val="99"/>
    <w:rPr>
      <w:rFonts w:ascii="Times New Roman" w:hAnsi="Times New Roman" w:eastAsia="宋体" w:cs="Times New Roman"/>
      <w:kern w:val="2"/>
      <w:sz w:val="21"/>
      <w:szCs w:val="24"/>
      <w:lang w:val="en-US" w:eastAsia="zh-CN" w:bidi="ar-SA"/>
    </w:rPr>
  </w:style>
  <w:style w:type="character" w:customStyle="1" w:styleId="13">
    <w:name w:val="页眉 字符"/>
    <w:basedOn w:val="10"/>
    <w:link w:val="5"/>
    <w:qFormat/>
    <w:uiPriority w:val="99"/>
    <w:rPr>
      <w:kern w:val="2"/>
      <w:sz w:val="18"/>
      <w:szCs w:val="18"/>
    </w:rPr>
  </w:style>
  <w:style w:type="character" w:customStyle="1" w:styleId="14">
    <w:name w:val="页脚 字符"/>
    <w:basedOn w:val="10"/>
    <w:link w:val="4"/>
    <w:qFormat/>
    <w:uiPriority w:val="0"/>
    <w:rPr>
      <w:kern w:val="2"/>
      <w:sz w:val="18"/>
      <w:szCs w:val="18"/>
    </w:rPr>
  </w:style>
  <w:style w:type="paragraph" w:customStyle="1" w:styleId="15">
    <w:name w:val="p0"/>
    <w:basedOn w:val="1"/>
    <w:qFormat/>
    <w:uiPriority w:val="0"/>
    <w:pPr>
      <w:widowControl/>
      <w:autoSpaceDE w:val="0"/>
      <w:autoSpaceDN w:val="0"/>
      <w:snapToGrid w:val="0"/>
      <w:spacing w:line="590" w:lineRule="atLeast"/>
      <w:ind w:firstLine="624"/>
    </w:pPr>
    <w:rPr>
      <w:rFonts w:ascii="Calibri" w:hAnsi="Calibri" w:eastAsia="方正仿宋_GBK" w:cs="Calibri"/>
      <w:snapToGrid w:val="0"/>
      <w:kern w:val="0"/>
      <w:sz w:val="32"/>
      <w:szCs w:val="21"/>
    </w:rPr>
  </w:style>
  <w:style w:type="character" w:customStyle="1" w:styleId="16">
    <w:name w:val="NormalCharacter"/>
    <w:qFormat/>
    <w:uiPriority w:val="0"/>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3&#24180;&#39044;&#31639;&#20844;&#24320;&#31995;&#32479;&#27719;&#24635;\&#26609;&#24418;&#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[柱形图(1).xlsx]Sheet1!数据透视表2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'[柱形图(1).xlsx]Sheet1'!$F$1</c:f>
              <c:strCache>
                <c:ptCount val="1"/>
                <c:pt idx="0">
                  <c:v>求和项:行政</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'[柱形图(1).xlsx]Sheet1'!$E$2:$E$4</c:f>
              <c:strCache>
                <c:ptCount val="2"/>
                <c:pt idx="0">
                  <c:v>编制人数</c:v>
                </c:pt>
                <c:pt idx="1">
                  <c:v>实有人数</c:v>
                </c:pt>
              </c:strCache>
            </c:strRef>
          </c:cat>
          <c:val>
            <c:numRef>
              <c:f>'[柱形图(1).xlsx]Sheet1'!$F$2:$F$4</c:f>
              <c:numCache>
                <c:formatCode>General</c:formatCode>
                <c:ptCount val="2"/>
              </c:numCache>
            </c:numRef>
          </c:val>
        </c:ser>
        <c:ser>
          <c:idx val="1"/>
          <c:order val="1"/>
          <c:tx>
            <c:strRef>
              <c:f>'[柱形图(1).xlsx]Sheet1'!$G$1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'[柱形图(1).xlsx]Sheet1'!$E$2:$E$4</c:f>
              <c:strCache>
                <c:ptCount val="2"/>
                <c:pt idx="0">
                  <c:v>编制人数</c:v>
                </c:pt>
                <c:pt idx="1">
                  <c:v>实有人数</c:v>
                </c:pt>
              </c:strCache>
            </c:strRef>
          </c:cat>
          <c:val>
            <c:numRef>
              <c:f>'[柱形图(1).xlsx]Sheet1'!$G$2:$G$4</c:f>
              <c:numCache>
                <c:formatCode>General</c:formatCode>
                <c:ptCount val="2"/>
                <c:pt idx="0">
                  <c:v>788</c:v>
                </c:pt>
                <c:pt idx="1">
                  <c:v>766</c:v>
                </c:pt>
              </c:numCache>
            </c:numRef>
          </c:val>
        </c:ser>
        <c:dLbls>
          <c:showLegendKey val="0"/>
          <c:showVal val="0"/>
          <c:showCatName val="0"/>
          <c:showSerName val="0"/>
          <c:showPercent val="0"/>
          <c:showBubbleSize val="0"/>
        </c:dLbls>
        <c:gapWidth val="164"/>
        <c:axId val="42797312"/>
        <c:axId val="42819584"/>
      </c:barChart>
      <c:catAx>
        <c:axId val="4279731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19584"/>
        <c:crosses val="autoZero"/>
        <c:auto val="1"/>
        <c:lblAlgn val="ctr"/>
        <c:lblOffset val="100"/>
        <c:noMultiLvlLbl val="0"/>
      </c:catAx>
      <c:valAx>
        <c:axId val="428195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9731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BD40A-6C0B-43E9-8FBE-E259DFCE6AE4}">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16</Pages>
  <Words>6859</Words>
  <Characters>7567</Characters>
  <Lines>55</Lines>
  <Paragraphs>15</Paragraphs>
  <TotalTime>6</TotalTime>
  <ScaleCrop>false</ScaleCrop>
  <LinksUpToDate>false</LinksUpToDate>
  <CharactersWithSpaces>7641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2020-08-10T13:40:00Z</dcterms:created>
  <dc:creator>郭超(拟稿)</dc:creator>
  <cp:lastModifiedBy>2148540017</cp:lastModifiedBy>
  <cp:lastPrinted>2022-04-22T00:22:00Z</cp:lastPrinted>
  <dcterms:modified xsi:type="dcterms:W3CDTF">2023-05-04T02:59:45Z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2179E8006E5E4516A60AF90C0B04945C</vt:lpwstr>
  </property>
</Properties>
</file>