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ascii="黑体" w:hAnsi="黑体" w:eastAsia="黑体" w:cs="黑体"/>
          <w:sz w:val="32"/>
          <w:szCs w:val="32"/>
        </w:rPr>
      </w:pPr>
    </w:p>
    <w:p>
      <w:pPr>
        <w:spacing w:line="56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紫阳县乡村振兴局</w:t>
      </w:r>
    </w:p>
    <w:p>
      <w:pPr>
        <w:spacing w:line="56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2023年部门预算公开说明</w:t>
      </w:r>
    </w:p>
    <w:p>
      <w:pPr>
        <w:spacing w:line="560" w:lineRule="exact"/>
        <w:ind w:firstLine="640"/>
        <w:rPr>
          <w:rFonts w:ascii="仿宋" w:hAnsi="仿宋" w:eastAsia="仿宋" w:cs="仿宋"/>
          <w:sz w:val="32"/>
          <w:szCs w:val="32"/>
        </w:rPr>
      </w:pPr>
    </w:p>
    <w:p>
      <w:pPr>
        <w:spacing w:line="560" w:lineRule="exact"/>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spacing w:line="560" w:lineRule="exact"/>
        <w:ind w:firstLine="643"/>
        <w:jc w:val="center"/>
        <w:rPr>
          <w:rFonts w:ascii="黑体" w:hAnsi="黑体" w:eastAsia="黑体" w:cs="黑体"/>
          <w:b/>
          <w:bCs/>
          <w:sz w:val="32"/>
          <w:szCs w:val="32"/>
        </w:rPr>
      </w:pPr>
      <w:r>
        <w:rPr>
          <w:rFonts w:hint="eastAsia" w:ascii="黑体" w:hAnsi="黑体" w:eastAsia="黑体" w:cs="黑体"/>
          <w:b/>
          <w:bCs/>
          <w:sz w:val="32"/>
          <w:szCs w:val="32"/>
        </w:rPr>
        <w:t>第一部分   部门概况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一、部门主要职责及机构设置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二、2023年年度部门工作任务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四、部门人员情况说明</w:t>
      </w:r>
    </w:p>
    <w:p>
      <w:pPr>
        <w:spacing w:line="560" w:lineRule="exact"/>
        <w:ind w:firstLine="643"/>
        <w:jc w:val="center"/>
        <w:rPr>
          <w:rFonts w:ascii="黑体" w:hAnsi="黑体" w:eastAsia="黑体" w:cs="黑体"/>
          <w:b/>
          <w:bCs/>
          <w:sz w:val="32"/>
          <w:szCs w:val="32"/>
        </w:rPr>
      </w:pPr>
    </w:p>
    <w:p>
      <w:pPr>
        <w:spacing w:line="560" w:lineRule="exact"/>
        <w:ind w:firstLine="643"/>
        <w:jc w:val="center"/>
        <w:rPr>
          <w:rFonts w:ascii="黑体" w:hAnsi="黑体" w:eastAsia="黑体" w:cs="黑体"/>
          <w:b/>
          <w:bCs/>
          <w:sz w:val="32"/>
          <w:szCs w:val="32"/>
        </w:rPr>
      </w:pPr>
      <w:r>
        <w:rPr>
          <w:rFonts w:hint="eastAsia" w:ascii="黑体" w:hAnsi="黑体" w:eastAsia="黑体" w:cs="黑体"/>
          <w:b/>
          <w:bCs/>
          <w:sz w:val="32"/>
          <w:szCs w:val="32"/>
        </w:rPr>
        <w:t>第二部分   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五、2023年部门预算收支说明</w:t>
      </w:r>
    </w:p>
    <w:p>
      <w:pPr>
        <w:spacing w:line="560" w:lineRule="exact"/>
        <w:ind w:firstLine="643"/>
        <w:jc w:val="center"/>
        <w:rPr>
          <w:rFonts w:ascii="黑体" w:hAnsi="黑体" w:eastAsia="黑体" w:cs="黑体"/>
          <w:b/>
          <w:bCs/>
          <w:sz w:val="32"/>
          <w:szCs w:val="32"/>
        </w:rPr>
      </w:pPr>
    </w:p>
    <w:p>
      <w:pPr>
        <w:spacing w:line="560" w:lineRule="exact"/>
        <w:ind w:firstLine="643"/>
        <w:jc w:val="center"/>
        <w:rPr>
          <w:rFonts w:ascii="黑体" w:hAnsi="黑体" w:eastAsia="黑体" w:cs="黑体"/>
          <w:b/>
          <w:bCs/>
          <w:sz w:val="32"/>
          <w:szCs w:val="32"/>
        </w:rPr>
      </w:pPr>
      <w:r>
        <w:rPr>
          <w:rFonts w:hint="eastAsia" w:ascii="黑体" w:hAnsi="黑体" w:eastAsia="黑体" w:cs="黑体"/>
          <w:b/>
          <w:bCs/>
          <w:sz w:val="32"/>
          <w:szCs w:val="32"/>
        </w:rPr>
        <w:t>第三部分   其他说明情况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六、部门预算“三公”经费等情况说明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七、部门国有资产占有使用及资产购置情况说明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八、部门政府采购情况说明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九、部门预算绩效目标说明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十、机关运行经费安排说明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十一、专业名词解释</w:t>
      </w:r>
    </w:p>
    <w:p>
      <w:pPr>
        <w:spacing w:line="560" w:lineRule="exact"/>
        <w:ind w:firstLine="643"/>
        <w:jc w:val="center"/>
        <w:rPr>
          <w:rFonts w:ascii="黑体" w:hAnsi="黑体" w:eastAsia="黑体" w:cs="黑体"/>
          <w:b/>
          <w:bCs/>
          <w:sz w:val="32"/>
          <w:szCs w:val="32"/>
        </w:rPr>
      </w:pPr>
    </w:p>
    <w:p>
      <w:pPr>
        <w:spacing w:line="560" w:lineRule="exact"/>
        <w:ind w:firstLine="643"/>
        <w:jc w:val="center"/>
        <w:rPr>
          <w:rFonts w:ascii="黑体" w:hAnsi="黑体" w:eastAsia="黑体" w:cs="黑体"/>
          <w:b/>
          <w:bCs/>
          <w:sz w:val="32"/>
          <w:szCs w:val="32"/>
        </w:rPr>
      </w:pPr>
      <w:r>
        <w:rPr>
          <w:rFonts w:hint="eastAsia" w:ascii="黑体" w:hAnsi="黑体" w:eastAsia="黑体" w:cs="黑体"/>
          <w:b/>
          <w:bCs/>
          <w:sz w:val="32"/>
          <w:szCs w:val="32"/>
        </w:rPr>
        <w:t>第四部分   公开报表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（具体部门预算公开报表）</w:t>
      </w:r>
    </w:p>
    <w:p>
      <w:pPr>
        <w:spacing w:line="560" w:lineRule="exact"/>
        <w:ind w:firstLine="643"/>
        <w:jc w:val="center"/>
        <w:rPr>
          <w:rFonts w:ascii="仿宋_GB2312" w:hAnsi="仿宋_GB2312" w:eastAsia="仿宋_GB2312" w:cs="仿宋_GB2312"/>
          <w:b/>
          <w:bCs/>
          <w:sz w:val="32"/>
          <w:szCs w:val="32"/>
        </w:rPr>
      </w:pPr>
    </w:p>
    <w:p>
      <w:pPr>
        <w:spacing w:line="560" w:lineRule="exact"/>
        <w:ind w:firstLine="643"/>
        <w:jc w:val="center"/>
        <w:rPr>
          <w:rFonts w:ascii="黑体" w:hAnsi="黑体" w:eastAsia="黑体" w:cs="黑体"/>
          <w:b/>
          <w:bCs/>
          <w:sz w:val="32"/>
          <w:szCs w:val="32"/>
        </w:rPr>
      </w:pPr>
    </w:p>
    <w:p>
      <w:pPr>
        <w:spacing w:line="560" w:lineRule="exact"/>
        <w:ind w:firstLine="643"/>
        <w:jc w:val="center"/>
        <w:rPr>
          <w:rFonts w:ascii="黑体" w:hAnsi="黑体" w:eastAsia="黑体" w:cs="黑体"/>
          <w:b/>
          <w:bCs/>
          <w:sz w:val="32"/>
          <w:szCs w:val="32"/>
        </w:rPr>
      </w:pPr>
      <w:r>
        <w:rPr>
          <w:rFonts w:hint="eastAsia" w:ascii="黑体" w:hAnsi="黑体" w:eastAsia="黑体" w:cs="黑体"/>
          <w:b/>
          <w:bCs/>
          <w:sz w:val="32"/>
          <w:szCs w:val="32"/>
        </w:rPr>
        <w:t>第一部分  部门概况</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一、部门主要职责及机构设置</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color w:val="FF0000"/>
          <w:sz w:val="32"/>
          <w:szCs w:val="32"/>
        </w:rPr>
        <w:t xml:space="preserve"> </w:t>
      </w:r>
      <w:r>
        <w:rPr>
          <w:rFonts w:hint="eastAsia" w:ascii="楷体_GB2312" w:hAnsi="楷体_GB2312" w:eastAsia="楷体_GB2312" w:cs="楷体_GB2312"/>
          <w:b/>
          <w:bCs/>
          <w:sz w:val="32"/>
          <w:szCs w:val="32"/>
        </w:rPr>
        <w:t>（一）部门主要职责</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1、承办县巩固拓展脱贫攻坚成果同乡村振兴有效衔接领导小组的日常工作；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2、研究巩固拓展脱贫攻坚成果同乡村振兴有效衔接重大问题，拟定政策、规划并组织实施，指导推进各成员单位、各镇落实巩固拓展脱贫攻坚成果同乡村振兴有效衔接的具体工作；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3、协调组织各专项工作组、各行业部门落实巩固拓展脱贫攻坚成果同乡村振兴有效衔接具体工作；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4、统筹协调保持过渡期内主要帮扶政策稳定；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5、组织开展防止返贫监测和帮扶工作；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协调组织党政机关、企事业单位、群团、民营企业、社会组织等社会各界参与巩固拓展脱贫攻坚成果同乡村振兴有效衔接帮扶工作，承担中省市定点帮扶和东西部协作衔接协调、服务保障工作，配合做好驻村第一书记和工作队选派管理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7、督导检查责任落实、政策落实、工作落实和成效巩固，开展巩固脱贫成果后评估和实施乡村振兴战略实绩考核工作；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8、组织对巩固拓展脱贫攻坚成果进行统计监测、分析预警，负责巩固拓展脱贫攻坚成果同乡村振兴有效衔接信息监测系统建设管理，指导乡村振兴系统做好信息化工作；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9、协调组织财政专项资金分配、监管和绩效评价，统筹加强扶贫项目资产管理，指导巩固拓展脱贫攻坚成果同乡村振兴项目库建设管理；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10、组织开展巩固拓展脱贫攻坚成果同乡村振兴有效衔接宣传引导、教育培训、调查研究及表彰奖励工作；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11、统筹推进乡村振兴示范镇村建设；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12、承办县巩固拓展脱贫攻坚成果同乡村振兴有效衔接领导小组交办的其他事项；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13、完成县委、县政府和县巩固衔接领导小组，省市乡村振兴局交办的其他任务。</w:t>
      </w:r>
    </w:p>
    <w:p>
      <w:pPr>
        <w:spacing w:line="560" w:lineRule="exact"/>
        <w:ind w:firstLine="643"/>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（二）机构设置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县巩固衔接办与县乡村振兴局“两块牌子、一套人马”合署办公，设8个工作组，实行办（局）、组（股）一体化运行机制。县巩固衔接办主任由县乡村振兴局主要负责同志担任，各组设组长1名，按各组职能设副组长，组长由县乡村振兴局、县巩固衔接办领导兼任，副组长按职责任务合理配备，人员从县巩固拓展脱贫攻坚成果同乡村振兴有效衔接领导小组各成员单位和各镇抽调。</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二、2023年度部门工作任务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为持续巩固脱贫成果，全面推进乡村振兴，根据《中共中央、 国务院关于实现巩固拓展脱贫攻坚成果同乡村振兴有效衔接的 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中发〔2020〕30号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《中共中央、国务院关于做好2023 年全面推进乡村振兴重点工作的意见》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中发〔2023〕1号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精神和省市有关决策部署，结合我县实际，制定如下实施方案。</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指导思想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坚持以习近平新时代中国特色社会主义思想为指导，完整准 确全面学习贯彻党的二十大精神，深入贯彻落实习近平总书记关 于“三农”工作重要论述和来陕考察重要讲话精神，坚持党的全 面领导，坚持共同富裕方向，坚持农业农村优先发展，坚持以乡 村振兴统揽新时代“三农”工作，按照中央经济工作会议、中央 农村工作会议和省市要求，严格落实“四个不摘”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高效推动“三 个转向”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坚决落实县委十六届四次全会决策部署，抢抓“国家 乡村振兴重点帮扶县”重大机遇，聚焦“守底线、抓发展、促振 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以“两个精准”为抓手，持续巩固脱贫成果，全面推进乡 村振兴，促进农业全面升级、农村全面进步、农民全面发展，为 “在中国式现代化道路上聚力建设幸福紫阳”开好局起好步打下坚实基础。</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 xml:space="preserve"> 目标任务</w:t>
      </w:r>
    </w:p>
    <w:p>
      <w:pPr>
        <w:spacing w:line="560" w:lineRule="exact"/>
        <w:ind w:firstLine="640"/>
        <w:rPr>
          <w:rFonts w:ascii="仿宋_GB2312" w:hAnsi="仿宋_GB2312" w:eastAsia="仿宋_GB2312" w:cs="仿宋_GB2312"/>
          <w:spacing w:val="-5"/>
          <w:sz w:val="31"/>
          <w:szCs w:val="31"/>
        </w:rPr>
      </w:pPr>
      <w:r>
        <w:rPr>
          <w:rFonts w:hint="eastAsia" w:ascii="仿宋_GB2312" w:hAnsi="仿宋_GB2312" w:eastAsia="仿宋_GB2312" w:cs="仿宋_GB2312"/>
          <w:sz w:val="32"/>
          <w:szCs w:val="32"/>
        </w:rPr>
        <w:t xml:space="preserve">紧紧围绕县委十六届四次全会部署和要求，按照 “123456” </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15"/>
          <w:sz w:val="31"/>
          <w:szCs w:val="31"/>
        </w:rPr>
        <w:t>工作思路，扎实推进2023年全县巩固拓展脱贫攻坚成果同乡村</w:t>
      </w:r>
      <w:r>
        <w:rPr>
          <w:rFonts w:hint="eastAsia" w:ascii="仿宋_GB2312" w:hAnsi="仿宋_GB2312" w:eastAsia="仿宋_GB2312" w:cs="仿宋_GB2312"/>
          <w:spacing w:val="4"/>
          <w:sz w:val="31"/>
          <w:szCs w:val="31"/>
        </w:rPr>
        <w:t xml:space="preserve"> 振兴有效衔接各项工作。即：牢牢守住不发生规模性返贫</w:t>
      </w:r>
      <w:r>
        <w:rPr>
          <w:rFonts w:hint="eastAsia" w:ascii="仿宋_GB2312" w:hAnsi="仿宋_GB2312" w:eastAsia="仿宋_GB2312" w:cs="仿宋_GB2312"/>
          <w:b/>
          <w:bCs/>
          <w:spacing w:val="4"/>
          <w:sz w:val="31"/>
          <w:szCs w:val="31"/>
        </w:rPr>
        <w:t>“一条</w:t>
      </w:r>
      <w:r>
        <w:rPr>
          <w:rFonts w:hint="eastAsia" w:ascii="仿宋_GB2312" w:hAnsi="仿宋_GB2312" w:eastAsia="仿宋_GB2312" w:cs="仿宋_GB2312"/>
          <w:spacing w:val="8"/>
          <w:sz w:val="31"/>
          <w:szCs w:val="31"/>
        </w:rPr>
        <w:t xml:space="preserve"> </w:t>
      </w:r>
      <w:r>
        <w:rPr>
          <w:rFonts w:hint="eastAsia" w:ascii="仿宋_GB2312" w:hAnsi="仿宋_GB2312" w:eastAsia="仿宋_GB2312" w:cs="仿宋_GB2312"/>
          <w:spacing w:val="5"/>
          <w:sz w:val="31"/>
          <w:szCs w:val="31"/>
        </w:rPr>
        <w:t>底线”</w:t>
      </w:r>
      <w:r>
        <w:rPr>
          <w:rFonts w:hint="eastAsia" w:ascii="仿宋_GB2312" w:hAnsi="仿宋_GB2312" w:eastAsia="仿宋_GB2312" w:cs="仿宋_GB2312"/>
          <w:spacing w:val="5"/>
          <w:sz w:val="31"/>
          <w:szCs w:val="31"/>
          <w:lang w:eastAsia="zh-CN"/>
        </w:rPr>
        <w:t>，</w:t>
      </w:r>
      <w:r>
        <w:rPr>
          <w:rFonts w:hint="eastAsia" w:ascii="仿宋_GB2312" w:hAnsi="仿宋_GB2312" w:eastAsia="仿宋_GB2312" w:cs="仿宋_GB2312"/>
          <w:spacing w:val="5"/>
          <w:sz w:val="31"/>
          <w:szCs w:val="31"/>
        </w:rPr>
        <w:t>着力推进产业精准到户、就业精准到人“</w:t>
      </w:r>
      <w:r>
        <w:rPr>
          <w:rFonts w:hint="eastAsia" w:ascii="仿宋_GB2312" w:hAnsi="仿宋_GB2312" w:eastAsia="仿宋_GB2312" w:cs="仿宋_GB2312"/>
          <w:spacing w:val="4"/>
          <w:sz w:val="31"/>
          <w:szCs w:val="31"/>
        </w:rPr>
        <w:t>两个精准”</w:t>
      </w:r>
      <w:r>
        <w:rPr>
          <w:rFonts w:hint="eastAsia" w:ascii="仿宋_GB2312" w:hAnsi="仿宋_GB2312" w:eastAsia="仿宋_GB2312" w:cs="仿宋_GB2312"/>
          <w:spacing w:val="4"/>
          <w:sz w:val="31"/>
          <w:szCs w:val="31"/>
          <w:lang w:eastAsia="zh-CN"/>
        </w:rPr>
        <w:t>，</w:t>
      </w:r>
      <w:r>
        <w:rPr>
          <w:rFonts w:hint="eastAsia" w:ascii="仿宋_GB2312" w:hAnsi="仿宋_GB2312" w:eastAsia="仿宋_GB2312" w:cs="仿宋_GB2312"/>
          <w:spacing w:val="4"/>
          <w:sz w:val="31"/>
          <w:szCs w:val="31"/>
        </w:rPr>
        <w:t>紧</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15"/>
          <w:sz w:val="31"/>
          <w:szCs w:val="31"/>
        </w:rPr>
        <w:t>扣脱贫县本年度农村居民人均可支配收入增速不低于全省农村</w:t>
      </w:r>
      <w:r>
        <w:rPr>
          <w:rFonts w:hint="eastAsia" w:ascii="仿宋_GB2312" w:hAnsi="仿宋_GB2312" w:eastAsia="仿宋_GB2312" w:cs="仿宋_GB2312"/>
          <w:spacing w:val="14"/>
          <w:sz w:val="31"/>
          <w:szCs w:val="31"/>
        </w:rPr>
        <w:t xml:space="preserve"> </w:t>
      </w:r>
      <w:r>
        <w:rPr>
          <w:rFonts w:hint="eastAsia" w:ascii="仿宋_GB2312" w:hAnsi="仿宋_GB2312" w:eastAsia="仿宋_GB2312" w:cs="仿宋_GB2312"/>
          <w:spacing w:val="7"/>
          <w:sz w:val="31"/>
          <w:szCs w:val="31"/>
        </w:rPr>
        <w:t>人均可支配收入增速、脱贫人口收入增速不低于农民收入增</w:t>
      </w:r>
      <w:r>
        <w:rPr>
          <w:rFonts w:hint="eastAsia" w:ascii="仿宋_GB2312" w:hAnsi="仿宋_GB2312" w:eastAsia="仿宋_GB2312" w:cs="仿宋_GB2312"/>
          <w:spacing w:val="6"/>
          <w:sz w:val="31"/>
          <w:szCs w:val="31"/>
        </w:rPr>
        <w:t>速、</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15"/>
          <w:sz w:val="31"/>
          <w:szCs w:val="31"/>
        </w:rPr>
        <w:t>重点帮扶县农民收入增速不低于全省脱贫县农民收入平均增速</w:t>
      </w:r>
      <w:r>
        <w:rPr>
          <w:rFonts w:hint="eastAsia" w:ascii="仿宋_GB2312" w:hAnsi="仿宋_GB2312" w:eastAsia="仿宋_GB2312" w:cs="仿宋_GB2312"/>
          <w:spacing w:val="14"/>
          <w:sz w:val="31"/>
          <w:szCs w:val="31"/>
        </w:rPr>
        <w:t xml:space="preserve"> </w:t>
      </w:r>
      <w:r>
        <w:rPr>
          <w:rFonts w:hint="eastAsia" w:ascii="仿宋_GB2312" w:hAnsi="仿宋_GB2312" w:eastAsia="仿宋_GB2312" w:cs="仿宋_GB2312"/>
          <w:b/>
          <w:bCs/>
          <w:spacing w:val="5"/>
          <w:sz w:val="31"/>
          <w:szCs w:val="31"/>
        </w:rPr>
        <w:t>“三个增长”,</w:t>
      </w:r>
      <w:r>
        <w:rPr>
          <w:rFonts w:hint="eastAsia" w:ascii="仿宋_GB2312" w:hAnsi="仿宋_GB2312" w:eastAsia="仿宋_GB2312" w:cs="仿宋_GB2312"/>
          <w:spacing w:val="-10"/>
          <w:sz w:val="31"/>
          <w:szCs w:val="31"/>
        </w:rPr>
        <w:t xml:space="preserve"> </w:t>
      </w:r>
      <w:r>
        <w:rPr>
          <w:rFonts w:hint="eastAsia" w:ascii="仿宋_GB2312" w:hAnsi="仿宋_GB2312" w:eastAsia="仿宋_GB2312" w:cs="仿宋_GB2312"/>
          <w:spacing w:val="5"/>
          <w:sz w:val="31"/>
          <w:szCs w:val="31"/>
        </w:rPr>
        <w:t>深化拓展“三个三”防返贫监测、党建引领易地</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1"/>
          <w:sz w:val="31"/>
          <w:szCs w:val="31"/>
        </w:rPr>
        <w:t>搬迁后扶“1126”模式、“政府主导+龙头带动+基地培训+定向就</w:t>
      </w:r>
      <w:r>
        <w:rPr>
          <w:rFonts w:hint="eastAsia" w:ascii="仿宋_GB2312" w:hAnsi="仿宋_GB2312" w:eastAsia="仿宋_GB2312" w:cs="仿宋_GB2312"/>
          <w:spacing w:val="8"/>
          <w:sz w:val="31"/>
          <w:szCs w:val="31"/>
        </w:rPr>
        <w:t xml:space="preserve"> </w:t>
      </w:r>
      <w:r>
        <w:rPr>
          <w:rFonts w:hint="eastAsia" w:ascii="仿宋_GB2312" w:hAnsi="仿宋_GB2312" w:eastAsia="仿宋_GB2312" w:cs="仿宋_GB2312"/>
          <w:spacing w:val="-16"/>
          <w:sz w:val="31"/>
          <w:szCs w:val="31"/>
        </w:rPr>
        <w:t>业”帮扶、“龙头企业+合作社+基地+农户”产业发展</w:t>
      </w:r>
      <w:r>
        <w:rPr>
          <w:rFonts w:hint="eastAsia" w:ascii="仿宋_GB2312" w:hAnsi="仿宋_GB2312" w:eastAsia="仿宋_GB2312" w:cs="仿宋_GB2312"/>
          <w:b/>
          <w:bCs/>
          <w:spacing w:val="-16"/>
          <w:sz w:val="31"/>
          <w:szCs w:val="31"/>
        </w:rPr>
        <w:t>“四个模式”,</w:t>
      </w:r>
      <w:r>
        <w:rPr>
          <w:rFonts w:hint="eastAsia" w:ascii="仿宋_GB2312" w:hAnsi="仿宋_GB2312" w:eastAsia="仿宋_GB2312" w:cs="仿宋_GB2312"/>
          <w:spacing w:val="2"/>
          <w:sz w:val="31"/>
          <w:szCs w:val="31"/>
        </w:rPr>
        <w:t xml:space="preserve"> </w:t>
      </w:r>
      <w:r>
        <w:rPr>
          <w:rFonts w:hint="eastAsia" w:ascii="仿宋_GB2312" w:hAnsi="仿宋_GB2312" w:eastAsia="仿宋_GB2312" w:cs="仿宋_GB2312"/>
          <w:spacing w:val="5"/>
          <w:sz w:val="31"/>
          <w:szCs w:val="31"/>
        </w:rPr>
        <w:t>优化提升专班调度推进、清单督导交办、项目跟踪问</w:t>
      </w:r>
      <w:r>
        <w:rPr>
          <w:rFonts w:hint="eastAsia" w:ascii="仿宋_GB2312" w:hAnsi="仿宋_GB2312" w:eastAsia="仿宋_GB2312" w:cs="仿宋_GB2312"/>
          <w:spacing w:val="4"/>
          <w:sz w:val="31"/>
          <w:szCs w:val="31"/>
        </w:rPr>
        <w:t>效、三单过</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3"/>
          <w:sz w:val="31"/>
          <w:szCs w:val="31"/>
        </w:rPr>
        <w:t>程管理、分片业务指导</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b/>
          <w:bCs/>
          <w:spacing w:val="-3"/>
          <w:sz w:val="31"/>
          <w:szCs w:val="31"/>
        </w:rPr>
        <w:t>“五项机制”,</w:t>
      </w:r>
      <w:r>
        <w:rPr>
          <w:rFonts w:hint="eastAsia" w:ascii="仿宋_GB2312" w:hAnsi="仿宋_GB2312" w:eastAsia="仿宋_GB2312" w:cs="仿宋_GB2312"/>
          <w:spacing w:val="-20"/>
          <w:sz w:val="31"/>
          <w:szCs w:val="31"/>
        </w:rPr>
        <w:t xml:space="preserve"> </w:t>
      </w:r>
      <w:r>
        <w:rPr>
          <w:rFonts w:hint="eastAsia" w:ascii="仿宋_GB2312" w:hAnsi="仿宋_GB2312" w:eastAsia="仿宋_GB2312" w:cs="仿宋_GB2312"/>
          <w:spacing w:val="-3"/>
          <w:sz w:val="31"/>
          <w:szCs w:val="31"/>
        </w:rPr>
        <w:t>聚力推进巩固脱贫成果、</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7"/>
          <w:sz w:val="31"/>
          <w:szCs w:val="31"/>
        </w:rPr>
        <w:t>提升帮扶实效、促进群众增收、加快乡村发展、推进乡村建设</w:t>
      </w:r>
      <w:r>
        <w:rPr>
          <w:rFonts w:hint="eastAsia" w:ascii="仿宋_GB2312" w:hAnsi="仿宋_GB2312" w:eastAsia="仿宋_GB2312" w:cs="仿宋_GB2312"/>
          <w:spacing w:val="6"/>
          <w:sz w:val="31"/>
          <w:szCs w:val="31"/>
        </w:rPr>
        <w:t>、</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1"/>
          <w:sz w:val="31"/>
          <w:szCs w:val="31"/>
        </w:rPr>
        <w:t>创新乡村治理</w:t>
      </w:r>
      <w:r>
        <w:rPr>
          <w:rFonts w:hint="eastAsia" w:ascii="仿宋_GB2312" w:hAnsi="仿宋_GB2312" w:eastAsia="仿宋_GB2312" w:cs="仿宋_GB2312"/>
          <w:spacing w:val="-25"/>
          <w:sz w:val="31"/>
          <w:szCs w:val="31"/>
        </w:rPr>
        <w:t xml:space="preserve"> </w:t>
      </w:r>
      <w:r>
        <w:rPr>
          <w:rFonts w:hint="eastAsia" w:ascii="仿宋_GB2312" w:hAnsi="仿宋_GB2312" w:eastAsia="仿宋_GB2312" w:cs="仿宋_GB2312"/>
          <w:b/>
          <w:bCs/>
          <w:spacing w:val="1"/>
          <w:sz w:val="31"/>
          <w:szCs w:val="31"/>
        </w:rPr>
        <w:t>“六大重点任务”,</w:t>
      </w:r>
      <w:r>
        <w:rPr>
          <w:rFonts w:hint="eastAsia" w:ascii="仿宋_GB2312" w:hAnsi="仿宋_GB2312" w:eastAsia="仿宋_GB2312" w:cs="仿宋_GB2312"/>
          <w:spacing w:val="-61"/>
          <w:sz w:val="31"/>
          <w:szCs w:val="31"/>
        </w:rPr>
        <w:t xml:space="preserve"> </w:t>
      </w:r>
      <w:r>
        <w:rPr>
          <w:rFonts w:hint="eastAsia" w:ascii="仿宋_GB2312" w:hAnsi="仿宋_GB2312" w:eastAsia="仿宋_GB2312" w:cs="仿宋_GB2312"/>
          <w:spacing w:val="1"/>
          <w:sz w:val="31"/>
          <w:szCs w:val="31"/>
        </w:rPr>
        <w:t>到2023年底，全县所有农户收</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7"/>
          <w:sz w:val="31"/>
          <w:szCs w:val="31"/>
        </w:rPr>
        <w:t>入和“两不愁三保障”及安全饮水保障水平明显提升，县摘帽</w:t>
      </w:r>
      <w:r>
        <w:rPr>
          <w:rFonts w:hint="eastAsia" w:ascii="仿宋_GB2312" w:hAnsi="仿宋_GB2312" w:eastAsia="仿宋_GB2312" w:cs="仿宋_GB2312"/>
          <w:spacing w:val="6"/>
          <w:sz w:val="31"/>
          <w:szCs w:val="31"/>
        </w:rPr>
        <w:t>、</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4"/>
          <w:sz w:val="31"/>
          <w:szCs w:val="31"/>
        </w:rPr>
        <w:t>村退出、户脱贫成果更加稳固。乡村发展活力增强，产业质量效</w:t>
      </w:r>
      <w:r>
        <w:rPr>
          <w:rFonts w:hint="eastAsia" w:ascii="仿宋_GB2312" w:hAnsi="仿宋_GB2312" w:eastAsia="仿宋_GB2312" w:cs="仿宋_GB2312"/>
          <w:spacing w:val="16"/>
          <w:sz w:val="31"/>
          <w:szCs w:val="31"/>
        </w:rPr>
        <w:t xml:space="preserve"> </w:t>
      </w:r>
      <w:r>
        <w:rPr>
          <w:rFonts w:hint="eastAsia" w:ascii="仿宋_GB2312" w:hAnsi="仿宋_GB2312" w:eastAsia="仿宋_GB2312" w:cs="仿宋_GB2312"/>
          <w:spacing w:val="4"/>
          <w:sz w:val="31"/>
          <w:szCs w:val="31"/>
        </w:rPr>
        <w:t>益明显提高，农民收入稳步增加。乡村建设扎实推进，农村基础</w:t>
      </w:r>
      <w:r>
        <w:rPr>
          <w:rFonts w:hint="eastAsia" w:ascii="仿宋_GB2312" w:hAnsi="仿宋_GB2312" w:eastAsia="仿宋_GB2312" w:cs="仿宋_GB2312"/>
          <w:spacing w:val="3"/>
          <w:sz w:val="31"/>
          <w:szCs w:val="31"/>
        </w:rPr>
        <w:t xml:space="preserve"> </w:t>
      </w:r>
      <w:r>
        <w:rPr>
          <w:rFonts w:hint="eastAsia" w:ascii="仿宋_GB2312" w:hAnsi="仿宋_GB2312" w:eastAsia="仿宋_GB2312" w:cs="仿宋_GB2312"/>
          <w:spacing w:val="5"/>
          <w:sz w:val="31"/>
          <w:szCs w:val="31"/>
        </w:rPr>
        <w:t>设施更加完善，公共服务水平不断提升，生态</w:t>
      </w:r>
      <w:r>
        <w:rPr>
          <w:rFonts w:hint="eastAsia" w:ascii="仿宋_GB2312" w:hAnsi="仿宋_GB2312" w:eastAsia="仿宋_GB2312" w:cs="仿宋_GB2312"/>
          <w:spacing w:val="4"/>
          <w:sz w:val="31"/>
          <w:szCs w:val="31"/>
        </w:rPr>
        <w:t>环境持续改善。农</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5"/>
          <w:sz w:val="31"/>
          <w:szCs w:val="31"/>
        </w:rPr>
        <w:t>村基层组织建设不断加强，乡村治理体系更加</w:t>
      </w:r>
      <w:r>
        <w:rPr>
          <w:rFonts w:hint="eastAsia" w:ascii="仿宋_GB2312" w:hAnsi="仿宋_GB2312" w:eastAsia="仿宋_GB2312" w:cs="仿宋_GB2312"/>
          <w:spacing w:val="4"/>
          <w:sz w:val="31"/>
          <w:szCs w:val="31"/>
        </w:rPr>
        <w:t>完善，文明乡风逐</w:t>
      </w:r>
      <w:r>
        <w:rPr>
          <w:rFonts w:hint="eastAsia" w:ascii="仿宋_GB2312" w:hAnsi="仿宋_GB2312" w:eastAsia="仿宋_GB2312" w:cs="仿宋_GB2312"/>
          <w:spacing w:val="-5"/>
          <w:sz w:val="31"/>
          <w:szCs w:val="31"/>
        </w:rPr>
        <w:t>步形成。</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三、部门预算单位构成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从预算单位构成看，本部门的部门预算包括部门本级（机关）预算和所属事业单位预算。</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6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序号</w:t>
            </w:r>
          </w:p>
        </w:tc>
        <w:tc>
          <w:tcPr>
            <w:tcW w:w="5098" w:type="dxa"/>
          </w:tcPr>
          <w:p>
            <w:pPr>
              <w:spacing w:line="56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87" w:type="dxa"/>
          </w:tcPr>
          <w:p>
            <w:pPr>
              <w:spacing w:line="56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6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098" w:type="dxa"/>
          </w:tcPr>
          <w:p>
            <w:pPr>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紫阳县乡村振兴局</w:t>
            </w:r>
          </w:p>
        </w:tc>
        <w:tc>
          <w:tcPr>
            <w:tcW w:w="2087" w:type="dxa"/>
          </w:tcPr>
          <w:p>
            <w:pPr>
              <w:spacing w:line="560" w:lineRule="exact"/>
              <w:ind w:firstLine="0" w:firstLineChars="0"/>
              <w:rPr>
                <w:rFonts w:ascii="仿宋_GB2312" w:hAnsi="仿宋_GB2312" w:eastAsia="仿宋_GB2312" w:cs="仿宋_GB2312"/>
                <w:sz w:val="32"/>
                <w:szCs w:val="32"/>
              </w:rPr>
            </w:pPr>
          </w:p>
        </w:tc>
      </w:tr>
    </w:tbl>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四、部门人员情况说明</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sz w:val="32"/>
          <w:szCs w:val="32"/>
        </w:rPr>
        <w:t>截止</w:t>
      </w:r>
      <w:bookmarkStart w:id="0" w:name="_GoBack"/>
      <w:bookmarkEnd w:id="0"/>
      <w:r>
        <w:rPr>
          <w:rFonts w:hint="eastAsia" w:ascii="仿宋_GB2312" w:hAnsi="仿宋_GB2312" w:eastAsia="仿宋_GB2312" w:cs="仿宋_GB2312"/>
          <w:sz w:val="32"/>
          <w:szCs w:val="32"/>
        </w:rPr>
        <w:t>2022年底，本部门人员编制15人，其中行政编制11人、事业编制4人；实有人员51人，其中行政28事业23人，单位管理的离退休人员13人。</w:t>
      </w:r>
    </w:p>
    <w:p>
      <w:pPr>
        <w:spacing w:line="560" w:lineRule="exact"/>
        <w:ind w:firstLine="480"/>
        <w:rPr>
          <w:rFonts w:ascii="黑体" w:hAnsi="黑体" w:eastAsia="黑体" w:cs="黑体"/>
          <w:b/>
          <w:bCs/>
          <w:sz w:val="32"/>
          <w:szCs w:val="32"/>
        </w:rPr>
      </w:pPr>
      <w:r>
        <w:rPr>
          <w:rFonts w:hint="eastAsia" w:eastAsia="仿宋"/>
        </w:rPr>
        <w:drawing>
          <wp:anchor distT="0" distB="0" distL="114300" distR="114300" simplePos="0" relativeHeight="251659264" behindDoc="0" locked="0" layoutInCell="1" allowOverlap="1">
            <wp:simplePos x="0" y="0"/>
            <wp:positionH relativeFrom="column">
              <wp:posOffset>-200660</wp:posOffset>
            </wp:positionH>
            <wp:positionV relativeFrom="paragraph">
              <wp:posOffset>0</wp:posOffset>
            </wp:positionV>
            <wp:extent cx="5629910" cy="3358515"/>
            <wp:effectExtent l="0" t="0" r="8890" b="13335"/>
            <wp:wrapSquare wrapText="bothSides"/>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12"/>
                    <a:stretch>
                      <a:fillRect/>
                    </a:stretch>
                  </pic:blipFill>
                  <pic:spPr>
                    <a:xfrm>
                      <a:off x="0" y="0"/>
                      <a:ext cx="5629910" cy="3358515"/>
                    </a:xfrm>
                    <a:prstGeom prst="rect">
                      <a:avLst/>
                    </a:prstGeom>
                  </pic:spPr>
                </pic:pic>
              </a:graphicData>
            </a:graphic>
          </wp:anchor>
        </w:drawing>
      </w:r>
      <w:r>
        <w:rPr>
          <w:rFonts w:hint="eastAsia" w:ascii="仿宋_GB2312" w:hAnsi="仿宋_GB2312" w:eastAsia="仿宋_GB2312" w:cs="仿宋_GB2312"/>
        </w:rPr>
        <w:t xml:space="preserve">    </w:t>
      </w:r>
    </w:p>
    <w:p>
      <w:pPr>
        <w:spacing w:line="560" w:lineRule="exact"/>
        <w:ind w:firstLine="643"/>
        <w:jc w:val="center"/>
        <w:rPr>
          <w:rFonts w:ascii="仿宋" w:hAnsi="仿宋" w:eastAsia="仿宋" w:cs="仿宋"/>
          <w:b/>
          <w:bCs/>
          <w:sz w:val="32"/>
          <w:szCs w:val="32"/>
        </w:rPr>
      </w:pPr>
      <w:r>
        <w:rPr>
          <w:rFonts w:hint="eastAsia" w:ascii="黑体" w:hAnsi="黑体" w:eastAsia="黑体" w:cs="黑体"/>
          <w:b/>
          <w:bCs/>
          <w:sz w:val="32"/>
          <w:szCs w:val="32"/>
        </w:rPr>
        <w:t>第二部分  收支情况</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五、2023年部门预算收支说明</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（一）收支预算总体情况。</w:t>
      </w:r>
      <w:r>
        <w:rPr>
          <w:rFonts w:hint="eastAsia" w:ascii="楷体_GB2312" w:hAnsi="楷体_GB2312" w:eastAsia="楷体_GB2312" w:cs="楷体_GB2312"/>
          <w:b/>
          <w:bCs/>
          <w:sz w:val="32"/>
          <w:szCs w:val="32"/>
        </w:rPr>
        <w:tab/>
      </w:r>
    </w:p>
    <w:p>
      <w:pPr>
        <w:spacing w:line="560" w:lineRule="exact"/>
        <w:ind w:firstLine="540"/>
        <w:rPr>
          <w:rFonts w:ascii="仿宋_GB2312" w:hAnsi="仿宋_GB2312" w:eastAsia="仿宋_GB2312" w:cs="仿宋_GB2312"/>
          <w:sz w:val="32"/>
          <w:szCs w:val="32"/>
        </w:rPr>
      </w:pPr>
      <w:r>
        <w:rPr>
          <w:rFonts w:hint="eastAsia" w:ascii="仿宋_GB2312" w:hAnsi="仿宋_GB2312" w:eastAsia="仿宋_GB2312" w:cs="仿宋_GB2312"/>
          <w:kern w:val="0"/>
          <w:sz w:val="27"/>
          <w:szCs w:val="27"/>
          <w:shd w:val="clear" w:color="auto" w:fill="FFFFFF"/>
          <w:lang w:bidi="ar"/>
        </w:rPr>
        <w:t xml:space="preserve"> </w:t>
      </w:r>
      <w:r>
        <w:rPr>
          <w:rFonts w:hint="eastAsia" w:ascii="仿宋_GB2312" w:hAnsi="仿宋_GB2312" w:eastAsia="仿宋_GB2312" w:cs="仿宋_GB2312"/>
          <w:sz w:val="32"/>
          <w:szCs w:val="32"/>
        </w:rPr>
        <w:t>按照综合预算的原则，本部门所有收入和支出均纳入部门预算管理，2023年本部门预算收入758.90万元，其中一般公共预算拨款收入758.90万元、政府性基金拨款收入0万元、2022年本部门预算收入较上年增加246.4万元，由于干部退休、编制缩减等原因，在编在岗干部较去年增加，核定的工资基数调整专项费用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预算支出758.9万元，其中一般公共预算拨款支出758.9万元、人员经费和公用经费支出345.13万元，专项业务经费支出413.77万元，政府性基金拨款支出0万元、2023年本部门预算支出较上年增加246.4万元，紫阳县脱贫攻坚领导小组办公室转变职能，变更为紫阳县巩固拓展脱贫攻坚成果同乡村振兴有效衔接领导小组办公室后，由于干部退休、临聘信息员增加等原因，在编在岗干部较去年增加，核定的工资基数调整公用经费专项费用也相应增加。</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（二）财政拨款收支情况。</w:t>
      </w:r>
    </w:p>
    <w:p>
      <w:pPr>
        <w:widowControl/>
        <w:spacing w:line="560" w:lineRule="exact"/>
        <w:ind w:firstLine="620"/>
        <w:jc w:val="left"/>
      </w:pPr>
      <w:r>
        <w:rPr>
          <w:rFonts w:ascii="仿宋_GB2312" w:hAnsi="宋体" w:eastAsia="仿宋_GB2312" w:cs="仿宋_GB2312"/>
          <w:color w:val="000000"/>
          <w:kern w:val="0"/>
          <w:sz w:val="31"/>
          <w:szCs w:val="31"/>
          <w:lang w:bidi="ar"/>
        </w:rPr>
        <w:t xml:space="preserve">2023 年本部门财政拨款收入 </w:t>
      </w:r>
      <w:r>
        <w:rPr>
          <w:rFonts w:hint="eastAsia" w:ascii="仿宋_GB2312" w:hAnsi="宋体" w:eastAsia="仿宋_GB2312" w:cs="仿宋_GB2312"/>
          <w:color w:val="000000"/>
          <w:kern w:val="0"/>
          <w:sz w:val="31"/>
          <w:szCs w:val="31"/>
          <w:lang w:bidi="ar"/>
        </w:rPr>
        <w:t>758.9</w:t>
      </w:r>
      <w:r>
        <w:rPr>
          <w:rFonts w:ascii="仿宋_GB2312" w:hAnsi="宋体" w:eastAsia="仿宋_GB2312" w:cs="仿宋_GB2312"/>
          <w:color w:val="000000"/>
          <w:kern w:val="0"/>
          <w:sz w:val="31"/>
          <w:szCs w:val="31"/>
          <w:lang w:bidi="ar"/>
        </w:rPr>
        <w:t xml:space="preserve">元，其中一般公共预算拨款收入 </w:t>
      </w:r>
      <w:r>
        <w:rPr>
          <w:rFonts w:hint="eastAsia" w:ascii="仿宋_GB2312" w:hAnsi="宋体" w:eastAsia="仿宋_GB2312" w:cs="仿宋_GB2312"/>
          <w:color w:val="000000"/>
          <w:kern w:val="0"/>
          <w:sz w:val="31"/>
          <w:szCs w:val="31"/>
          <w:lang w:bidi="ar"/>
        </w:rPr>
        <w:t>758.9</w:t>
      </w:r>
      <w:r>
        <w:rPr>
          <w:rFonts w:ascii="仿宋_GB2312" w:hAnsi="宋体" w:eastAsia="仿宋_GB2312" w:cs="仿宋_GB2312"/>
          <w:color w:val="000000"/>
          <w:kern w:val="0"/>
          <w:sz w:val="31"/>
          <w:szCs w:val="31"/>
          <w:lang w:bidi="ar"/>
        </w:rPr>
        <w:t xml:space="preserve"> 万元、政府性</w:t>
      </w:r>
      <w:r>
        <w:rPr>
          <w:rFonts w:hint="eastAsia" w:ascii="仿宋_GB2312" w:hAnsi="宋体" w:eastAsia="仿宋_GB2312" w:cs="仿宋_GB2312"/>
          <w:color w:val="000000"/>
          <w:kern w:val="0"/>
          <w:sz w:val="31"/>
          <w:szCs w:val="31"/>
          <w:lang w:bidi="ar"/>
        </w:rPr>
        <w:t>基金拨款收入 0 万元、国有资本经营预算收入 0 万元，2023 年本部门预算收入较上年增加 246.4万元，主要原因是人员增加以及工资基数调整，导致工资福利支出增加。2023 年本部门财政拨款支出 758.9 万元，其中一般公共预算拨款支出758.9万元、政府性基金拨款支出 0 万元、国有资本经营预算支出 0 万元，2023 年本部门预算支出较上年增加 246.4万元，主要原因是人员增加以及工资基数调整，导致工资福利支出增加</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（三）一般公共预算拨款支出明细情况。</w:t>
      </w:r>
    </w:p>
    <w:p>
      <w:pPr>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1、一般公共预算当年拨款规模变化情况。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 年本部门当年一般公共预算拨款支出 758.9万元，较上年增加246.4万元，主要原因是人员增加以及工资基数调整，导致工资福利支出增加。</w:t>
      </w:r>
    </w:p>
    <w:p>
      <w:pPr>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2、支出按功能科目分类的明细情况。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 年本部门当年一般公共预算支出758.9万元，其中：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行政运行（2130501）745.13万元，较上年增加232.63</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较上年增加31%，原因是主要原因是人员增加以及工资基数调整，导致工资福利支出公务费增加。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（2）财政对基本医疗保险基金的补助（21012）13.77 万元，较上年增加减少0万元。原因计算基数不变。 </w:t>
      </w:r>
    </w:p>
    <w:p>
      <w:pPr>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3、支出按经济科目分类的明细情况。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（1）按照部门预算支出经济分类的类级科目说明。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2022年本部门当年一般公共预算支出758.9万元，其中：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工资福利支出（301）309.16万元，较上年减少19万元，</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rPr>
        <w:t>主要原因是人员增加以及工资基数调整，导致工资福利支出公务费增加。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商品和服务支出（302）285.34万元，较上年减少2.26万元，原因是按照预算单位个人公务费标准减少。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对个人和家庭的补助支出（303）161.77万元，较上年增加18.48万元，原因是按照相关文件规定临聘信息员各项费用增加。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按照政府预算支出经济分类的类级科目说明。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2023年本部门当年一般公共预算支出758.9万元，其中：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机关工资福利支出（301）309.16万元，较上年增加232.63万元，原因是主要原因是人员增加以及工资基数调整，导致工资福利支出公务费增加。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机关商品和服务支出（302）285.34万元，较上年增加166.83万元，原因是业务工作增加，履职业务经费等商品和服务支出增加；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对个人和家庭的补助支出（303）164.4万元，较上年增加45.89万元，原因是按照相关文件规定信息员专项费用增加。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机关资本性支出（一）（503）0万元，较上年增加（减少）0万元。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机关资本性支出（二）（504）0万元，较上年增加（减少）0万元。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对事业单位经常性补助（505）0万元，较上年增加减少0万元。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对事业单位资本性补助（506）0万元，较上年增加（减少）0万元。</w:t>
      </w:r>
    </w:p>
    <w:p>
      <w:pPr>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4、2022年结转财政资金一般公共预算拨款支出情况。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本部门无2022年结转的一般公共预算拨款资金支出。</w:t>
      </w:r>
    </w:p>
    <w:p>
      <w:pPr>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（四）政府性基金预算支出情况。</w:t>
      </w:r>
    </w:p>
    <w:p>
      <w:pPr>
        <w:numPr>
          <w:ilvl w:val="0"/>
          <w:numId w:val="1"/>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numPr>
          <w:ilvl w:val="0"/>
          <w:numId w:val="1"/>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本部门无2022年结转的政府性基金预算拨款支出。</w:t>
      </w:r>
    </w:p>
    <w:p>
      <w:pPr>
        <w:spacing w:line="560" w:lineRule="exact"/>
        <w:ind w:left="480" w:leftChars="200" w:firstLine="0" w:firstLineChars="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（五）国有资本经营预算拨款收支情况。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本部门无2022年结转的国有资本经营预算拨款支出。</w:t>
      </w:r>
    </w:p>
    <w:p>
      <w:pPr>
        <w:spacing w:line="560" w:lineRule="exact"/>
        <w:ind w:firstLine="0" w:firstLineChars="0"/>
        <w:jc w:val="center"/>
        <w:rPr>
          <w:rFonts w:ascii="黑体" w:hAnsi="黑体" w:eastAsia="黑体" w:cs="黑体"/>
          <w:b/>
          <w:bCs/>
          <w:sz w:val="32"/>
          <w:szCs w:val="32"/>
        </w:rPr>
      </w:pPr>
      <w:r>
        <w:rPr>
          <w:rFonts w:hint="eastAsia" w:ascii="黑体" w:hAnsi="黑体" w:eastAsia="黑体" w:cs="黑体"/>
          <w:b/>
          <w:bCs/>
          <w:sz w:val="32"/>
          <w:szCs w:val="32"/>
        </w:rPr>
        <w:t>第三部分  其他说明情况</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六、部门预算“三公”经费等预算情况说明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“三公”经费及会议培训费部分是社会关注的重点，也是检查的重点。当年一般公共预算支出 “三公” 总额及分项说明 ，会议费、培训费也说明，对应表13。</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如2023年部门预算批复了部门2022年年结转“三公”经费支出，也需要说明。如不涉及，应说明“本部门无2022年结转的财政拨款‘三公’经费支出”。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2023年本部门当年一般公共预算“三公”经费预算支出1.3万元，较上年增加0.06万元（0.04%），公务接待费用与上年持平。其中：因公出国（境）经费0万元，较上年增加（减少）0万元（0%），增加（减少）的主要原因是0；公务接待费1.3万元，较上年增加0.06万元（0.04%），公务接待费用与上年持平，公务用车运行费0万元，较上年增加（减少）0万元（0%），增加（减少）的主要原因是0；公务用车购置费0万元，较上年增加（减少）0万元（0%），增加（减少）的主要原因是0。</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（2）2023年本部门当年会议费预算支出0万元，较上年增加（减少）0万元（0%），增加（减少）的主要原因是0。培训费0万元，较上年增加（减少）0万元（0%），增加（减少）的主要原因是0。</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本部门无2022年结转的财政拨款‘三公’经费和会议费、培训费支出。减少会议培训按照相关文件规定要求过紧日子。</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七、部门国有资产占有使用及资产购置情况说明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截止2022年底，本部门所属预算单位共有车辆0辆，单价20万元以上的设备0台（套）。2023年当年部门预算安排购置车辆0辆；安排购置单价20万元以上的设备0台（套）。</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本部门无2022年结转的财政拨款支出资产购置。</w:t>
      </w:r>
    </w:p>
    <w:p>
      <w:pPr>
        <w:spacing w:line="560" w:lineRule="exact"/>
        <w:ind w:firstLine="643"/>
        <w:rPr>
          <w:rFonts w:ascii="仿宋_GB2312" w:hAnsi="仿宋_GB2312" w:eastAsia="仿宋_GB2312" w:cs="仿宋_GB2312"/>
          <w:sz w:val="32"/>
          <w:szCs w:val="32"/>
        </w:rPr>
      </w:pPr>
      <w:r>
        <w:rPr>
          <w:rFonts w:hint="eastAsia" w:ascii="黑体" w:hAnsi="黑体" w:eastAsia="黑体" w:cs="黑体"/>
          <w:b/>
          <w:bCs/>
          <w:sz w:val="32"/>
          <w:szCs w:val="32"/>
        </w:rPr>
        <w:t>八、部门政府采购情况说明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2023年当年本部门政府采购预算共0万元，其中政府采购货物类预算0万元、政府采购服务类预算0万元、政府采购工程类预算0万元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本部门无2022年结转的政府采购资金支出。 </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九、部门预算绩效目标说明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2023年本部门绩效目标管理全覆盖，涉及当年一般公共预算拨款758.9万元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当年政府性基金预算拨款0万元，当年国有资本经营预算拨款0万元（详见公开报表中的绩效目标表）。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本部门无2022年结转的财政拨款支出涉及的绩效目标管理。</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十、机关运行经费安排说明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本部门当年机关运行经费预算安排285.34万元，较上年增加166.83万元，主要原因是业务工作增加，履职业务经费等商品和服务支出增加</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本部门无2022年结转的财政拨款机关运行经费支出。</w:t>
      </w:r>
    </w:p>
    <w:p>
      <w:pPr>
        <w:spacing w:line="560" w:lineRule="exact"/>
        <w:ind w:firstLine="643"/>
        <w:rPr>
          <w:rFonts w:ascii="黑体" w:hAnsi="黑体" w:eastAsia="黑体" w:cs="黑体"/>
          <w:b/>
          <w:bCs/>
          <w:sz w:val="32"/>
          <w:szCs w:val="32"/>
        </w:rPr>
      </w:pPr>
      <w:r>
        <w:rPr>
          <w:rFonts w:hint="eastAsia" w:ascii="黑体" w:hAnsi="黑体" w:eastAsia="黑体" w:cs="黑体"/>
          <w:b/>
          <w:bCs/>
          <w:sz w:val="32"/>
          <w:szCs w:val="32"/>
        </w:rPr>
        <w:t>十一、专业名词解释</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两个及两个以上，必须有，机关运行经费默认为第1个名词解释，其他专业名词解释可由部门根据业务内容等自行选择。</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1.机关运行经费：</w:t>
      </w:r>
      <w:r>
        <w:rPr>
          <w:rFonts w:hint="eastAsia" w:ascii="仿宋_GB2312" w:hAnsi="仿宋_GB2312" w:eastAsia="仿宋_GB2312" w:cs="仿宋_GB2312"/>
          <w:sz w:val="32"/>
          <w:szCs w:val="32"/>
        </w:rPr>
        <w:t>指各部门的公用经费，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color w:val="000000"/>
          <w:kern w:val="0"/>
          <w:sz w:val="31"/>
          <w:szCs w:val="31"/>
          <w:lang w:bidi="ar"/>
        </w:rPr>
        <w:t>巩固脱贫攻坚成果衔接推进乡村振兴业务经费：</w:t>
      </w:r>
      <w:r>
        <w:rPr>
          <w:rFonts w:hint="eastAsia" w:ascii="仿宋_GB2312" w:hAnsi="仿宋_GB2312" w:eastAsia="仿宋_GB2312" w:cs="仿宋_GB2312"/>
          <w:color w:val="000000"/>
          <w:kern w:val="0"/>
          <w:sz w:val="31"/>
          <w:szCs w:val="31"/>
          <w:lang w:bidi="ar"/>
        </w:rPr>
        <w:t>为巩固</w:t>
      </w:r>
    </w:p>
    <w:p>
      <w:pPr>
        <w:widowControl/>
        <w:spacing w:line="560" w:lineRule="exact"/>
        <w:ind w:firstLine="0" w:firstLineChars="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脱贫攻坚成果，推进乡村振兴任务而开展的检查、调研等公务</w:t>
      </w:r>
    </w:p>
    <w:p>
      <w:pPr>
        <w:widowControl/>
        <w:spacing w:line="560" w:lineRule="exact"/>
        <w:ind w:firstLine="0" w:firstLineChars="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活动支出，包括会议费、邮电费、办公费、租赁费、差旅费、</w:t>
      </w:r>
    </w:p>
    <w:p>
      <w:pPr>
        <w:widowControl/>
        <w:spacing w:line="560" w:lineRule="exact"/>
        <w:ind w:firstLine="0" w:firstLineChars="0"/>
        <w:jc w:val="left"/>
        <w:rPr>
          <w:rFonts w:ascii="仿宋_GB2312" w:hAnsi="仿宋_GB2312" w:eastAsia="仿宋_GB2312" w:cs="仿宋_GB2312"/>
        </w:rPr>
      </w:pPr>
      <w:r>
        <w:rPr>
          <w:rFonts w:hint="eastAsia" w:ascii="仿宋_GB2312" w:hAnsi="仿宋_GB2312" w:eastAsia="仿宋_GB2312" w:cs="仿宋_GB2312"/>
          <w:color w:val="000000"/>
          <w:kern w:val="0"/>
          <w:sz w:val="31"/>
          <w:szCs w:val="31"/>
          <w:lang w:bidi="ar"/>
        </w:rPr>
        <w:t>其他商品服务支出等费用。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ab/>
      </w:r>
    </w:p>
    <w:p>
      <w:pPr>
        <w:spacing w:line="560" w:lineRule="exact"/>
        <w:ind w:firstLine="0" w:firstLineChars="0"/>
        <w:jc w:val="center"/>
        <w:rPr>
          <w:rFonts w:ascii="黑体" w:hAnsi="黑体" w:eastAsia="黑体" w:cs="黑体"/>
          <w:b/>
          <w:bCs/>
          <w:sz w:val="32"/>
          <w:szCs w:val="32"/>
        </w:rPr>
      </w:pPr>
      <w:r>
        <w:rPr>
          <w:rFonts w:hint="eastAsia" w:ascii="黑体" w:hAnsi="黑体" w:eastAsia="黑体" w:cs="黑体"/>
          <w:b/>
          <w:bCs/>
          <w:sz w:val="32"/>
          <w:szCs w:val="32"/>
        </w:rPr>
        <w:t>第四部分  公开报表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560" w:lineRule="exact"/>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50" w:firstLine="300"/>
      <w:rPr>
        <w:rFonts w:ascii="宋体" w:hAnsi="宋体" w:cs="宋体"/>
        <w:sz w:val="15"/>
        <w:szCs w:val="15"/>
      </w:rPr>
    </w:pPr>
    <w:r>
      <w:rPr>
        <w:rFonts w:ascii="宋体" w:hAnsi="宋体" w:cs="宋体"/>
        <w:sz w:val="15"/>
        <w:szCs w:val="15"/>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26130D"/>
    <w:rsid w:val="002B06D1"/>
    <w:rsid w:val="00667222"/>
    <w:rsid w:val="00A40483"/>
    <w:rsid w:val="00AC5250"/>
    <w:rsid w:val="00CD3536"/>
    <w:rsid w:val="00D70262"/>
    <w:rsid w:val="00F471FC"/>
    <w:rsid w:val="014A4B87"/>
    <w:rsid w:val="01543C57"/>
    <w:rsid w:val="0159301C"/>
    <w:rsid w:val="018F2D13"/>
    <w:rsid w:val="01AA3877"/>
    <w:rsid w:val="01C04E49"/>
    <w:rsid w:val="01DC37E8"/>
    <w:rsid w:val="021F6013"/>
    <w:rsid w:val="02953D9A"/>
    <w:rsid w:val="029C3B08"/>
    <w:rsid w:val="02A12ECC"/>
    <w:rsid w:val="02EE3C38"/>
    <w:rsid w:val="030376E3"/>
    <w:rsid w:val="0313544C"/>
    <w:rsid w:val="031F3DF1"/>
    <w:rsid w:val="03791D26"/>
    <w:rsid w:val="0385634A"/>
    <w:rsid w:val="039B5B6E"/>
    <w:rsid w:val="03A013D6"/>
    <w:rsid w:val="03B31109"/>
    <w:rsid w:val="03EE2141"/>
    <w:rsid w:val="0466605A"/>
    <w:rsid w:val="047C774D"/>
    <w:rsid w:val="04A171B4"/>
    <w:rsid w:val="04F35073"/>
    <w:rsid w:val="054F4E62"/>
    <w:rsid w:val="05C0366A"/>
    <w:rsid w:val="06113EC5"/>
    <w:rsid w:val="061D2748"/>
    <w:rsid w:val="069A210C"/>
    <w:rsid w:val="069D39AB"/>
    <w:rsid w:val="06B8420F"/>
    <w:rsid w:val="06D7231D"/>
    <w:rsid w:val="07342561"/>
    <w:rsid w:val="075D6C6A"/>
    <w:rsid w:val="076D7821"/>
    <w:rsid w:val="0773304F"/>
    <w:rsid w:val="089D1D43"/>
    <w:rsid w:val="08CE2541"/>
    <w:rsid w:val="09734E97"/>
    <w:rsid w:val="09F71624"/>
    <w:rsid w:val="09F77876"/>
    <w:rsid w:val="0A236188"/>
    <w:rsid w:val="0A283ED3"/>
    <w:rsid w:val="0A653AEA"/>
    <w:rsid w:val="0A84735B"/>
    <w:rsid w:val="0A984BB5"/>
    <w:rsid w:val="0AAB1747"/>
    <w:rsid w:val="0ADA51CD"/>
    <w:rsid w:val="0AE53B72"/>
    <w:rsid w:val="0B144CB0"/>
    <w:rsid w:val="0B2428ED"/>
    <w:rsid w:val="0B2E72C7"/>
    <w:rsid w:val="0B36513E"/>
    <w:rsid w:val="0B473936"/>
    <w:rsid w:val="0B640F3B"/>
    <w:rsid w:val="0B820553"/>
    <w:rsid w:val="0B8A1B09"/>
    <w:rsid w:val="0BD240F7"/>
    <w:rsid w:val="0BEB6F66"/>
    <w:rsid w:val="0C805687"/>
    <w:rsid w:val="0C8C55D9"/>
    <w:rsid w:val="0C915D60"/>
    <w:rsid w:val="0D053BAB"/>
    <w:rsid w:val="0D594F94"/>
    <w:rsid w:val="0D71793F"/>
    <w:rsid w:val="0D907DC5"/>
    <w:rsid w:val="0DEF71E2"/>
    <w:rsid w:val="0E1E1875"/>
    <w:rsid w:val="0E1F698E"/>
    <w:rsid w:val="0E3F3599"/>
    <w:rsid w:val="0E4F1A2E"/>
    <w:rsid w:val="0EAF24CD"/>
    <w:rsid w:val="0EE7435D"/>
    <w:rsid w:val="0F113188"/>
    <w:rsid w:val="0F522A6F"/>
    <w:rsid w:val="0F9A13CF"/>
    <w:rsid w:val="0FA9052D"/>
    <w:rsid w:val="0FB104C7"/>
    <w:rsid w:val="10163FB4"/>
    <w:rsid w:val="101F3682"/>
    <w:rsid w:val="1063645C"/>
    <w:rsid w:val="10A536CA"/>
    <w:rsid w:val="10EA5A3E"/>
    <w:rsid w:val="118F65E6"/>
    <w:rsid w:val="11CC3396"/>
    <w:rsid w:val="11EE155E"/>
    <w:rsid w:val="12413D84"/>
    <w:rsid w:val="12485112"/>
    <w:rsid w:val="125910CE"/>
    <w:rsid w:val="12891287"/>
    <w:rsid w:val="12957C2C"/>
    <w:rsid w:val="12B55B02"/>
    <w:rsid w:val="13181D71"/>
    <w:rsid w:val="137B1518"/>
    <w:rsid w:val="139705EA"/>
    <w:rsid w:val="13CE5AEB"/>
    <w:rsid w:val="13D12EE6"/>
    <w:rsid w:val="13DD192D"/>
    <w:rsid w:val="13EE1CEA"/>
    <w:rsid w:val="13F60B9E"/>
    <w:rsid w:val="141334FE"/>
    <w:rsid w:val="141379A2"/>
    <w:rsid w:val="147F7E6C"/>
    <w:rsid w:val="1481490C"/>
    <w:rsid w:val="148443FC"/>
    <w:rsid w:val="148D1503"/>
    <w:rsid w:val="14C85364"/>
    <w:rsid w:val="14CB202B"/>
    <w:rsid w:val="14D013EF"/>
    <w:rsid w:val="14E153AA"/>
    <w:rsid w:val="14FA613E"/>
    <w:rsid w:val="15053ED9"/>
    <w:rsid w:val="15400323"/>
    <w:rsid w:val="158521DA"/>
    <w:rsid w:val="159D36AE"/>
    <w:rsid w:val="15A44D56"/>
    <w:rsid w:val="15AC1E3F"/>
    <w:rsid w:val="15BA67E3"/>
    <w:rsid w:val="15BB3E4D"/>
    <w:rsid w:val="15EB6487"/>
    <w:rsid w:val="166918D6"/>
    <w:rsid w:val="167D1103"/>
    <w:rsid w:val="16DF591A"/>
    <w:rsid w:val="176724C1"/>
    <w:rsid w:val="178F5592"/>
    <w:rsid w:val="18153CE9"/>
    <w:rsid w:val="18567E5D"/>
    <w:rsid w:val="187C78C4"/>
    <w:rsid w:val="189C1D14"/>
    <w:rsid w:val="18AF7F70"/>
    <w:rsid w:val="18BC23B6"/>
    <w:rsid w:val="18D25736"/>
    <w:rsid w:val="18DA0A8E"/>
    <w:rsid w:val="18F71640"/>
    <w:rsid w:val="19614D0C"/>
    <w:rsid w:val="196D699F"/>
    <w:rsid w:val="198744A9"/>
    <w:rsid w:val="19911A88"/>
    <w:rsid w:val="1A1104E0"/>
    <w:rsid w:val="1A431FF4"/>
    <w:rsid w:val="1A9C1E3E"/>
    <w:rsid w:val="1ADC289C"/>
    <w:rsid w:val="1AE9320B"/>
    <w:rsid w:val="1B746107"/>
    <w:rsid w:val="1C026332"/>
    <w:rsid w:val="1C047343"/>
    <w:rsid w:val="1C0A51E7"/>
    <w:rsid w:val="1C5823F6"/>
    <w:rsid w:val="1C6963B1"/>
    <w:rsid w:val="1C9C6787"/>
    <w:rsid w:val="1CD64124"/>
    <w:rsid w:val="1D1125A5"/>
    <w:rsid w:val="1D13456F"/>
    <w:rsid w:val="1DC00253"/>
    <w:rsid w:val="1E0072C5"/>
    <w:rsid w:val="1E1E7AD2"/>
    <w:rsid w:val="1E51534F"/>
    <w:rsid w:val="1E935967"/>
    <w:rsid w:val="1ED0381D"/>
    <w:rsid w:val="1ED815CC"/>
    <w:rsid w:val="1F0E3240"/>
    <w:rsid w:val="1F316F2E"/>
    <w:rsid w:val="1F683E9E"/>
    <w:rsid w:val="1F9B4B7A"/>
    <w:rsid w:val="1FCB7383"/>
    <w:rsid w:val="20280331"/>
    <w:rsid w:val="20531852"/>
    <w:rsid w:val="205904EB"/>
    <w:rsid w:val="205A38A2"/>
    <w:rsid w:val="20FE50B8"/>
    <w:rsid w:val="210B3EDB"/>
    <w:rsid w:val="210F400E"/>
    <w:rsid w:val="21500AFC"/>
    <w:rsid w:val="219F63D1"/>
    <w:rsid w:val="21B300CF"/>
    <w:rsid w:val="21BE0F4D"/>
    <w:rsid w:val="21E5472C"/>
    <w:rsid w:val="21FA5CFD"/>
    <w:rsid w:val="220B3A67"/>
    <w:rsid w:val="229A281A"/>
    <w:rsid w:val="22D622C7"/>
    <w:rsid w:val="2329689A"/>
    <w:rsid w:val="2383657E"/>
    <w:rsid w:val="23B63E77"/>
    <w:rsid w:val="23CE11F0"/>
    <w:rsid w:val="23D20CE0"/>
    <w:rsid w:val="23F45765"/>
    <w:rsid w:val="242E73FF"/>
    <w:rsid w:val="246C5345"/>
    <w:rsid w:val="24A3267C"/>
    <w:rsid w:val="24AB40AF"/>
    <w:rsid w:val="24FC6952"/>
    <w:rsid w:val="2510304E"/>
    <w:rsid w:val="252217F3"/>
    <w:rsid w:val="25270BB7"/>
    <w:rsid w:val="25551BC9"/>
    <w:rsid w:val="264A7253"/>
    <w:rsid w:val="26CC76FD"/>
    <w:rsid w:val="26EA00EF"/>
    <w:rsid w:val="272308AF"/>
    <w:rsid w:val="27384086"/>
    <w:rsid w:val="276E0D20"/>
    <w:rsid w:val="278D3BAC"/>
    <w:rsid w:val="27CB12A0"/>
    <w:rsid w:val="27D112AE"/>
    <w:rsid w:val="27E62FAC"/>
    <w:rsid w:val="27F03E2A"/>
    <w:rsid w:val="28064C78"/>
    <w:rsid w:val="28497097"/>
    <w:rsid w:val="2864072E"/>
    <w:rsid w:val="28C50E13"/>
    <w:rsid w:val="297D1482"/>
    <w:rsid w:val="29E74DB9"/>
    <w:rsid w:val="29E76B67"/>
    <w:rsid w:val="29EB2AFB"/>
    <w:rsid w:val="2A3E38E1"/>
    <w:rsid w:val="2ADB7F2F"/>
    <w:rsid w:val="2AE74CA7"/>
    <w:rsid w:val="2B45623B"/>
    <w:rsid w:val="2B634913"/>
    <w:rsid w:val="2BD21BA8"/>
    <w:rsid w:val="2BD575BF"/>
    <w:rsid w:val="2BDD6474"/>
    <w:rsid w:val="2BE55328"/>
    <w:rsid w:val="2BF2458F"/>
    <w:rsid w:val="2BFF463C"/>
    <w:rsid w:val="2D23435A"/>
    <w:rsid w:val="2D454904"/>
    <w:rsid w:val="2D595FCE"/>
    <w:rsid w:val="2DA01E4F"/>
    <w:rsid w:val="2E132621"/>
    <w:rsid w:val="2EAE40F8"/>
    <w:rsid w:val="2EBF00B3"/>
    <w:rsid w:val="2F3B562F"/>
    <w:rsid w:val="2FC8494E"/>
    <w:rsid w:val="2FCF2577"/>
    <w:rsid w:val="2FFE2E5D"/>
    <w:rsid w:val="312406A1"/>
    <w:rsid w:val="312A1CE8"/>
    <w:rsid w:val="31342FDA"/>
    <w:rsid w:val="3135465C"/>
    <w:rsid w:val="314B37FB"/>
    <w:rsid w:val="3159659D"/>
    <w:rsid w:val="31B733F7"/>
    <w:rsid w:val="31EA5447"/>
    <w:rsid w:val="32046535"/>
    <w:rsid w:val="322E7A29"/>
    <w:rsid w:val="32902492"/>
    <w:rsid w:val="32A0644D"/>
    <w:rsid w:val="32B617CD"/>
    <w:rsid w:val="33446DD8"/>
    <w:rsid w:val="33694A91"/>
    <w:rsid w:val="33D939C5"/>
    <w:rsid w:val="34076784"/>
    <w:rsid w:val="3445105A"/>
    <w:rsid w:val="34B8182C"/>
    <w:rsid w:val="34F12F90"/>
    <w:rsid w:val="34FD1935"/>
    <w:rsid w:val="354457B6"/>
    <w:rsid w:val="36362163"/>
    <w:rsid w:val="3676199F"/>
    <w:rsid w:val="3680281D"/>
    <w:rsid w:val="369938DF"/>
    <w:rsid w:val="369B1405"/>
    <w:rsid w:val="36A22794"/>
    <w:rsid w:val="36A71B58"/>
    <w:rsid w:val="36AC3612"/>
    <w:rsid w:val="379245B6"/>
    <w:rsid w:val="385D1A98"/>
    <w:rsid w:val="387C703E"/>
    <w:rsid w:val="38822931"/>
    <w:rsid w:val="38A50319"/>
    <w:rsid w:val="38B92017"/>
    <w:rsid w:val="38BB5D8F"/>
    <w:rsid w:val="38F70388"/>
    <w:rsid w:val="38FE7A29"/>
    <w:rsid w:val="39382F3B"/>
    <w:rsid w:val="393873DF"/>
    <w:rsid w:val="393A3E10"/>
    <w:rsid w:val="39882115"/>
    <w:rsid w:val="3A085004"/>
    <w:rsid w:val="3A4434B4"/>
    <w:rsid w:val="3A970136"/>
    <w:rsid w:val="3B055E9C"/>
    <w:rsid w:val="3B2C2F74"/>
    <w:rsid w:val="3BD3519D"/>
    <w:rsid w:val="3C2B322B"/>
    <w:rsid w:val="3C3C71E7"/>
    <w:rsid w:val="3C7921E9"/>
    <w:rsid w:val="3CD857BA"/>
    <w:rsid w:val="3D097CDC"/>
    <w:rsid w:val="3D112421"/>
    <w:rsid w:val="3D181A77"/>
    <w:rsid w:val="3D28036F"/>
    <w:rsid w:val="3D474095"/>
    <w:rsid w:val="3D8407DF"/>
    <w:rsid w:val="3DBF3C2B"/>
    <w:rsid w:val="3DCE20C0"/>
    <w:rsid w:val="3DFF32ED"/>
    <w:rsid w:val="3E1D6BA4"/>
    <w:rsid w:val="3E622809"/>
    <w:rsid w:val="3F503091"/>
    <w:rsid w:val="3F5C7C20"/>
    <w:rsid w:val="3F604F9A"/>
    <w:rsid w:val="4008265B"/>
    <w:rsid w:val="400E0E9A"/>
    <w:rsid w:val="4044666A"/>
    <w:rsid w:val="40704361"/>
    <w:rsid w:val="40842F0A"/>
    <w:rsid w:val="408D1DBF"/>
    <w:rsid w:val="40BF3F42"/>
    <w:rsid w:val="40D20119"/>
    <w:rsid w:val="40F005A0"/>
    <w:rsid w:val="41016309"/>
    <w:rsid w:val="412A3AB2"/>
    <w:rsid w:val="41306BEE"/>
    <w:rsid w:val="414B6253"/>
    <w:rsid w:val="41596C87"/>
    <w:rsid w:val="41851E44"/>
    <w:rsid w:val="41A5138A"/>
    <w:rsid w:val="42010CB6"/>
    <w:rsid w:val="420B5D06"/>
    <w:rsid w:val="420E6F2F"/>
    <w:rsid w:val="42282FC7"/>
    <w:rsid w:val="42386A23"/>
    <w:rsid w:val="4248700C"/>
    <w:rsid w:val="42703746"/>
    <w:rsid w:val="42997141"/>
    <w:rsid w:val="42A31D6D"/>
    <w:rsid w:val="430E1C5A"/>
    <w:rsid w:val="43476B9D"/>
    <w:rsid w:val="43486471"/>
    <w:rsid w:val="436B215F"/>
    <w:rsid w:val="438C2802"/>
    <w:rsid w:val="43C33D49"/>
    <w:rsid w:val="442F1269"/>
    <w:rsid w:val="44330ECF"/>
    <w:rsid w:val="446A72EE"/>
    <w:rsid w:val="44872FC9"/>
    <w:rsid w:val="44D53D34"/>
    <w:rsid w:val="451F1453"/>
    <w:rsid w:val="4545710C"/>
    <w:rsid w:val="454B049A"/>
    <w:rsid w:val="4565155C"/>
    <w:rsid w:val="45806396"/>
    <w:rsid w:val="46101AAB"/>
    <w:rsid w:val="46342CDD"/>
    <w:rsid w:val="465670F7"/>
    <w:rsid w:val="465F5FAB"/>
    <w:rsid w:val="467E0A66"/>
    <w:rsid w:val="468E2A3E"/>
    <w:rsid w:val="469633C1"/>
    <w:rsid w:val="46A77952"/>
    <w:rsid w:val="46C202E8"/>
    <w:rsid w:val="46D1677D"/>
    <w:rsid w:val="46E42955"/>
    <w:rsid w:val="46F012F9"/>
    <w:rsid w:val="471D22FA"/>
    <w:rsid w:val="472B48D8"/>
    <w:rsid w:val="4741375D"/>
    <w:rsid w:val="47507FEA"/>
    <w:rsid w:val="476A10AC"/>
    <w:rsid w:val="47A125F4"/>
    <w:rsid w:val="47C702DF"/>
    <w:rsid w:val="47CF0F0F"/>
    <w:rsid w:val="47F24BFD"/>
    <w:rsid w:val="480768FB"/>
    <w:rsid w:val="48422B9F"/>
    <w:rsid w:val="48861F15"/>
    <w:rsid w:val="488947B6"/>
    <w:rsid w:val="48BC6F7A"/>
    <w:rsid w:val="49080B7C"/>
    <w:rsid w:val="49380D36"/>
    <w:rsid w:val="495C057F"/>
    <w:rsid w:val="49E14F29"/>
    <w:rsid w:val="4A361719"/>
    <w:rsid w:val="4A525E27"/>
    <w:rsid w:val="4A563B69"/>
    <w:rsid w:val="4AD36F68"/>
    <w:rsid w:val="4B06733D"/>
    <w:rsid w:val="4B0C4228"/>
    <w:rsid w:val="4B315A3D"/>
    <w:rsid w:val="4B3D0885"/>
    <w:rsid w:val="4BF26841"/>
    <w:rsid w:val="4C786019"/>
    <w:rsid w:val="4D2E2B7B"/>
    <w:rsid w:val="4D5048A0"/>
    <w:rsid w:val="4D695962"/>
    <w:rsid w:val="4DA644C0"/>
    <w:rsid w:val="4DCF7EBB"/>
    <w:rsid w:val="4DEA0BB2"/>
    <w:rsid w:val="4DFF0074"/>
    <w:rsid w:val="4E192EE4"/>
    <w:rsid w:val="4E1E674C"/>
    <w:rsid w:val="4E740A62"/>
    <w:rsid w:val="4EE007EF"/>
    <w:rsid w:val="4EEC05F8"/>
    <w:rsid w:val="4F2C30EB"/>
    <w:rsid w:val="4F363F69"/>
    <w:rsid w:val="4FB64197"/>
    <w:rsid w:val="4FBE01E7"/>
    <w:rsid w:val="4FDD43E5"/>
    <w:rsid w:val="50572E30"/>
    <w:rsid w:val="50756F48"/>
    <w:rsid w:val="50962F12"/>
    <w:rsid w:val="50A15412"/>
    <w:rsid w:val="50B500CA"/>
    <w:rsid w:val="50C57353"/>
    <w:rsid w:val="50EF617E"/>
    <w:rsid w:val="512978E2"/>
    <w:rsid w:val="51453FF0"/>
    <w:rsid w:val="51711289"/>
    <w:rsid w:val="517F61AE"/>
    <w:rsid w:val="518B234A"/>
    <w:rsid w:val="51A0391C"/>
    <w:rsid w:val="51AA26CF"/>
    <w:rsid w:val="51AA5E26"/>
    <w:rsid w:val="51C4585C"/>
    <w:rsid w:val="51ED6B61"/>
    <w:rsid w:val="52324C02"/>
    <w:rsid w:val="524A3FB4"/>
    <w:rsid w:val="525A1D1D"/>
    <w:rsid w:val="52C93A96"/>
    <w:rsid w:val="531A3416"/>
    <w:rsid w:val="535449BE"/>
    <w:rsid w:val="536C7F5A"/>
    <w:rsid w:val="537D5CC3"/>
    <w:rsid w:val="537E1A3B"/>
    <w:rsid w:val="538C5F53"/>
    <w:rsid w:val="53937294"/>
    <w:rsid w:val="53A25729"/>
    <w:rsid w:val="53E144A4"/>
    <w:rsid w:val="53E775E0"/>
    <w:rsid w:val="54474AB6"/>
    <w:rsid w:val="550F3292"/>
    <w:rsid w:val="55102B67"/>
    <w:rsid w:val="5582405A"/>
    <w:rsid w:val="56051C6B"/>
    <w:rsid w:val="563F4648"/>
    <w:rsid w:val="56723AD9"/>
    <w:rsid w:val="56CD51B3"/>
    <w:rsid w:val="56F73FDE"/>
    <w:rsid w:val="572F5526"/>
    <w:rsid w:val="574865E8"/>
    <w:rsid w:val="57544F8D"/>
    <w:rsid w:val="577B076B"/>
    <w:rsid w:val="57805D82"/>
    <w:rsid w:val="57835AA2"/>
    <w:rsid w:val="57AD13F7"/>
    <w:rsid w:val="57C07DEE"/>
    <w:rsid w:val="583354EA"/>
    <w:rsid w:val="583A23D4"/>
    <w:rsid w:val="58A14202"/>
    <w:rsid w:val="58FE3115"/>
    <w:rsid w:val="592D7B67"/>
    <w:rsid w:val="596811C3"/>
    <w:rsid w:val="59725B9E"/>
    <w:rsid w:val="59B85996"/>
    <w:rsid w:val="59D947AF"/>
    <w:rsid w:val="59F96CB8"/>
    <w:rsid w:val="5A3B68D8"/>
    <w:rsid w:val="5A6776CD"/>
    <w:rsid w:val="5A707529"/>
    <w:rsid w:val="5AAE2C06"/>
    <w:rsid w:val="5AE12FDB"/>
    <w:rsid w:val="5B155C32"/>
    <w:rsid w:val="5B794741"/>
    <w:rsid w:val="5BC14BBB"/>
    <w:rsid w:val="5BD23E00"/>
    <w:rsid w:val="5BE24CBF"/>
    <w:rsid w:val="5BF47018"/>
    <w:rsid w:val="5C225659"/>
    <w:rsid w:val="5C653576"/>
    <w:rsid w:val="5CEE5E83"/>
    <w:rsid w:val="5D375134"/>
    <w:rsid w:val="5D7E0FB5"/>
    <w:rsid w:val="5D900CE9"/>
    <w:rsid w:val="5D972DE5"/>
    <w:rsid w:val="5DA54794"/>
    <w:rsid w:val="5DD07337"/>
    <w:rsid w:val="5DE54B90"/>
    <w:rsid w:val="5E357973"/>
    <w:rsid w:val="5E40270F"/>
    <w:rsid w:val="5E4E6BDA"/>
    <w:rsid w:val="5E5C14C1"/>
    <w:rsid w:val="5EB86749"/>
    <w:rsid w:val="5EFE033F"/>
    <w:rsid w:val="5F635E4B"/>
    <w:rsid w:val="5F751F44"/>
    <w:rsid w:val="5FB9275E"/>
    <w:rsid w:val="5FC03B07"/>
    <w:rsid w:val="60193217"/>
    <w:rsid w:val="6028345A"/>
    <w:rsid w:val="60404B5F"/>
    <w:rsid w:val="610E08A2"/>
    <w:rsid w:val="6134696F"/>
    <w:rsid w:val="61355E2F"/>
    <w:rsid w:val="615640F5"/>
    <w:rsid w:val="61842912"/>
    <w:rsid w:val="61946FF9"/>
    <w:rsid w:val="61D513C0"/>
    <w:rsid w:val="61EE3D1B"/>
    <w:rsid w:val="62460F4D"/>
    <w:rsid w:val="624C78D4"/>
    <w:rsid w:val="62A365B5"/>
    <w:rsid w:val="62BF48AC"/>
    <w:rsid w:val="62E53885"/>
    <w:rsid w:val="6393508F"/>
    <w:rsid w:val="63E31B72"/>
    <w:rsid w:val="63EA73A4"/>
    <w:rsid w:val="641066DF"/>
    <w:rsid w:val="64496236"/>
    <w:rsid w:val="644B3AE5"/>
    <w:rsid w:val="64790728"/>
    <w:rsid w:val="64CD637E"/>
    <w:rsid w:val="64D37E39"/>
    <w:rsid w:val="64F45CC6"/>
    <w:rsid w:val="64FE29DC"/>
    <w:rsid w:val="650C6EA7"/>
    <w:rsid w:val="65206DF6"/>
    <w:rsid w:val="65312DB1"/>
    <w:rsid w:val="655B1BDC"/>
    <w:rsid w:val="65757142"/>
    <w:rsid w:val="65B7439B"/>
    <w:rsid w:val="65CE0600"/>
    <w:rsid w:val="660D1128"/>
    <w:rsid w:val="660F30F2"/>
    <w:rsid w:val="663C1A0D"/>
    <w:rsid w:val="66560D21"/>
    <w:rsid w:val="665C5C0C"/>
    <w:rsid w:val="66607F61"/>
    <w:rsid w:val="667F4E5E"/>
    <w:rsid w:val="66AB0941"/>
    <w:rsid w:val="66D460EA"/>
    <w:rsid w:val="66E75E1D"/>
    <w:rsid w:val="66FE3167"/>
    <w:rsid w:val="673821D5"/>
    <w:rsid w:val="67606C1C"/>
    <w:rsid w:val="67616BD1"/>
    <w:rsid w:val="676942F4"/>
    <w:rsid w:val="67C972D1"/>
    <w:rsid w:val="68016A6B"/>
    <w:rsid w:val="68030A35"/>
    <w:rsid w:val="68120C78"/>
    <w:rsid w:val="681A18DB"/>
    <w:rsid w:val="68541290"/>
    <w:rsid w:val="685748DD"/>
    <w:rsid w:val="68B65AA7"/>
    <w:rsid w:val="68CD1043"/>
    <w:rsid w:val="68E85E7D"/>
    <w:rsid w:val="68EA113C"/>
    <w:rsid w:val="691E189E"/>
    <w:rsid w:val="699E67D8"/>
    <w:rsid w:val="69B23FEC"/>
    <w:rsid w:val="69BA15C7"/>
    <w:rsid w:val="69CA10DE"/>
    <w:rsid w:val="69D837FB"/>
    <w:rsid w:val="69E141D5"/>
    <w:rsid w:val="69F87A79"/>
    <w:rsid w:val="6A1D56B2"/>
    <w:rsid w:val="6A2D7FEB"/>
    <w:rsid w:val="6A986ED7"/>
    <w:rsid w:val="6AB26742"/>
    <w:rsid w:val="6AB47806"/>
    <w:rsid w:val="6AE14931"/>
    <w:rsid w:val="6B1B42E7"/>
    <w:rsid w:val="6B8C2AEF"/>
    <w:rsid w:val="6B95409A"/>
    <w:rsid w:val="6C540332"/>
    <w:rsid w:val="6CEE3336"/>
    <w:rsid w:val="6D203E37"/>
    <w:rsid w:val="6D415B5B"/>
    <w:rsid w:val="6D9640F9"/>
    <w:rsid w:val="6DA94D04"/>
    <w:rsid w:val="6DBE3A60"/>
    <w:rsid w:val="6E2C2368"/>
    <w:rsid w:val="6E8A04A9"/>
    <w:rsid w:val="6E8E4DD0"/>
    <w:rsid w:val="6EA12D56"/>
    <w:rsid w:val="6EBA5BC5"/>
    <w:rsid w:val="6EBC36EB"/>
    <w:rsid w:val="6ECD58F9"/>
    <w:rsid w:val="6F1928EC"/>
    <w:rsid w:val="6F3075D5"/>
    <w:rsid w:val="6F4B2A10"/>
    <w:rsid w:val="6F5403ED"/>
    <w:rsid w:val="6F775864"/>
    <w:rsid w:val="6FA56875"/>
    <w:rsid w:val="6FC22F83"/>
    <w:rsid w:val="6FE86762"/>
    <w:rsid w:val="70C64CF5"/>
    <w:rsid w:val="71211F2C"/>
    <w:rsid w:val="71405DDA"/>
    <w:rsid w:val="71A236EE"/>
    <w:rsid w:val="71D15700"/>
    <w:rsid w:val="71D21478"/>
    <w:rsid w:val="722543AE"/>
    <w:rsid w:val="724834E8"/>
    <w:rsid w:val="72676064"/>
    <w:rsid w:val="727D13E4"/>
    <w:rsid w:val="72B34E05"/>
    <w:rsid w:val="72FF629D"/>
    <w:rsid w:val="733C129F"/>
    <w:rsid w:val="73843559"/>
    <w:rsid w:val="73942E89"/>
    <w:rsid w:val="73A17354"/>
    <w:rsid w:val="73F2195D"/>
    <w:rsid w:val="741B0EB4"/>
    <w:rsid w:val="742F5B33"/>
    <w:rsid w:val="74C07CAE"/>
    <w:rsid w:val="750162FC"/>
    <w:rsid w:val="758D5DE2"/>
    <w:rsid w:val="75A60C51"/>
    <w:rsid w:val="75AC088F"/>
    <w:rsid w:val="76361FD5"/>
    <w:rsid w:val="76590D5F"/>
    <w:rsid w:val="765B7685"/>
    <w:rsid w:val="767E1BCE"/>
    <w:rsid w:val="76830F93"/>
    <w:rsid w:val="770420D4"/>
    <w:rsid w:val="7722255A"/>
    <w:rsid w:val="772C162A"/>
    <w:rsid w:val="77AD3FB4"/>
    <w:rsid w:val="77E67A2B"/>
    <w:rsid w:val="77ED2B68"/>
    <w:rsid w:val="78177BE5"/>
    <w:rsid w:val="781B6398"/>
    <w:rsid w:val="7839395D"/>
    <w:rsid w:val="7879089F"/>
    <w:rsid w:val="788B613B"/>
    <w:rsid w:val="78935A62"/>
    <w:rsid w:val="78CF226D"/>
    <w:rsid w:val="7920167B"/>
    <w:rsid w:val="792C3B64"/>
    <w:rsid w:val="7A2111EE"/>
    <w:rsid w:val="7A3E4F09"/>
    <w:rsid w:val="7A49604F"/>
    <w:rsid w:val="7A804167"/>
    <w:rsid w:val="7AF10BC1"/>
    <w:rsid w:val="7B1B5C3E"/>
    <w:rsid w:val="7B42141C"/>
    <w:rsid w:val="7B5F203B"/>
    <w:rsid w:val="7B6018A2"/>
    <w:rsid w:val="7BA93249"/>
    <w:rsid w:val="7BF11232"/>
    <w:rsid w:val="7BF546E1"/>
    <w:rsid w:val="7C211032"/>
    <w:rsid w:val="7C43369E"/>
    <w:rsid w:val="7C6A0C2B"/>
    <w:rsid w:val="7C8F0691"/>
    <w:rsid w:val="7CE442E1"/>
    <w:rsid w:val="7CEE0D2E"/>
    <w:rsid w:val="7CF76871"/>
    <w:rsid w:val="7D6C2781"/>
    <w:rsid w:val="7D804F3A"/>
    <w:rsid w:val="7D8E0949"/>
    <w:rsid w:val="7DBF4025"/>
    <w:rsid w:val="7E1D3A7B"/>
    <w:rsid w:val="7E2B2CA4"/>
    <w:rsid w:val="7E4B683A"/>
    <w:rsid w:val="7E791462"/>
    <w:rsid w:val="7E81225C"/>
    <w:rsid w:val="7E896766"/>
    <w:rsid w:val="7EBC7738"/>
    <w:rsid w:val="7EC81C39"/>
    <w:rsid w:val="7ECC0BFF"/>
    <w:rsid w:val="7F0569E9"/>
    <w:rsid w:val="7F473538"/>
    <w:rsid w:val="7F4D0390"/>
    <w:rsid w:val="7F5446E0"/>
    <w:rsid w:val="7F565496"/>
    <w:rsid w:val="7F71407E"/>
    <w:rsid w:val="7F802513"/>
    <w:rsid w:val="7F82003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Body Text 31"/>
    <w:basedOn w:val="1"/>
    <w:qFormat/>
    <w:uiPriority w:val="0"/>
    <w:pPr>
      <w:spacing w:after="120"/>
    </w:pPr>
    <w:rPr>
      <w:sz w:val="16"/>
      <w:szCs w:val="16"/>
    </w:r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4948</Words>
  <Characters>5309</Characters>
  <Lines>39</Lines>
  <Paragraphs>11</Paragraphs>
  <TotalTime>50</TotalTime>
  <ScaleCrop>false</ScaleCrop>
  <LinksUpToDate>false</LinksUpToDate>
  <CharactersWithSpaces>5420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2023-05-04T03:01:24Z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79636E408A4D44809A7B09C8E6182D57</vt:lpwstr>
  </property>
</Properties>
</file>