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紫阳县财政局（汇总）</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一、部门主要职责及机构设置</w:t>
      </w:r>
      <w:r>
        <w:rPr>
          <w:rFonts w:hint="eastAsia" w:ascii="仿宋" w:hAnsi="仿宋" w:eastAsia="仿宋" w:cs="仿宋"/>
          <w:sz w:val="32"/>
          <w:szCs w:val="32"/>
        </w:rPr>
        <w:t>：</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1.贯彻执行国家财政政策，拟订本县财政发展规划、政策和改革方案并组织实施。</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2.拟订本县财政、财务、会计管理等方面的规范性文件并督促落实。</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负责全县财政收支管理。负责编制年度财政预决算草案并组织执行。受县政府委托，向县人民代表大会报告全县年度财政预算及其执行情况，向县人民代表大会常务委员会报告预算调整、年度决算及其他重大财政事项。组织制订本县经费开支标准、定额，负责审核批复部门、单位的年度预决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4.负责政府非税收入管理，按规定管理行政事业性收费、政府性基金和其他非税收入。管理财政票据。按规定管理上级下达的彩票公益金。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5.组织制定全县国库管理制度、国库集中收付制度，指导和监督全县国库业务，按规定开展国库现金管理工作。负责制定政府采购制度并监督管理。</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6.负责审核和汇总编制全县国有资本经营预决算草案，收取县本级国有资本收益。组织实施企业财务制度，拟订并执行企业财务管理相关制度。</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7.负责办理和监督县财政的经济发展支出、政府性投资项目的财政拨款，负责有关政策性补贴和专项储备资金财政管理工作。负责全县农业综合开发资金管理。</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8.会同有关部门管理县财政社会保障和就业及医疗卫生支出，组织实施社会保障资金（基金）财务管理制度，编制社会保障预决算草案。</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9.负责全县政府内外债务统一管理，制定全县政府性债务管理制度，防范财政风险。按规定管理外国政府和国际金融组织贷（赠）款。</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10.负责管理全县会计工作，监督和规范会计行为，组织实施国家统一的会计制度。</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11.监督检查财税法规、政策的执行情况，反映财政收支管理中的重大问题，提出加强财政管理的措施和建议。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12.承办县政府交办的其他事项。</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本部门现设有</w:t>
      </w:r>
      <w:r>
        <w:rPr>
          <w:rFonts w:hint="eastAsia" w:ascii="仿宋_GB2312" w:hAnsi="仿宋_GB2312" w:eastAsia="仿宋_GB2312" w:cs="仿宋_GB2312"/>
          <w:sz w:val="32"/>
          <w:szCs w:val="32"/>
        </w:rPr>
        <w:t>行政股</w:t>
      </w:r>
      <w:r>
        <w:rPr>
          <w:rFonts w:hint="eastAsia" w:ascii="仿宋" w:hAnsi="仿宋" w:eastAsia="仿宋" w:cs="仿宋"/>
          <w:sz w:val="32"/>
          <w:szCs w:val="32"/>
        </w:rPr>
        <w:t>、</w:t>
      </w:r>
      <w:r>
        <w:rPr>
          <w:rFonts w:hint="eastAsia" w:ascii="仿宋_GB2312" w:hAnsi="仿宋_GB2312" w:eastAsia="仿宋_GB2312" w:cs="仿宋_GB2312"/>
          <w:sz w:val="32"/>
          <w:szCs w:val="32"/>
        </w:rPr>
        <w:t>预算股、综合及会计股、行政政法教科文股、农业农村股、社会保障股、经济建设股、政府采购管理股、监督评价股</w:t>
      </w:r>
      <w:r>
        <w:rPr>
          <w:rFonts w:hint="eastAsia" w:ascii="仿宋" w:hAnsi="仿宋" w:eastAsia="仿宋" w:cs="仿宋"/>
          <w:sz w:val="32"/>
          <w:szCs w:val="32"/>
        </w:rPr>
        <w:t>。</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围绕财政收支主线加强财政管理。一是密切关注中省政策走向，加强分析研判，抢抓机遇，统筹做好收入组织工作。二是继续贯彻落实各项减税降费政策，进一步降低实体经济企业负担，培植可持续增长税源，为全县经济社会事业发展提供财力保障。三是做好财政支出管理，规范预算编制程序，强化预算资金审核，确保财政资金用得更精准，加强项目资金管理，加快预算支出进度，促进资金使用更均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围绕防范重大风险做好政府债务管理。一是多措并举、综合施策，确保债务化解方案落实到位，确保隐性债务风险安全可控。二是着力加强风险源头管控，硬化预算约束。加强与相关部门配合，严格规范建设项目审批和资金管理，充分开展财政承受能力评估论证，坚决遏制无预算项目开工，同时把好项目质量关，控制超预算项目建设。三是用足用好地方政府专项债券，努力做好稳投资、补短板工作。紧盯上级政策，积极谋划专项债券项目可申报范围，不断提升专项债券项目生成能力。四是建立健全“举债必问效、无效必问责”的政府债务资金绩效管理机制，推进实施地方政府债务项目滚动管理和绩效管理，加强债务资金使用和对应项目实施情况监控，确保债券资金有效使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（三）围绕民生关切重点加大保障力度。一是保障民生支出，重点向农业、扶贫、教育、社会保障、卫生等领域倾斜，继续</w:t>
      </w:r>
      <w:r>
        <w:rPr>
          <w:rFonts w:hint="eastAsia" w:ascii="仿宋" w:hAnsi="仿宋" w:eastAsia="仿宋" w:cs="仿宋"/>
          <w:sz w:val="32"/>
          <w:szCs w:val="32"/>
          <w:lang w:eastAsia="zh-CN"/>
        </w:rPr>
        <w:t>加大</w:t>
      </w:r>
      <w:bookmarkStart w:id="0" w:name="_GoBack"/>
      <w:bookmarkEnd w:id="0"/>
      <w:r>
        <w:rPr>
          <w:rFonts w:hint="eastAsia" w:ascii="仿宋" w:hAnsi="仿宋" w:eastAsia="仿宋" w:cs="仿宋"/>
          <w:sz w:val="32"/>
          <w:szCs w:val="32"/>
        </w:rPr>
        <w:t>财政强农惠农富农政策力度。二是继续强力统筹整合财政涉农资金和加大苏陕协作对接力度，加强乡村振兴推进的资金保障力度。三是多渠道筹措资金，统筹整合各类财政专项资金，加大易地扶贫搬迁后续扶持资金投入，切实保障搬迁群众基本权益，落实各项优惠政策。四是全力保证生态环保、社会治理等各项重点支出需要，推进社会各项事业追赶超越发展，不断增强群众获得感、幸福感和安全感。</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围绕财政资金绩效强化监督管理。一是推进预算绩效管理全面实施，构建绩效与预算融合机制，在预算编制阶段建立并强化绩效目标对预算的指导作用。二是强化部门主体责任，健全预算绩效标准体系，建立健全定量和定性相结合的共性绩效指标框架，逐步形成规范化的绩效标准体系。三是深入推进“财政云”工作的开展和任务落实，实现财政监督与业务工作的有机融合，着力实现财政运行全过程监督，切实加强对财政资金和财政运行全过程监督和风险防控。</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围绕干部作风效能抓好队伍建设。一是认真学习贯彻习近平新时代中国特色社会主义思想和党的十九大精神，继续深入开展“不忘初心、牢记使命”专题学习教育活动，在干部队伍中形成善学善用、务实进取的良好氛围，不断提升财政干部队伍的业务素质和工作绩效。二是强化党风廉政教育，提高宣传教育的针对性和实效性，增强感染力、吸引力，创新教育形式和内容，切实提高财政干部反腐倡廉的自觉性和拒腐防变的能力，增强自觉学廉、讲廉、倡廉、行廉的意识。</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纳入本部门2023年部门预算编制范围的二级预算单位共有22个，包括：</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60" w:type="dxa"/>
          </w:tcPr>
          <w:p>
            <w:pPr>
              <w:ind w:firstLine="400"/>
              <w:jc w:val="left"/>
              <w:rPr>
                <w:rFonts w:ascii="Arial" w:hAnsi="Arial"/>
                <w:color w:val="000000"/>
                <w:sz w:val="20"/>
              </w:rPr>
            </w:pPr>
            <w:r>
              <w:rPr>
                <w:rFonts w:ascii="Arial" w:hAnsi="Arial"/>
                <w:color w:val="000000"/>
                <w:sz w:val="20"/>
              </w:rPr>
              <w:t>1</w:t>
            </w:r>
          </w:p>
        </w:tc>
        <w:tc>
          <w:tcPr>
            <w:tcW w:w="5098" w:type="dxa"/>
          </w:tcPr>
          <w:p>
            <w:pPr>
              <w:ind w:firstLine="400"/>
              <w:jc w:val="left"/>
              <w:rPr>
                <w:rFonts w:ascii="ËÎÌå" w:hAnsi="ËÎÌå" w:eastAsia="ËÎÌå"/>
                <w:color w:val="000000"/>
                <w:sz w:val="20"/>
              </w:rPr>
            </w:pPr>
            <w:r>
              <w:rPr>
                <w:rFonts w:ascii="ËÎÌå" w:hAnsi="ËÎÌå" w:eastAsia="ËÎÌå"/>
                <w:color w:val="000000"/>
                <w:sz w:val="20"/>
              </w:rPr>
              <w:t>紫阳县财政局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2</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紫阳县财政局城关财政所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3</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紫阳县财政局蒿坪财政所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4</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紫阳县财政局向阳财政所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5</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紫阳县财政局汉王财政所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6</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紫阳县财政局高桥财政所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7</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紫阳县财政局双桥财政所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8</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紫阳县财政局毛坝财政所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9</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紫阳县财政局高滩财政所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10</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紫阳县财政局洄水财政所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11</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紫阳县财政局洞河财政所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12</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紫阳县财政局红椿财政所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13</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紫阳县财政局焕古财政所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14</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紫阳县财政局瓦庙财政所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15</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紫阳县财政局麻柳财政所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16</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紫阳县财政局双安财政所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17</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紫阳县财政局东木财政所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18</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紫阳县财政局界岭财政所</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19</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紫阳县公共资产经办中心</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20</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紫阳县农村发展财务运行中心</w:t>
            </w:r>
          </w:p>
        </w:tc>
        <w:tc>
          <w:tcPr>
            <w:tcW w:w="2087" w:type="dxa"/>
            <w:vAlign w:val="center"/>
          </w:tcPr>
          <w:p>
            <w:pPr>
              <w:widowControl/>
              <w:ind w:firstLine="400"/>
              <w:jc w:val="left"/>
              <w:textAlignment w:val="center"/>
              <w:rPr>
                <w:rFonts w:ascii="Arial" w:hAnsi="Arial" w:cs="Arial"/>
                <w:color w:val="000000"/>
                <w:kern w:val="0"/>
                <w:sz w:val="20"/>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21</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紫阳县财政国库支付中心</w:t>
            </w:r>
          </w:p>
        </w:tc>
        <w:tc>
          <w:tcPr>
            <w:tcW w:w="2087" w:type="dxa"/>
            <w:vAlign w:val="center"/>
          </w:tcPr>
          <w:p>
            <w:pPr>
              <w:widowControl/>
              <w:ind w:firstLine="400"/>
              <w:jc w:val="left"/>
              <w:textAlignment w:val="center"/>
              <w:rPr>
                <w:rFonts w:ascii="仿宋" w:hAnsi="仿宋" w:eastAsia="仿宋" w:cs="仿宋"/>
                <w:sz w:val="32"/>
                <w:szCs w:val="32"/>
              </w:rPr>
            </w:pPr>
            <w:r>
              <w:rPr>
                <w:rFonts w:ascii="Arial" w:hAnsi="Arial" w:cs="Arial"/>
                <w:color w:val="000000"/>
                <w:kern w:val="0"/>
                <w:sz w:val="20"/>
                <w:szCs w:val="20"/>
                <w:lang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ind w:firstLine="400"/>
              <w:jc w:val="left"/>
              <w:rPr>
                <w:rFonts w:ascii="Arial" w:hAnsi="Arial"/>
                <w:color w:val="000000"/>
                <w:sz w:val="20"/>
              </w:rPr>
            </w:pPr>
            <w:r>
              <w:rPr>
                <w:rFonts w:ascii="Arial" w:hAnsi="Arial"/>
                <w:color w:val="000000"/>
                <w:sz w:val="20"/>
              </w:rPr>
              <w:t>22</w:t>
            </w:r>
          </w:p>
        </w:tc>
        <w:tc>
          <w:tcPr>
            <w:tcW w:w="5098" w:type="dxa"/>
          </w:tcPr>
          <w:p>
            <w:pPr>
              <w:ind w:firstLine="400"/>
              <w:jc w:val="left"/>
              <w:rPr>
                <w:rFonts w:ascii="Arial" w:hAnsi="Arial" w:eastAsia="ËÎÌå"/>
                <w:color w:val="000000"/>
                <w:sz w:val="20"/>
              </w:rPr>
            </w:pPr>
            <w:r>
              <w:rPr>
                <w:rFonts w:ascii="Arial" w:hAnsi="Arial" w:eastAsia="ËÎÌå"/>
                <w:color w:val="000000"/>
                <w:sz w:val="20"/>
              </w:rPr>
              <w:t>紫阳县政府采购中心</w:t>
            </w:r>
          </w:p>
        </w:tc>
        <w:tc>
          <w:tcPr>
            <w:tcW w:w="2087" w:type="dxa"/>
            <w:vAlign w:val="center"/>
          </w:tcPr>
          <w:p>
            <w:pPr>
              <w:widowControl/>
              <w:ind w:firstLine="400"/>
              <w:jc w:val="left"/>
              <w:textAlignment w:val="center"/>
              <w:rPr>
                <w:rFonts w:ascii="仿宋" w:hAnsi="仿宋" w:eastAsia="仿宋" w:cs="仿宋"/>
                <w:sz w:val="32"/>
                <w:szCs w:val="32"/>
              </w:rPr>
            </w:pPr>
            <w:r>
              <w:rPr>
                <w:rFonts w:ascii="Arial" w:hAnsi="Arial" w:cs="Arial"/>
                <w:color w:val="000000"/>
                <w:kern w:val="0"/>
                <w:sz w:val="20"/>
                <w:szCs w:val="20"/>
                <w:lang w:bidi="ar"/>
              </w:rPr>
              <w:t>　　</w:t>
            </w:r>
          </w:p>
        </w:tc>
      </w:tr>
    </w:tbl>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jc w:val="left"/>
        <w:rPr>
          <w:rFonts w:ascii="仿宋" w:hAnsi="仿宋" w:eastAsia="仿宋" w:cs="仿宋"/>
          <w:sz w:val="32"/>
          <w:szCs w:val="32"/>
        </w:rPr>
      </w:pPr>
      <w:r>
        <w:rPr>
          <w:rFonts w:hint="eastAsia" w:ascii="仿宋" w:hAnsi="仿宋" w:eastAsia="仿宋" w:cs="仿宋"/>
          <w:sz w:val="32"/>
          <w:szCs w:val="32"/>
        </w:rPr>
        <w:t>截止2022年底，本部门人员编制142人，其中行政编制114人、事业编制28人；实有人员129人，其中行政101人、事业28人。单位离退休人员43人。</w:t>
      </w:r>
    </w:p>
    <w:p>
      <w:pPr>
        <w:spacing w:line="360" w:lineRule="auto"/>
        <w:ind w:firstLine="640"/>
        <w:jc w:val="left"/>
        <w:rPr>
          <w:rFonts w:ascii="仿宋" w:hAnsi="仿宋" w:eastAsia="仿宋" w:cs="仿宋"/>
          <w:sz w:val="32"/>
          <w:szCs w:val="32"/>
        </w:rPr>
      </w:pPr>
      <w:r>
        <w:rPr>
          <w:rFonts w:hint="eastAsia" w:ascii="仿宋" w:hAnsi="仿宋" w:eastAsia="仿宋" w:cs="仿宋"/>
          <w:sz w:val="32"/>
          <w:szCs w:val="32"/>
        </w:rPr>
        <w:drawing>
          <wp:inline distT="0" distB="0" distL="114300" distR="114300">
            <wp:extent cx="4811395" cy="3507740"/>
            <wp:effectExtent l="4445" t="4445" r="22860" b="1206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2455.1万元，其中一般公共预算拨款收入2455.1万元、政府性基金拨款收入0万元；2023年本部门预算支出2455.1万元，其中一般公共预算拨款支出2455.1万元、政府性基金拨款支出0万元，因2022年和2023年预算统计口径不同，无法进行比较上下年同期收支增减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2023年本部门财政拨款收入2455.1万元，其中一般公共预算拨款收入2455.1万元、政府性基金拨款收入0万元</w:t>
      </w:r>
      <w:r>
        <w:rPr>
          <w:rFonts w:hint="eastAsia" w:ascii="仿宋" w:hAnsi="仿宋" w:eastAsia="仿宋" w:cs="仿宋"/>
          <w:sz w:val="32"/>
          <w:szCs w:val="32"/>
          <w:lang w:eastAsia="zh-CN"/>
        </w:rPr>
        <w:t>，</w:t>
      </w:r>
      <w:r>
        <w:rPr>
          <w:rFonts w:hint="eastAsia" w:ascii="仿宋" w:hAnsi="仿宋" w:eastAsia="仿宋" w:cs="仿宋"/>
          <w:sz w:val="32"/>
          <w:szCs w:val="32"/>
        </w:rPr>
        <w:t>2023年本部门财政拨款支出2455.1万元，其中一般公共预算拨款支出2455.1万元、政府性基金拨款支出0万元，因2022年和2023年预算统计口径不同，无法进行比较上下年同期收支增减情况。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2023年本部门当年一般公共预算拨款支出2455.1万元，因2022年和2023年预算统计口径不同，无法进行比较上下年同期收支增减情况。</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本部门2023年当年一般公共预算支出2455.1万元，其中：</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行政运行（2010601）1319.95万元；</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财政国库业务（2010605）29万元；</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事业运行（2010650）258.78万元；</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其他财政事务支出（2010699）51.27万元；</w:t>
      </w:r>
    </w:p>
    <w:p>
      <w:pPr>
        <w:spacing w:line="360" w:lineRule="auto"/>
        <w:ind w:firstLine="640" w:firstLineChars="0"/>
        <w:rPr>
          <w:rFonts w:ascii="仿宋" w:hAnsi="仿宋" w:eastAsia="仿宋" w:cs="仿宋"/>
          <w:sz w:val="32"/>
          <w:szCs w:val="32"/>
        </w:rPr>
      </w:pPr>
      <w:r>
        <w:rPr>
          <w:rFonts w:hint="eastAsia" w:ascii="仿宋" w:hAnsi="仿宋" w:eastAsia="仿宋" w:cs="仿宋"/>
          <w:sz w:val="32"/>
          <w:szCs w:val="32"/>
        </w:rPr>
        <w:t>（5）机关事业单位养老保险缴费支出（2080505）171.74万元；</w:t>
      </w:r>
    </w:p>
    <w:p>
      <w:pPr>
        <w:spacing w:line="360" w:lineRule="auto"/>
        <w:ind w:firstLine="640" w:firstLineChars="0"/>
        <w:rPr>
          <w:rFonts w:ascii="仿宋" w:hAnsi="仿宋" w:eastAsia="仿宋" w:cs="仿宋"/>
          <w:sz w:val="32"/>
          <w:szCs w:val="32"/>
        </w:rPr>
      </w:pPr>
      <w:r>
        <w:rPr>
          <w:rFonts w:hint="eastAsia" w:ascii="仿宋" w:hAnsi="仿宋" w:eastAsia="仿宋" w:cs="仿宋"/>
          <w:sz w:val="32"/>
          <w:szCs w:val="32"/>
        </w:rPr>
        <w:t>（6）行政单位医疗（2101101）63.17万元；</w:t>
      </w:r>
    </w:p>
    <w:p>
      <w:pPr>
        <w:spacing w:line="360" w:lineRule="auto"/>
        <w:ind w:firstLine="640" w:firstLineChars="0"/>
        <w:rPr>
          <w:rFonts w:ascii="仿宋" w:hAnsi="仿宋" w:eastAsia="仿宋" w:cs="仿宋"/>
          <w:sz w:val="32"/>
          <w:szCs w:val="32"/>
        </w:rPr>
      </w:pPr>
      <w:r>
        <w:rPr>
          <w:rFonts w:hint="eastAsia" w:ascii="仿宋" w:hAnsi="仿宋" w:eastAsia="仿宋" w:cs="仿宋"/>
          <w:sz w:val="32"/>
          <w:szCs w:val="32"/>
        </w:rPr>
        <w:t>（7）事业单位医疗（2101102）21.31万元；</w:t>
      </w:r>
    </w:p>
    <w:p>
      <w:pPr>
        <w:spacing w:line="360" w:lineRule="auto"/>
        <w:ind w:firstLine="640" w:firstLineChars="0"/>
        <w:rPr>
          <w:rFonts w:ascii="仿宋" w:hAnsi="仿宋" w:eastAsia="仿宋" w:cs="仿宋"/>
          <w:sz w:val="32"/>
          <w:szCs w:val="32"/>
        </w:rPr>
      </w:pPr>
      <w:r>
        <w:rPr>
          <w:rFonts w:hint="eastAsia" w:ascii="仿宋" w:hAnsi="仿宋" w:eastAsia="仿宋" w:cs="仿宋"/>
          <w:sz w:val="32"/>
          <w:szCs w:val="32"/>
        </w:rPr>
        <w:t>（8）其他巩固脱贫攻坚成果衔接乡村振兴支出（2130599）308万元；</w:t>
      </w:r>
    </w:p>
    <w:p>
      <w:pPr>
        <w:spacing w:line="360" w:lineRule="auto"/>
        <w:ind w:firstLine="640" w:firstLineChars="0"/>
        <w:rPr>
          <w:rFonts w:ascii="仿宋" w:hAnsi="仿宋" w:eastAsia="仿宋" w:cs="仿宋"/>
          <w:sz w:val="32"/>
          <w:szCs w:val="32"/>
        </w:rPr>
      </w:pPr>
      <w:r>
        <w:rPr>
          <w:rFonts w:hint="eastAsia" w:ascii="仿宋" w:hAnsi="仿宋" w:eastAsia="仿宋" w:cs="仿宋"/>
          <w:sz w:val="32"/>
          <w:szCs w:val="32"/>
        </w:rPr>
        <w:t>（9）国有资产监管行政运行（2150701）94.99万元；</w:t>
      </w:r>
    </w:p>
    <w:p>
      <w:pPr>
        <w:spacing w:line="360" w:lineRule="auto"/>
        <w:ind w:firstLine="640" w:firstLineChars="0"/>
        <w:rPr>
          <w:rFonts w:ascii="仿宋" w:hAnsi="仿宋" w:eastAsia="仿宋" w:cs="仿宋"/>
          <w:sz w:val="32"/>
          <w:szCs w:val="32"/>
        </w:rPr>
      </w:pPr>
      <w:r>
        <w:rPr>
          <w:rFonts w:hint="eastAsia" w:ascii="仿宋" w:hAnsi="仿宋" w:eastAsia="仿宋" w:cs="仿宋"/>
          <w:sz w:val="32"/>
          <w:szCs w:val="32"/>
        </w:rPr>
        <w:t>（10）其他国有资产监管支出（2150799）7.62万元；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（11）住房公积金（2210201）129.26万元；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因2022年和2023年预算统计口径不同，无法进行比较上下年同期收支增减情况。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2023年本部门当年一般公共预算支出2455.1万元，其中：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工资福利支出（301）1679.75万元；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商品和服务支出（302）742.47万元；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对个人和家庭的补助支出（303）28.28万元；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资本性支出（310）4.6万元。</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2023年本部门当年一般公共预算支出2455.1万元，其中：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机关工资福利支出（501）1474.59万元；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机关商品和服务支出（502）701.59万元；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资本性支出（503）4.6万元；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对事业单位资本性补助（505）246.04万元；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对个人和家庭补助支出（509）28.28万元。</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六、部门预算“三公”经费等预算情况说明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7.29万元，较上年增加7.29万元（100%），增加的主要原因是2022年和2023年预算编制汇总口径不同，没有上年同期数。其中：因公出国（境）经费0万元，与上年一致；公务接待费7.29万元，较上年增加7.29万元（100%），增加的主要原因是2022年和2023年预算编制汇总口径不同，没有上年同期数；公务用车运行费0万元，与上年一致；公务用车购置费0万元，与上年一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（2）2023年本部门当年会议费预算支出0万元，一致。培训费1.4万元，较上年增加1.4万元（100%），增加的主要原因是2022年和2023年预算编制汇总口径不同，没有上年同期数。</w:t>
      </w:r>
    </w:p>
    <w:p>
      <w:pPr>
        <w:ind w:firstLine="0" w:firstLineChars="0"/>
        <w:jc w:val="center"/>
        <w:rPr>
          <w:rFonts w:ascii="黑体" w:hAnsi="黑体" w:eastAsia="黑体" w:cs="黑体"/>
          <w:sz w:val="32"/>
          <w:szCs w:val="32"/>
        </w:rPr>
      </w:pPr>
      <w:r>
        <w:rPr>
          <w:rFonts w:hint="eastAsia" w:ascii="黑体" w:hAnsi="黑体" w:eastAsia="黑体" w:cs="黑体"/>
          <w:sz w:val="32"/>
          <w:szCs w:val="32"/>
        </w:rPr>
        <w:t xml:space="preserve">会议费培训费明细 </w:t>
      </w:r>
    </w:p>
    <w:p>
      <w:pPr>
        <w:ind w:firstLine="480"/>
        <w:jc w:val="right"/>
        <w:rPr>
          <w:rFonts w:ascii="仿宋" w:hAnsi="仿宋" w:eastAsia="仿宋" w:cs="仿宋"/>
        </w:rPr>
      </w:pPr>
      <w:r>
        <w:rPr>
          <w:rFonts w:hint="eastAsia" w:ascii="仿宋" w:hAnsi="仿宋" w:eastAsia="仿宋" w:cs="仿宋"/>
        </w:rPr>
        <w:t>单位：万元</w:t>
      </w:r>
    </w:p>
    <w:tbl>
      <w:tblPr>
        <w:tblStyle w:val="4"/>
        <w:tblW w:w="8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7"/>
        <w:gridCol w:w="2438"/>
        <w:gridCol w:w="1050"/>
        <w:gridCol w:w="995"/>
        <w:gridCol w:w="1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61"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序号</w:t>
            </w:r>
          </w:p>
        </w:tc>
        <w:tc>
          <w:tcPr>
            <w:tcW w:w="2037"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会议/培训名称</w:t>
            </w:r>
          </w:p>
        </w:tc>
        <w:tc>
          <w:tcPr>
            <w:tcW w:w="2438"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时间</w:t>
            </w:r>
          </w:p>
        </w:tc>
        <w:tc>
          <w:tcPr>
            <w:tcW w:w="1050" w:type="dxa"/>
          </w:tcPr>
          <w:p>
            <w:pPr>
              <w:spacing w:line="360" w:lineRule="auto"/>
              <w:ind w:firstLine="360"/>
              <w:rPr>
                <w:rFonts w:ascii="黑体" w:hAnsi="黑体" w:eastAsia="黑体" w:cs="黑体"/>
                <w:sz w:val="18"/>
                <w:szCs w:val="18"/>
              </w:rPr>
            </w:pPr>
            <w:r>
              <w:rPr>
                <w:rFonts w:hint="eastAsia" w:ascii="黑体" w:hAnsi="黑体" w:eastAsia="黑体" w:cs="黑体"/>
                <w:sz w:val="18"/>
                <w:szCs w:val="18"/>
              </w:rPr>
              <w:t>人数</w:t>
            </w:r>
          </w:p>
        </w:tc>
        <w:tc>
          <w:tcPr>
            <w:tcW w:w="995" w:type="dxa"/>
          </w:tcPr>
          <w:p>
            <w:pPr>
              <w:spacing w:line="360" w:lineRule="auto"/>
              <w:ind w:firstLine="360"/>
              <w:rPr>
                <w:rFonts w:ascii="黑体" w:hAnsi="黑体" w:eastAsia="黑体" w:cs="黑体"/>
                <w:sz w:val="18"/>
                <w:szCs w:val="18"/>
              </w:rPr>
            </w:pPr>
            <w:r>
              <w:rPr>
                <w:rFonts w:hint="eastAsia" w:ascii="黑体" w:hAnsi="黑体" w:eastAsia="黑体" w:cs="黑体"/>
                <w:sz w:val="18"/>
                <w:szCs w:val="18"/>
              </w:rPr>
              <w:t>金额</w:t>
            </w:r>
          </w:p>
        </w:tc>
        <w:tc>
          <w:tcPr>
            <w:tcW w:w="1064" w:type="dxa"/>
          </w:tcPr>
          <w:p>
            <w:pPr>
              <w:spacing w:line="360" w:lineRule="auto"/>
              <w:ind w:firstLine="360"/>
              <w:rPr>
                <w:rFonts w:ascii="黑体" w:hAnsi="黑体" w:eastAsia="黑体" w:cs="黑体"/>
                <w:sz w:val="18"/>
                <w:szCs w:val="18"/>
              </w:rPr>
            </w:pPr>
            <w:r>
              <w:rPr>
                <w:rFonts w:hint="eastAsia" w:ascii="黑体" w:hAnsi="黑体" w:eastAsia="黑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tcPr>
          <w:p>
            <w:pPr>
              <w:spacing w:line="360" w:lineRule="auto"/>
              <w:ind w:firstLine="300"/>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1</w:t>
            </w:r>
          </w:p>
        </w:tc>
        <w:tc>
          <w:tcPr>
            <w:tcW w:w="2037" w:type="dxa"/>
          </w:tcPr>
          <w:p>
            <w:pPr>
              <w:spacing w:line="360" w:lineRule="auto"/>
              <w:ind w:firstLine="300"/>
              <w:rPr>
                <w:rFonts w:ascii="仿宋_GB2312" w:hAnsi="仿宋_GB2312" w:eastAsia="仿宋_GB2312" w:cs="仿宋_GB2312"/>
                <w:sz w:val="15"/>
                <w:szCs w:val="15"/>
              </w:rPr>
            </w:pPr>
            <w:r>
              <w:rPr>
                <w:rFonts w:hint="eastAsia" w:ascii="仿宋_GB2312" w:hAnsi="仿宋_GB2312" w:eastAsia="仿宋_GB2312" w:cs="仿宋_GB2312"/>
                <w:sz w:val="15"/>
                <w:szCs w:val="15"/>
              </w:rPr>
              <w:t>财政业务培训</w:t>
            </w:r>
          </w:p>
        </w:tc>
        <w:tc>
          <w:tcPr>
            <w:tcW w:w="2438" w:type="dxa"/>
          </w:tcPr>
          <w:p>
            <w:pPr>
              <w:spacing w:line="360" w:lineRule="auto"/>
              <w:ind w:firstLine="220"/>
              <w:rPr>
                <w:rFonts w:ascii="仿宋_GB2312" w:hAnsi="仿宋_GB2312" w:eastAsia="仿宋_GB2312" w:cs="仿宋_GB2312"/>
                <w:sz w:val="15"/>
                <w:szCs w:val="15"/>
              </w:rPr>
            </w:pPr>
            <w:r>
              <w:rPr>
                <w:rFonts w:hint="eastAsia" w:ascii="仿宋_GB2312" w:hAnsi="仿宋_GB2312" w:eastAsia="仿宋_GB2312" w:cs="仿宋_GB2312"/>
                <w:sz w:val="11"/>
                <w:szCs w:val="11"/>
              </w:rPr>
              <w:t>2023年10月</w:t>
            </w:r>
          </w:p>
        </w:tc>
        <w:tc>
          <w:tcPr>
            <w:tcW w:w="1050" w:type="dxa"/>
          </w:tcPr>
          <w:p>
            <w:pPr>
              <w:spacing w:line="360" w:lineRule="auto"/>
              <w:ind w:firstLine="300"/>
              <w:rPr>
                <w:rFonts w:ascii="仿宋_GB2312" w:hAnsi="仿宋_GB2312" w:eastAsia="仿宋_GB2312" w:cs="仿宋_GB2312"/>
                <w:sz w:val="15"/>
                <w:szCs w:val="15"/>
              </w:rPr>
            </w:pPr>
            <w:r>
              <w:rPr>
                <w:rFonts w:hint="eastAsia" w:ascii="仿宋_GB2312" w:hAnsi="仿宋_GB2312" w:eastAsia="仿宋_GB2312" w:cs="仿宋_GB2312"/>
                <w:sz w:val="15"/>
                <w:szCs w:val="15"/>
              </w:rPr>
              <w:t>90人</w:t>
            </w:r>
          </w:p>
        </w:tc>
        <w:tc>
          <w:tcPr>
            <w:tcW w:w="995" w:type="dxa"/>
          </w:tcPr>
          <w:p>
            <w:pPr>
              <w:spacing w:line="360" w:lineRule="auto"/>
              <w:ind w:firstLine="300"/>
              <w:jc w:val="center"/>
              <w:rPr>
                <w:rFonts w:ascii="仿宋_GB2312" w:hAnsi="仿宋_GB2312" w:eastAsia="仿宋_GB2312" w:cs="仿宋_GB2312"/>
                <w:sz w:val="15"/>
                <w:szCs w:val="15"/>
              </w:rPr>
            </w:pPr>
            <w:r>
              <w:rPr>
                <w:rFonts w:hint="eastAsia" w:ascii="仿宋_GB2312" w:hAnsi="仿宋_GB2312" w:eastAsia="仿宋_GB2312" w:cs="仿宋_GB2312"/>
                <w:sz w:val="15"/>
                <w:szCs w:val="15"/>
              </w:rPr>
              <w:t>12000</w:t>
            </w:r>
          </w:p>
        </w:tc>
        <w:tc>
          <w:tcPr>
            <w:tcW w:w="1064" w:type="dxa"/>
          </w:tcPr>
          <w:p>
            <w:pPr>
              <w:spacing w:line="360" w:lineRule="auto"/>
              <w:ind w:firstLine="300"/>
              <w:rPr>
                <w:rFonts w:ascii="仿宋_GB2312" w:hAnsi="仿宋_GB2312" w:eastAsia="仿宋_GB2312" w:cs="仿宋_GB2312"/>
                <w:sz w:val="15"/>
                <w:szCs w:val="15"/>
              </w:rPr>
            </w:pPr>
          </w:p>
        </w:tc>
      </w:tr>
    </w:tbl>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本部门无2022年结转的财政拨款‘三公’经费和会议费、培训费支出。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截止2022年底，本部门所属预算单位共有车辆0辆，单价20万元以上的设备0台（套）。2023年当年部门预算安排购置车辆0辆；安排购置单价20万元以上的设备0台（套）。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6"/>
        </w:numPr>
        <w:spacing w:line="360" w:lineRule="auto"/>
        <w:ind w:firstLine="480" w:firstLineChars="0"/>
        <w:rPr>
          <w:rFonts w:ascii="仿宋" w:hAnsi="仿宋" w:eastAsia="仿宋" w:cs="仿宋"/>
          <w:sz w:val="32"/>
          <w:szCs w:val="32"/>
        </w:rPr>
      </w:pPr>
      <w:r>
        <w:rPr>
          <w:rFonts w:hint="eastAsia" w:ascii="仿宋" w:hAnsi="仿宋" w:eastAsia="仿宋" w:cs="仿宋"/>
          <w:b/>
          <w:bCs/>
          <w:sz w:val="32"/>
          <w:szCs w:val="32"/>
        </w:rPr>
        <w:t>部门政府采购情况说明</w:t>
      </w:r>
      <w:r>
        <w:rPr>
          <w:rFonts w:hint="eastAsia" w:ascii="仿宋" w:hAnsi="仿宋" w:eastAsia="仿宋" w:cs="仿宋"/>
          <w:sz w:val="32"/>
          <w:szCs w:val="32"/>
        </w:rPr>
        <w:t xml:space="preserve">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2023年当年本部门政府采购预算共0万元，其中政府采购货物类预算0万元、政府采购服务类预算0万元、政府采购工程类预算0万元（详见公开报表中的政府采购表）。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本部门2023年无政府采购预算，并已公开空表。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2023年本部门绩效目标管理全覆盖，涉及当年一般公共预算拨款2455.1万元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本部门当年机关运行经费预算安排80.19万元，较上年增加80.19万元，主要原因是2022年和2023年预算编制汇总口径不同，没有上年同期数。</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ËÎÌå">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35E21D56"/>
    <w:multiLevelType w:val="singleLevel"/>
    <w:tmpl w:val="35E21D56"/>
    <w:lvl w:ilvl="0" w:tentative="0">
      <w:start w:val="1"/>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4"/>
  </w:num>
  <w:num w:numId="3">
    <w:abstractNumId w:val="3"/>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00172A27"/>
    <w:rsid w:val="00172A27"/>
    <w:rsid w:val="00B03699"/>
    <w:rsid w:val="00D70262"/>
    <w:rsid w:val="00DE25D0"/>
    <w:rsid w:val="018F2D13"/>
    <w:rsid w:val="028B38AE"/>
    <w:rsid w:val="02953D9A"/>
    <w:rsid w:val="03791D26"/>
    <w:rsid w:val="0466605A"/>
    <w:rsid w:val="04F35073"/>
    <w:rsid w:val="05DC5E02"/>
    <w:rsid w:val="061D2748"/>
    <w:rsid w:val="0696261C"/>
    <w:rsid w:val="06D7231D"/>
    <w:rsid w:val="075D6C6A"/>
    <w:rsid w:val="0773304F"/>
    <w:rsid w:val="089D1D43"/>
    <w:rsid w:val="0A653AEA"/>
    <w:rsid w:val="0AAB1747"/>
    <w:rsid w:val="0B473936"/>
    <w:rsid w:val="0B820553"/>
    <w:rsid w:val="0B8A1B09"/>
    <w:rsid w:val="0C2F78FB"/>
    <w:rsid w:val="0C805687"/>
    <w:rsid w:val="0D053BAB"/>
    <w:rsid w:val="0D594F94"/>
    <w:rsid w:val="0E1F698E"/>
    <w:rsid w:val="0FA9052D"/>
    <w:rsid w:val="10163FB4"/>
    <w:rsid w:val="106317C1"/>
    <w:rsid w:val="10A536CA"/>
    <w:rsid w:val="12B55B02"/>
    <w:rsid w:val="132B3892"/>
    <w:rsid w:val="13DD192D"/>
    <w:rsid w:val="147F7E6C"/>
    <w:rsid w:val="14C85364"/>
    <w:rsid w:val="14FA613E"/>
    <w:rsid w:val="15053ED9"/>
    <w:rsid w:val="15BA67E3"/>
    <w:rsid w:val="15EB6487"/>
    <w:rsid w:val="166918D6"/>
    <w:rsid w:val="176724C1"/>
    <w:rsid w:val="18AF7F70"/>
    <w:rsid w:val="19AA2269"/>
    <w:rsid w:val="1A431FF4"/>
    <w:rsid w:val="1B746107"/>
    <w:rsid w:val="1CD64124"/>
    <w:rsid w:val="1CD85DF3"/>
    <w:rsid w:val="1E0072C5"/>
    <w:rsid w:val="1E1E7AD2"/>
    <w:rsid w:val="1ED0381D"/>
    <w:rsid w:val="20FE50B8"/>
    <w:rsid w:val="210F400E"/>
    <w:rsid w:val="229A281A"/>
    <w:rsid w:val="2383657E"/>
    <w:rsid w:val="23F45765"/>
    <w:rsid w:val="242E73FF"/>
    <w:rsid w:val="246C5345"/>
    <w:rsid w:val="24AB40AF"/>
    <w:rsid w:val="24FC6952"/>
    <w:rsid w:val="250E7916"/>
    <w:rsid w:val="26CC76FD"/>
    <w:rsid w:val="272308AF"/>
    <w:rsid w:val="28064C78"/>
    <w:rsid w:val="2864072E"/>
    <w:rsid w:val="2996177C"/>
    <w:rsid w:val="2A3E38E1"/>
    <w:rsid w:val="2AEB1BA8"/>
    <w:rsid w:val="2BF2458F"/>
    <w:rsid w:val="2E643AC1"/>
    <w:rsid w:val="2F3B562F"/>
    <w:rsid w:val="2FC8494E"/>
    <w:rsid w:val="314B37FB"/>
    <w:rsid w:val="31B733F7"/>
    <w:rsid w:val="32004C6A"/>
    <w:rsid w:val="33272534"/>
    <w:rsid w:val="385D1A98"/>
    <w:rsid w:val="38F70388"/>
    <w:rsid w:val="3A314FEB"/>
    <w:rsid w:val="3A4434B4"/>
    <w:rsid w:val="3B055E9C"/>
    <w:rsid w:val="3BA0301A"/>
    <w:rsid w:val="3D28036F"/>
    <w:rsid w:val="3D8407DF"/>
    <w:rsid w:val="3DFF32ED"/>
    <w:rsid w:val="3F503091"/>
    <w:rsid w:val="4008265B"/>
    <w:rsid w:val="41851E44"/>
    <w:rsid w:val="420B5D06"/>
    <w:rsid w:val="4248700C"/>
    <w:rsid w:val="465670F7"/>
    <w:rsid w:val="471D22FA"/>
    <w:rsid w:val="472B48D8"/>
    <w:rsid w:val="4741375D"/>
    <w:rsid w:val="47C702DF"/>
    <w:rsid w:val="48422B9F"/>
    <w:rsid w:val="488947B6"/>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CF4111F"/>
    <w:rsid w:val="5D9465B8"/>
    <w:rsid w:val="5E5C14C1"/>
    <w:rsid w:val="5E7A2B73"/>
    <w:rsid w:val="5F635E4B"/>
    <w:rsid w:val="60404B5F"/>
    <w:rsid w:val="6134696F"/>
    <w:rsid w:val="61EE3D1B"/>
    <w:rsid w:val="62460F4D"/>
    <w:rsid w:val="62A365B5"/>
    <w:rsid w:val="63282485"/>
    <w:rsid w:val="65B7439B"/>
    <w:rsid w:val="66607F61"/>
    <w:rsid w:val="67606C1C"/>
    <w:rsid w:val="676942F4"/>
    <w:rsid w:val="68EA113C"/>
    <w:rsid w:val="699E67D8"/>
    <w:rsid w:val="69B23FEC"/>
    <w:rsid w:val="69E141D5"/>
    <w:rsid w:val="69F87A79"/>
    <w:rsid w:val="6AB23098"/>
    <w:rsid w:val="6C540332"/>
    <w:rsid w:val="6D4464EC"/>
    <w:rsid w:val="6DBE3A60"/>
    <w:rsid w:val="6E8A04A9"/>
    <w:rsid w:val="6EF07839"/>
    <w:rsid w:val="6F3075D5"/>
    <w:rsid w:val="6F5403ED"/>
    <w:rsid w:val="6FAD28B5"/>
    <w:rsid w:val="71A236EE"/>
    <w:rsid w:val="73843559"/>
    <w:rsid w:val="75AC088F"/>
    <w:rsid w:val="76200A04"/>
    <w:rsid w:val="76590D5F"/>
    <w:rsid w:val="77AD3FB4"/>
    <w:rsid w:val="781B6398"/>
    <w:rsid w:val="7839395D"/>
    <w:rsid w:val="788B613B"/>
    <w:rsid w:val="78935A62"/>
    <w:rsid w:val="78E52CDF"/>
    <w:rsid w:val="7920167B"/>
    <w:rsid w:val="7A3E4F09"/>
    <w:rsid w:val="7BF11232"/>
    <w:rsid w:val="7CE442E1"/>
    <w:rsid w:val="7CEE0D2E"/>
    <w:rsid w:val="7CF76871"/>
    <w:rsid w:val="7D804F3A"/>
    <w:rsid w:val="7E2B2CA4"/>
    <w:rsid w:val="7E791462"/>
    <w:rsid w:val="7F0A6D29"/>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spacing w:line="240" w:lineRule="atLeast"/>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财政局机关在职人员情况表</a:t>
            </a:r>
            <a:endParaRPr lang="zh-CN" altLang="en-US"/>
          </a:p>
        </c:rich>
      </c:tx>
      <c:layout/>
      <c:overlay val="0"/>
      <c:spPr>
        <a:noFill/>
        <a:ln>
          <a:noFill/>
        </a:ln>
        <a:effectLst/>
      </c:spPr>
    </c:title>
    <c:autoTitleDeleted val="0"/>
    <c:plotArea>
      <c:layout>
        <c:manualLayout>
          <c:layoutTarget val="inner"/>
          <c:xMode val="edge"/>
          <c:yMode val="edge"/>
          <c:x val="0.054075"/>
          <c:y val="0.127"/>
          <c:w val="0.865675"/>
          <c:h val="0.684733333333333"/>
        </c:manualLayout>
      </c:layout>
      <c:barChart>
        <c:barDir val="col"/>
        <c:grouping val="clustered"/>
        <c:varyColors val="0"/>
        <c:ser>
          <c:idx val="0"/>
          <c:order val="0"/>
          <c:tx>
            <c:strRef>
              <c:f>Sheet1!$B$1</c:f>
              <c:strCache>
                <c:ptCount val="1"/>
                <c:pt idx="0">
                  <c:v>编制</c:v>
                </c:pt>
              </c:strCache>
            </c:strRef>
          </c:tx>
          <c:spPr>
            <a:solidFill>
              <a:schemeClr val="accent1"/>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2023</c:v>
                </c:pt>
              </c:numCache>
            </c:numRef>
          </c:cat>
          <c:val>
            <c:numRef>
              <c:f>Sheet1!$B$2</c:f>
              <c:numCache>
                <c:formatCode>General</c:formatCode>
                <c:ptCount val="1"/>
                <c:pt idx="0">
                  <c:v>142</c:v>
                </c:pt>
              </c:numCache>
            </c:numRef>
          </c:val>
        </c:ser>
        <c:ser>
          <c:idx val="1"/>
          <c:order val="1"/>
          <c:tx>
            <c:strRef>
              <c:f>Sheet1!$C$1</c:f>
              <c:strCache>
                <c:ptCount val="1"/>
                <c:pt idx="0">
                  <c:v>在职人数</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pt idx="0">
                  <c:v>2023</c:v>
                </c:pt>
              </c:numCache>
            </c:numRef>
          </c:cat>
          <c:val>
            <c:numRef>
              <c:f>Sheet1!$C$2</c:f>
              <c:numCache>
                <c:formatCode>General</c:formatCode>
                <c:ptCount val="1"/>
                <c:pt idx="0">
                  <c:v>129</c:v>
                </c:pt>
              </c:numCache>
            </c:numRef>
          </c:val>
        </c:ser>
        <c:ser>
          <c:idx val="2"/>
          <c:order val="2"/>
          <c:tx>
            <c:strRef>
              <c:f>Sheet1!#REF!</c:f>
              <c:strCache>
                <c:ptCount val="1"/>
                <c:pt idx="0">
                  <c:v/>
                </c:pt>
              </c:strCache>
            </c:strRef>
          </c:tx>
          <c:spPr>
            <a:solidFill>
              <a:schemeClr val="accent3"/>
            </a:solidFill>
            <a:ln>
              <a:noFill/>
            </a:ln>
            <a:effectLst/>
          </c:spPr>
          <c:invertIfNegative val="0"/>
          <c:dLbls>
            <c:delete val="1"/>
          </c:dLbls>
          <c:cat>
            <c:numRef>
              <c:f>Sheet1!$A$2</c:f>
              <c:numCache>
                <c:formatCode>General</c:formatCode>
                <c:ptCount val="1"/>
                <c:pt idx="0">
                  <c:v>2023</c:v>
                </c:pt>
              </c:numCache>
            </c:numRef>
          </c:cat>
          <c:val>
            <c:numRef>
              <c:f>Sheet1!#REF!</c:f>
              <c:numCache>
                <c:formatCode>General</c:formatCode>
                <c:ptCount val="1"/>
                <c:pt idx="0">
                  <c:v>1</c:v>
                </c:pt>
              </c:numCache>
            </c:numRef>
          </c:val>
        </c:ser>
        <c:dLbls>
          <c:showLegendKey val="0"/>
          <c:showVal val="0"/>
          <c:showCatName val="0"/>
          <c:showSerName val="0"/>
          <c:showPercent val="0"/>
          <c:showBubbleSize val="0"/>
        </c:dLbls>
        <c:gapWidth val="150"/>
        <c:axId val="728810712"/>
        <c:axId val="253483798"/>
      </c:barChart>
      <c:catAx>
        <c:axId val="72881071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3483798"/>
        <c:crosses val="autoZero"/>
        <c:auto val="1"/>
        <c:lblAlgn val="ctr"/>
        <c:lblOffset val="100"/>
        <c:noMultiLvlLbl val="0"/>
      </c:catAx>
      <c:valAx>
        <c:axId val="25348379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72881071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2023</a:t>
            </a:r>
            <a:r>
              <a:rPr lang="zh-CN" altLang="en-US"/>
              <a:t>年一般公共支出情况表</a:t>
            </a:r>
            <a:endParaRPr lang="zh-CN" altLang="en-US"/>
          </a:p>
        </c:rich>
      </c:tx>
      <c:layout/>
      <c:overlay val="0"/>
      <c:spPr>
        <a:noFill/>
        <a:ln>
          <a:noFill/>
        </a:ln>
        <a:effectLst/>
      </c:spPr>
    </c:title>
    <c:autoTitleDeleted val="0"/>
    <c:plotArea>
      <c:layout/>
      <c:pieChart>
        <c:varyColors val="1"/>
        <c:ser>
          <c:idx val="0"/>
          <c:order val="0"/>
          <c:tx>
            <c:strRef>
              <c:f>Sheet1!$B$1</c:f>
              <c:strCache>
                <c:ptCount val="1"/>
                <c:pt idx="0">
                  <c:v>支出类型</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Lbls>
            <c:delete val="1"/>
          </c:dLbls>
          <c:cat>
            <c:strRef>
              <c:f>Sheet1!$A$2:$A$7</c:f>
              <c:strCache>
                <c:ptCount val="6"/>
                <c:pt idx="0">
                  <c:v>一般公共服务支出</c:v>
                </c:pt>
                <c:pt idx="1">
                  <c:v>养老保险</c:v>
                </c:pt>
                <c:pt idx="2">
                  <c:v>医疗保险</c:v>
                </c:pt>
                <c:pt idx="3">
                  <c:v>农林水支出</c:v>
                </c:pt>
                <c:pt idx="4">
                  <c:v>资源勘探工业信息等支出</c:v>
                </c:pt>
                <c:pt idx="5">
                  <c:v>住房公积金</c:v>
                </c:pt>
              </c:strCache>
            </c:strRef>
          </c:cat>
          <c:val>
            <c:numRef>
              <c:f>Sheet1!$B$2:$B$7</c:f>
              <c:numCache>
                <c:formatCode>General</c:formatCode>
                <c:ptCount val="6"/>
                <c:pt idx="0">
                  <c:v>1659</c:v>
                </c:pt>
                <c:pt idx="1">
                  <c:v>171.74</c:v>
                </c:pt>
                <c:pt idx="2">
                  <c:v>84.48</c:v>
                </c:pt>
                <c:pt idx="3">
                  <c:v>308</c:v>
                </c:pt>
                <c:pt idx="4">
                  <c:v>102.61</c:v>
                </c:pt>
                <c:pt idx="5">
                  <c:v>129.26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4771</Words>
  <Characters>5230</Characters>
  <Lines>38</Lines>
  <Paragraphs>10</Paragraphs>
  <TotalTime>34</TotalTime>
  <ScaleCrop>false</ScaleCrop>
  <LinksUpToDate>false</LinksUpToDate>
  <CharactersWithSpaces>5266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2023-03-31T07:51:00Z</cp:lastPrinted>
  <dcterms:modified xsi:type="dcterms:W3CDTF">2023-05-04T02:52:04Z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