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中共紫阳县委宣传部</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贯彻落实党中央、省委、市委和县委关于宣传思想文化、网络安全和信息化、精神文明建设工作的方针政策和决策部署，拟订全县宣传思想文化、网络安全和信息化、精神文明建设工作总体规划，统筹协调推进全县宣传思想文化领域法治建设，按照县委统一部署，协调全县宣传思想文化系统各部门之间的工作。协调督促有关方面落实县委、县委网络安全和信息化委员会的决定事项、工作部署和要求。指导协调全县精神文明建设工作。</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2、统筹协调党的意识形态工作，贯彻落实党中央、省委、市委和县委关于意识形态工作的决策部署，组织协调意识形态工作责任制落实和日常监督检查，结合巡察工作开展专项检查。</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3、统筹指导协调全县理论研究、理论学习、理论宣传和理论队伍建设工作。</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4、负责规划组织全县思想政治教育工作，负责爱国主义教育和国防现代化教育工作，配合县委组织部做好党员教育工作，会同有关部门研究和改进群众思想教育工作，指导企业思想文化建设。</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5、负责引导社会舆论，把握正确导向，指导协调全县新闻宣传工作，在政治方向和方针、政策方面实行领导。</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6、统筹规划和指导协调全县新闻出版事业和产业发展、管理新闻出版行政事务，组织协调有关行政审批工作，监督管理印刷业、出版物发行业、管理著作权等。组织指导协调全县文化市场管理和“扫黄打非”。</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7、统筹指导协调互联网宣传和内容管理工作。统筹协调新媒体的建设与管理。</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8、统筹指导协调推动精神文化产品的创作与生产，协调组织中华优秀传统文化传承发展有关工作，指导协调推动群众文化建设。</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9、统筹规划和指导协调全县电影事业和产业发展，负责管理电影行政事务。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10、对新闻出版、广播影视、文化艺术改革发展研究提出政策性建议，统筹协调全县文化体制改革、文化事业、文化产业及旅游事业，负责国有文化资产监管工作，制定扶持文化和旅游产业发展的政策措施。</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11、统筹指导全县舆情信息工作，组织协调开展舆情信息收集分析研判工作，跟踪了解、研究掌握宣传舆情动态。</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统筹协调全县对外宣传工作，统筹对外传播能力建设，指导对外文化交流工作，指导协调全县新闻发布工作、承担县委新闻发布有关组织协调工作，负责县政府新闻发布组织实施工作，推动新闻发言人制度建设，协调并会同有关部门做好境外来访记者的服务引导工作。</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协助组织部门考察全县宣传思想文化系统各单位副科级以上领导干部，并提出任免意见；按照干部管理权限，管理县直宣传思想文化系统重要宣传舆论岗位领导干部；负责全县宣传思想文化系统干部培训和人才工作。</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负责研究拟定全县网络安全和信息化发展规划和年度计划并组织实施；统筹协调组织全县互联网情报信息收集和违法信息监控工作，并依照相关法律法规查处有关网络安全违法行为和网站；负责组织全县互联网宣传和舆论引导工作，维护互联网意识形态和宣传阵地安全；统筹指导协调全县互联网宣传和内容管理、网络安全和信息化工作；统筹协调新媒体的建设与管理；培育、发展和管理互联网社会组织，推进网络信用体系建设和网络文化建设；完成市委网信办交办的其他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承担安排部署全县精神文明建设工作职责；指导协调群众性创建活动；组织和配合上级单位实施有关检查评比、命名表彰和动态管理等工作；指导协调公民思想道德建设、志愿服务、诚信建设工作；完成市委文明办交办的其他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16、归口领导县文化和旅游广电局、县广播电视台、县文联。受县政府授权，监管县属文化企业。</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17、完成县委、县委网络安全和信息化委员会、县委精神文明建设指导委员会交办的其他任务。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val="0"/>
        <w:spacing w:line="336" w:lineRule="auto"/>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val="en-US" w:eastAsia="zh-CN"/>
        </w:rPr>
        <w:t>本部门现设有政办股、理论教育和精神文明股、文化产业股、互联网信息管理股四个内设机构。</w:t>
      </w: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政办股：负责承办机关党务、政务工作。负责机关各项工作制度的拟订和督促实施；组织实施目标责任制考核和奖惩工作；负责重要会议的组织和会议决定事项的督办；负责机关文秘与公文管理、政务信息、宣传、机要、保密、档案、计划生育、安全、卫生、接待服务和各类活动的组织协调工作；承担机关及下属单位机构编制、人事管理和干部教育培训等工作；负责机关财务和资产管理等工作；承担部门党建、精神文明、纪检监察、党风廉政、信访维稳和工青妇等工作；负责人大建议和政协提案的办理；完成领导交办的其他工作。</w:t>
      </w: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理论教育和精神文明股：会同组织部门做好县直宣传文化系统干部考察、领导班子和干部队伍建设等工作；会同人社部门做好全县新闻系列职称评审的审核工作；负责县委中心组理论学习的计划安排、协调服务工作；指导、组织全县理论学习、理论宣传和理论研究工作；利用重大活动组织开展对全县干部群众进行党和国家的路线、方针、政策、形势和任务、思想政治和经济社会发展等方面的社会宣传教育；负责统筹指导协调全县精神文明建设工作，培育和弘扬社会主义核心价值观，推进脱贫攻坚扶贫扶志工作，弘扬新风正气，淳化乡风民俗，移风易俗树新风；组织开展群众性精神文明创建的检查评比、命名表彰；指导协调公民思想道德建设、志愿服务、诚信建设工作。</w:t>
      </w: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文化产业股：负责全县文化产业发展工作；统筹协调推进全县文化产业重点项目、园区（基地）建设；制定扶持文化和旅游产业发展政策措施；统筹规划和指导协调全县新闻出版事业和电影事业发展，管理新闻出版行政事务，组织协调有关行政审批工作，监督管理印刷业、出版物发行业、管理著作权等；负责管理电影行政事务，指导监管电影放映工作。</w:t>
      </w: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互联网信息管理股：统筹推进全县网络安全和信息化法治建设，指导党政部门、重点行业的网络信息安全建设，协调处理网络安全和信息化重大突发事件；组织拟订全县网络安全和信息化重大项目建设规划并负责实施；统筹协调全县网络安全保障体系建设，协调推进信息安全等级保护工作，指导网络和信息化领域重大科技攻关，推进移动互联网发展；负责全县网络游戏、网络视听、网络出版等相关业务和信息网络行业资本准入、安全审查等上报送审工作，负责全县网上金融信息服务业的上报送审工作；指导、检查和推动全县和有关部门的网络安全和信息化工作。</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highlight w:val="none"/>
          <w:shd w:val="clear" w:color="auto" w:fill="auto"/>
          <w:lang w:val="en-US" w:eastAsia="zh-CN"/>
        </w:rPr>
      </w:pPr>
      <w:r>
        <w:rPr>
          <w:rFonts w:hint="eastAsia" w:ascii="仿宋" w:hAnsi="仿宋" w:eastAsia="仿宋" w:cs="仿宋"/>
          <w:sz w:val="32"/>
          <w:szCs w:val="32"/>
          <w:highlight w:val="none"/>
          <w:shd w:val="clear" w:color="auto" w:fill="auto"/>
        </w:rPr>
        <w:t>县委宣传部（县委网信办、县委文明办）机关行政编制8名。设部长1名，副部长3名，其中：常务副部长1名（正科级）</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rPr>
        <w:t>县委宣传部所属的对外宣传办公室事业编制9名，县文联事业编制4名</w:t>
      </w:r>
      <w:r>
        <w:rPr>
          <w:rFonts w:hint="eastAsia" w:ascii="仿宋" w:hAnsi="仿宋" w:eastAsia="仿宋" w:cs="仿宋"/>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度部门工作任务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1.强化理论武装。牵头组织开展县委理论学习中心组集中学习12次，督导各镇各部门党委（党组）理论学习中心组集中学习不少于6次，巡听旁听10个党委（党组）理论学习中心组学习研讨；常态长效开展党史学习教育，持续抓好党的二十大精神宣传宣讲；抓好“学习强国”学习平台推广运用及供稿工作，确保考核位居全市县（区）前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守牢意识形态安全。全面抓好省委第五巡视组专项检查县委意识形态工作反馈问题整改；每季度召开1次意识形态工作联席会议，全年开展2次意识形态工作专项督查；管好用好守牢各类意识形态阵地，认真落实主管主办和属地管理责任，常态化开展意识形态领域风险隐患排查化解，严格落实“4+N”舆情应对处置工作机制，加强涉紫舆情监测处置，确保全年无重大舆情。</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3.加强宣传舆论引导。在中省市各类媒体发稿9500条以上，其中在中省市主流媒体发稿1150条以上；县域经济高质量发展典型案例在中央主流媒体报道3次以上，在省级主流媒体报道5次以上；开展宣传思想业务培训4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4.深化精神文明建设。启动省级文明城市创建；巩固县级及以上文明单位417个，申创市级及以上文明单位10个以上，申创省市道德模范、省市好人等先进典型10人以上；深化拓展文明实践，常态化开展文明实践志愿服务，打造3-5个志愿服务品牌项目，建成用好志愿服务智慧云平台；开展“理论宣讲+三下乡活动+志愿服务”进乡村、进社区活动220场；规范运行“一约四会”，推广普及道德积分制；抓好“孝义文化”试点示范；巩固提升新民风建设成果，深入推进移风易俗，持续整治违规操办酒席，培树文明新风；深入开展社会主义核心价值观宣传教育，抓实未成年人思想道德建设，管好用好16所乡村学校少年宫。</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5.扎实推进文化振兴。巩固提升3个文化振兴示范村，新建7个文化振兴示范村；全年出版文艺作品3部，在中省市报刊发表文艺作品100篇以上；常态化开展“我们的中国梦——文化进万家”活动。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6.保质保量完成蒿坪镇改革村、兴隆村和麻柳镇染房村驻村帮扶任务。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从预算单位构成看，本部门的部门预算包括部门本级（机关）预算。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纳入本部门</w:t>
      </w:r>
      <w:r>
        <w:rPr>
          <w:rFonts w:hint="eastAsia" w:ascii="仿宋" w:hAnsi="仿宋" w:eastAsia="仿宋" w:cs="仿宋"/>
          <w:sz w:val="32"/>
          <w:szCs w:val="32"/>
          <w:highlight w:val="none"/>
          <w:shd w:val="clear" w:color="auto" w:fill="auto"/>
          <w:lang w:eastAsia="zh-CN"/>
        </w:rPr>
        <w:t>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lang w:eastAsia="zh-CN"/>
        </w:rPr>
        <w:t>年</w:t>
      </w:r>
      <w:r>
        <w:rPr>
          <w:rFonts w:hint="eastAsia" w:ascii="仿宋" w:hAnsi="仿宋" w:eastAsia="仿宋" w:cs="仿宋"/>
          <w:sz w:val="32"/>
          <w:szCs w:val="32"/>
          <w:highlight w:val="none"/>
          <w:shd w:val="clear" w:color="auto" w:fill="auto"/>
        </w:rPr>
        <w:t>部门预算编制范围</w:t>
      </w:r>
      <w:r>
        <w:rPr>
          <w:rFonts w:hint="eastAsia" w:ascii="仿宋" w:hAnsi="仿宋" w:eastAsia="仿宋" w:cs="仿宋"/>
          <w:sz w:val="32"/>
          <w:szCs w:val="32"/>
          <w:highlight w:val="none"/>
          <w:shd w:val="clear" w:color="auto" w:fill="auto"/>
          <w:lang w:eastAsia="zh-CN"/>
        </w:rPr>
        <w:t>的</w:t>
      </w:r>
      <w:r>
        <w:rPr>
          <w:rFonts w:hint="eastAsia" w:ascii="仿宋" w:hAnsi="仿宋" w:eastAsia="仿宋" w:cs="仿宋"/>
          <w:sz w:val="32"/>
          <w:szCs w:val="32"/>
          <w:highlight w:val="none"/>
          <w:shd w:val="clear" w:color="auto" w:fill="auto"/>
        </w:rPr>
        <w:t>预算单位共有</w:t>
      </w:r>
      <w:r>
        <w:rPr>
          <w:rFonts w:hint="eastAsia" w:ascii="仿宋" w:hAnsi="仿宋" w:eastAsia="仿宋" w:cs="仿宋"/>
          <w:sz w:val="32"/>
          <w:szCs w:val="32"/>
          <w:highlight w:val="none"/>
          <w:shd w:val="clear" w:color="auto" w:fill="auto"/>
          <w:lang w:val="en-US" w:eastAsia="zh-CN"/>
        </w:rPr>
        <w:t>1</w:t>
      </w:r>
      <w:r>
        <w:rPr>
          <w:rFonts w:hint="eastAsia" w:ascii="仿宋" w:hAnsi="仿宋" w:eastAsia="仿宋" w:cs="仿宋"/>
          <w:sz w:val="32"/>
          <w:szCs w:val="32"/>
          <w:highlight w:val="none"/>
          <w:shd w:val="clear" w:color="auto" w:fill="auto"/>
        </w:rPr>
        <w:t>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75"/>
        <w:gridCol w:w="592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7" w:hRule="atLeast"/>
          <w:jc w:val="center"/>
        </w:trPr>
        <w:tc>
          <w:tcPr>
            <w:tcW w:w="10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序号</w:t>
            </w:r>
          </w:p>
        </w:tc>
        <w:tc>
          <w:tcPr>
            <w:tcW w:w="59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单位名称</w:t>
            </w: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61" w:hRule="atLeast"/>
          <w:jc w:val="center"/>
        </w:trPr>
        <w:tc>
          <w:tcPr>
            <w:tcW w:w="107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1</w:t>
            </w:r>
          </w:p>
        </w:tc>
        <w:tc>
          <w:tcPr>
            <w:tcW w:w="59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lang w:eastAsia="zh-CN"/>
              </w:rPr>
              <w:t>中国共产党紫阳县委员会宣传部</w:t>
            </w:r>
            <w:r>
              <w:rPr>
                <w:rFonts w:hint="eastAsia" w:ascii="仿宋" w:hAnsi="仿宋" w:eastAsia="仿宋" w:cs="仿宋"/>
                <w:sz w:val="32"/>
                <w:szCs w:val="32"/>
                <w:highlight w:val="none"/>
                <w:shd w:val="clear" w:color="auto" w:fill="auto"/>
              </w:rPr>
              <w:t>部门本级（机关）</w:t>
            </w:r>
          </w:p>
        </w:tc>
        <w:tc>
          <w:tcPr>
            <w:tcW w:w="184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outlineLvl w:val="9"/>
              <w:rPr>
                <w:rFonts w:hint="eastAsia" w:ascii="仿宋" w:hAnsi="仿宋" w:eastAsia="仿宋" w:cs="仿宋"/>
                <w:sz w:val="32"/>
                <w:szCs w:val="32"/>
                <w:highlight w:val="none"/>
                <w:shd w:val="clear" w:color="auto" w:fill="auto"/>
              </w:rPr>
            </w:pPr>
          </w:p>
        </w:tc>
      </w:tr>
    </w:tbl>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outlineLvl w:val="9"/>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截止</w:t>
      </w:r>
      <w:r>
        <w:rPr>
          <w:rFonts w:hint="eastAsia" w:ascii="仿宋" w:hAnsi="仿宋" w:eastAsia="仿宋" w:cs="仿宋"/>
          <w:sz w:val="32"/>
          <w:szCs w:val="32"/>
          <w:highlight w:val="none"/>
          <w:shd w:val="clear" w:color="auto" w:fill="auto"/>
          <w:lang w:eastAsia="zh-CN"/>
        </w:rPr>
        <w:t>202</w:t>
      </w:r>
      <w:r>
        <w:rPr>
          <w:rFonts w:hint="eastAsia" w:ascii="仿宋" w:hAnsi="仿宋" w:eastAsia="仿宋" w:cs="仿宋"/>
          <w:sz w:val="32"/>
          <w:szCs w:val="32"/>
          <w:highlight w:val="none"/>
          <w:shd w:val="clear" w:color="auto" w:fill="auto"/>
          <w:lang w:val="en-US" w:eastAsia="zh-CN"/>
        </w:rPr>
        <w:t>2</w:t>
      </w:r>
      <w:r>
        <w:rPr>
          <w:rFonts w:hint="eastAsia" w:ascii="仿宋" w:hAnsi="仿宋" w:eastAsia="仿宋" w:cs="仿宋"/>
          <w:sz w:val="32"/>
          <w:szCs w:val="32"/>
          <w:highlight w:val="none"/>
          <w:shd w:val="clear" w:color="auto" w:fill="auto"/>
          <w:lang w:eastAsia="zh-CN"/>
        </w:rPr>
        <w:t>年</w:t>
      </w:r>
      <w:r>
        <w:rPr>
          <w:rFonts w:hint="eastAsia" w:ascii="仿宋" w:hAnsi="仿宋" w:eastAsia="仿宋" w:cs="仿宋"/>
          <w:sz w:val="32"/>
          <w:szCs w:val="32"/>
          <w:highlight w:val="none"/>
          <w:shd w:val="clear" w:color="auto" w:fill="auto"/>
        </w:rPr>
        <w:t>底，本部门人员编制</w:t>
      </w:r>
      <w:r>
        <w:rPr>
          <w:rFonts w:hint="eastAsia" w:ascii="仿宋" w:hAnsi="仿宋" w:eastAsia="仿宋" w:cs="仿宋"/>
          <w:sz w:val="32"/>
          <w:szCs w:val="32"/>
          <w:highlight w:val="none"/>
          <w:shd w:val="clear" w:color="auto" w:fill="auto"/>
          <w:lang w:val="en-US" w:eastAsia="zh-CN"/>
        </w:rPr>
        <w:t>21</w:t>
      </w:r>
      <w:r>
        <w:rPr>
          <w:rFonts w:hint="eastAsia" w:ascii="仿宋" w:hAnsi="仿宋" w:eastAsia="仿宋" w:cs="仿宋"/>
          <w:sz w:val="32"/>
          <w:szCs w:val="32"/>
          <w:highlight w:val="none"/>
          <w:shd w:val="clear" w:color="auto" w:fill="auto"/>
        </w:rPr>
        <w:t>人，其中行政编制</w:t>
      </w:r>
      <w:r>
        <w:rPr>
          <w:rFonts w:hint="eastAsia" w:ascii="仿宋" w:hAnsi="仿宋" w:eastAsia="仿宋" w:cs="仿宋"/>
          <w:sz w:val="32"/>
          <w:szCs w:val="32"/>
          <w:highlight w:val="none"/>
          <w:shd w:val="clear" w:color="auto" w:fill="auto"/>
          <w:lang w:val="en-US" w:eastAsia="zh-CN"/>
        </w:rPr>
        <w:t>8</w:t>
      </w:r>
      <w:r>
        <w:rPr>
          <w:rFonts w:hint="eastAsia" w:ascii="仿宋" w:hAnsi="仿宋" w:eastAsia="仿宋" w:cs="仿宋"/>
          <w:sz w:val="32"/>
          <w:szCs w:val="32"/>
          <w:highlight w:val="none"/>
          <w:shd w:val="clear" w:color="auto" w:fill="auto"/>
        </w:rPr>
        <w:t>人、事业编制</w:t>
      </w:r>
      <w:r>
        <w:rPr>
          <w:rFonts w:hint="eastAsia" w:ascii="仿宋" w:hAnsi="仿宋" w:eastAsia="仿宋" w:cs="仿宋"/>
          <w:sz w:val="32"/>
          <w:szCs w:val="32"/>
          <w:highlight w:val="none"/>
          <w:shd w:val="clear" w:color="auto" w:fill="auto"/>
          <w:lang w:val="en-US" w:eastAsia="zh-CN"/>
        </w:rPr>
        <w:t>13</w:t>
      </w:r>
      <w:r>
        <w:rPr>
          <w:rFonts w:hint="eastAsia" w:ascii="仿宋" w:hAnsi="仿宋" w:eastAsia="仿宋" w:cs="仿宋"/>
          <w:sz w:val="32"/>
          <w:szCs w:val="32"/>
          <w:highlight w:val="none"/>
          <w:shd w:val="clear" w:color="auto" w:fill="auto"/>
        </w:rPr>
        <w:t>人；实有人员</w:t>
      </w:r>
      <w:r>
        <w:rPr>
          <w:rFonts w:hint="eastAsia" w:ascii="仿宋" w:hAnsi="仿宋" w:eastAsia="仿宋" w:cs="仿宋"/>
          <w:sz w:val="32"/>
          <w:szCs w:val="32"/>
          <w:highlight w:val="none"/>
          <w:shd w:val="clear" w:color="auto" w:fill="auto"/>
          <w:lang w:val="en-US" w:eastAsia="zh-CN"/>
        </w:rPr>
        <w:t>19</w:t>
      </w:r>
      <w:r>
        <w:rPr>
          <w:rFonts w:hint="eastAsia" w:ascii="仿宋" w:hAnsi="仿宋" w:eastAsia="仿宋" w:cs="仿宋"/>
          <w:sz w:val="32"/>
          <w:szCs w:val="32"/>
          <w:highlight w:val="none"/>
          <w:shd w:val="clear" w:color="auto" w:fill="auto"/>
        </w:rPr>
        <w:t>人，其中行政</w:t>
      </w:r>
      <w:r>
        <w:rPr>
          <w:rFonts w:hint="eastAsia" w:ascii="仿宋" w:hAnsi="仿宋" w:eastAsia="仿宋" w:cs="仿宋"/>
          <w:sz w:val="32"/>
          <w:szCs w:val="32"/>
          <w:highlight w:val="none"/>
          <w:shd w:val="clear" w:color="auto" w:fill="auto"/>
          <w:lang w:val="en-US" w:eastAsia="zh-CN"/>
        </w:rPr>
        <w:t>8</w:t>
      </w:r>
      <w:r>
        <w:rPr>
          <w:rFonts w:hint="eastAsia" w:ascii="仿宋" w:hAnsi="仿宋" w:eastAsia="仿宋" w:cs="仿宋"/>
          <w:sz w:val="32"/>
          <w:szCs w:val="32"/>
          <w:highlight w:val="none"/>
          <w:shd w:val="clear" w:color="auto" w:fill="auto"/>
        </w:rPr>
        <w:t>人</w:t>
      </w:r>
      <w:r>
        <w:rPr>
          <w:rFonts w:hint="eastAsia" w:ascii="仿宋" w:hAnsi="仿宋" w:eastAsia="仿宋" w:cs="仿宋"/>
          <w:sz w:val="32"/>
          <w:szCs w:val="32"/>
          <w:highlight w:val="none"/>
          <w:shd w:val="clear" w:color="auto" w:fill="auto"/>
          <w:lang w:eastAsia="zh-CN"/>
        </w:rPr>
        <w:t>，事业</w:t>
      </w:r>
      <w:r>
        <w:rPr>
          <w:rFonts w:hint="eastAsia" w:ascii="仿宋" w:hAnsi="仿宋" w:eastAsia="仿宋" w:cs="仿宋"/>
          <w:sz w:val="32"/>
          <w:szCs w:val="32"/>
          <w:highlight w:val="none"/>
          <w:shd w:val="clear" w:color="auto" w:fill="auto"/>
          <w:lang w:val="en-US" w:eastAsia="zh-CN"/>
        </w:rPr>
        <w:t>11</w:t>
      </w:r>
      <w:r>
        <w:rPr>
          <w:rFonts w:hint="eastAsia" w:ascii="仿宋" w:hAnsi="仿宋" w:eastAsia="仿宋" w:cs="仿宋"/>
          <w:sz w:val="32"/>
          <w:szCs w:val="32"/>
          <w:highlight w:val="none"/>
          <w:shd w:val="clear" w:color="auto" w:fill="auto"/>
        </w:rPr>
        <w:t>人。单位管理的离退休人员</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人。</w:t>
      </w:r>
    </w:p>
    <w:p>
      <w:pPr>
        <w:pStyle w:val="3"/>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rPr>
          <w:rFonts w:hint="eastAsia"/>
          <w:sz w:val="32"/>
          <w:szCs w:val="32"/>
          <w:lang w:eastAsia="zh-CN"/>
        </w:rPr>
      </w:pPr>
      <w:r>
        <w:rPr>
          <w:rFonts w:hint="eastAsia"/>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按照综合预算的原则，本部门所有收入和支出均纳入部门预算管理。202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年本部门预算收入</w:t>
      </w:r>
      <w:r>
        <w:rPr>
          <w:rFonts w:hint="eastAsia" w:ascii="仿宋" w:hAnsi="仿宋" w:eastAsia="仿宋" w:cs="仿宋"/>
          <w:sz w:val="32"/>
          <w:szCs w:val="32"/>
          <w:highlight w:val="none"/>
          <w:shd w:val="clear" w:color="auto" w:fill="auto"/>
          <w:lang w:val="en-US" w:eastAsia="zh-CN"/>
        </w:rPr>
        <w:t>337.77</w:t>
      </w:r>
      <w:r>
        <w:rPr>
          <w:rFonts w:hint="eastAsia" w:ascii="仿宋" w:hAnsi="仿宋" w:eastAsia="仿宋" w:cs="仿宋"/>
          <w:sz w:val="32"/>
          <w:szCs w:val="32"/>
          <w:highlight w:val="none"/>
          <w:shd w:val="clear" w:color="auto" w:fill="auto"/>
        </w:rPr>
        <w:t>万元，其中一般公共预算拨款收入</w:t>
      </w:r>
      <w:r>
        <w:rPr>
          <w:rFonts w:hint="eastAsia" w:ascii="仿宋" w:hAnsi="仿宋" w:eastAsia="仿宋" w:cs="仿宋"/>
          <w:sz w:val="32"/>
          <w:szCs w:val="32"/>
          <w:highlight w:val="none"/>
          <w:shd w:val="clear" w:color="auto" w:fill="auto"/>
          <w:lang w:val="en-US" w:eastAsia="zh-CN"/>
        </w:rPr>
        <w:t>337.77</w:t>
      </w:r>
      <w:r>
        <w:rPr>
          <w:rFonts w:hint="eastAsia" w:ascii="仿宋" w:hAnsi="仿宋" w:eastAsia="仿宋" w:cs="仿宋"/>
          <w:sz w:val="32"/>
          <w:szCs w:val="32"/>
          <w:highlight w:val="none"/>
          <w:shd w:val="clear" w:color="auto" w:fill="auto"/>
        </w:rPr>
        <w:t>万元、政府性基金拨款收入0.00万元、上级补助收入0.00万元、事业收入0.00万元、事业单位经营收入0.00万元、对附属单位上缴收入0.00万元、用事业基金弥补收支差额0.00万元、上年结转0.00万元、上年实户资金余额0.00万元、其他收入0.00万元，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年本部门预算收入较上年增加</w:t>
      </w:r>
      <w:r>
        <w:rPr>
          <w:rFonts w:hint="eastAsia" w:ascii="仿宋" w:hAnsi="仿宋" w:eastAsia="仿宋" w:cs="仿宋"/>
          <w:sz w:val="32"/>
          <w:szCs w:val="32"/>
          <w:highlight w:val="none"/>
          <w:shd w:val="clear" w:color="auto" w:fill="auto"/>
          <w:lang w:val="en-US" w:eastAsia="zh-CN"/>
        </w:rPr>
        <w:t>26</w:t>
      </w:r>
      <w:r>
        <w:rPr>
          <w:rFonts w:hint="eastAsia" w:ascii="仿宋" w:hAnsi="仿宋" w:eastAsia="仿宋" w:cs="仿宋"/>
          <w:sz w:val="32"/>
          <w:szCs w:val="32"/>
          <w:highlight w:val="none"/>
          <w:shd w:val="clear" w:color="auto" w:fill="auto"/>
        </w:rPr>
        <w:t>万元，主要原因是</w:t>
      </w:r>
      <w:r>
        <w:rPr>
          <w:rFonts w:hint="eastAsia" w:ascii="仿宋" w:hAnsi="仿宋" w:eastAsia="仿宋" w:cs="仿宋"/>
          <w:sz w:val="32"/>
          <w:szCs w:val="32"/>
          <w:highlight w:val="none"/>
          <w:shd w:val="clear" w:color="auto" w:fill="auto"/>
          <w:lang w:eastAsia="zh-CN"/>
        </w:rPr>
        <w:t>工资福利支出增加</w:t>
      </w:r>
      <w:r>
        <w:rPr>
          <w:rFonts w:hint="eastAsia" w:ascii="仿宋" w:hAnsi="仿宋" w:eastAsia="仿宋" w:cs="仿宋"/>
          <w:sz w:val="32"/>
          <w:szCs w:val="32"/>
          <w:highlight w:val="none"/>
          <w:shd w:val="clear" w:color="auto" w:fill="auto"/>
          <w:lang w:val="en-US" w:eastAsia="zh-CN"/>
        </w:rPr>
        <w:t>17.38万元，原因为职务职级并行和工资晋级晋档，商品和服务支出增加13.62万元，原因为公务交通补贴列入了商品服务支出，专项业务经费支出减少5万元，原因为新冠疫情疫影响专项业务经费压缩</w:t>
      </w:r>
      <w:r>
        <w:rPr>
          <w:rFonts w:hint="eastAsia" w:ascii="仿宋" w:hAnsi="仿宋" w:eastAsia="仿宋" w:cs="仿宋"/>
          <w:sz w:val="32"/>
          <w:szCs w:val="32"/>
          <w:highlight w:val="none"/>
          <w:shd w:val="clear" w:color="auto" w:fill="auto"/>
        </w:rPr>
        <w:t>；202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年本部门预算支出</w:t>
      </w:r>
      <w:r>
        <w:rPr>
          <w:rFonts w:hint="eastAsia" w:ascii="仿宋" w:hAnsi="仿宋" w:eastAsia="仿宋" w:cs="仿宋"/>
          <w:sz w:val="32"/>
          <w:szCs w:val="32"/>
          <w:highlight w:val="none"/>
          <w:shd w:val="clear" w:color="auto" w:fill="auto"/>
          <w:lang w:val="en-US" w:eastAsia="zh-CN"/>
        </w:rPr>
        <w:t>337.77</w:t>
      </w:r>
      <w:r>
        <w:rPr>
          <w:rFonts w:hint="eastAsia" w:ascii="仿宋" w:hAnsi="仿宋" w:eastAsia="仿宋" w:cs="仿宋"/>
          <w:sz w:val="32"/>
          <w:szCs w:val="32"/>
          <w:highlight w:val="none"/>
          <w:shd w:val="clear" w:color="auto" w:fill="auto"/>
        </w:rPr>
        <w:t>万元，其中一般公共预算拨款支出</w:t>
      </w:r>
      <w:r>
        <w:rPr>
          <w:rFonts w:hint="eastAsia" w:ascii="仿宋" w:hAnsi="仿宋" w:eastAsia="仿宋" w:cs="仿宋"/>
          <w:sz w:val="32"/>
          <w:szCs w:val="32"/>
          <w:highlight w:val="none"/>
          <w:shd w:val="clear" w:color="auto" w:fill="auto"/>
          <w:lang w:val="en-US" w:eastAsia="zh-CN"/>
        </w:rPr>
        <w:t>337.77</w:t>
      </w:r>
      <w:r>
        <w:rPr>
          <w:rFonts w:hint="eastAsia" w:ascii="仿宋" w:hAnsi="仿宋" w:eastAsia="仿宋" w:cs="仿宋"/>
          <w:sz w:val="32"/>
          <w:szCs w:val="32"/>
          <w:highlight w:val="none"/>
          <w:shd w:val="clear" w:color="auto" w:fill="auto"/>
        </w:rPr>
        <w:t>万元、政府性基金拨款支出0.00万元、事业收入0.00万元、事业单位经营收入0.00万元、对附属单位上缴收入0.00万元、上年实户资金余额0.00万元、其他收入0.00万元、上年结转0万元，202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年本部门预算支出较上年增加</w:t>
      </w:r>
      <w:r>
        <w:rPr>
          <w:rFonts w:hint="eastAsia" w:ascii="仿宋" w:hAnsi="仿宋" w:eastAsia="仿宋" w:cs="仿宋"/>
          <w:sz w:val="32"/>
          <w:szCs w:val="32"/>
          <w:highlight w:val="none"/>
          <w:shd w:val="clear" w:color="auto" w:fill="auto"/>
          <w:lang w:val="en-US" w:eastAsia="zh-CN"/>
        </w:rPr>
        <w:t>26</w:t>
      </w:r>
      <w:r>
        <w:rPr>
          <w:rFonts w:hint="eastAsia" w:ascii="仿宋" w:hAnsi="仿宋" w:eastAsia="仿宋" w:cs="仿宋"/>
          <w:sz w:val="32"/>
          <w:szCs w:val="32"/>
          <w:highlight w:val="none"/>
          <w:shd w:val="clear" w:color="auto" w:fill="auto"/>
        </w:rPr>
        <w:t>万元，主要原因是</w:t>
      </w:r>
      <w:r>
        <w:rPr>
          <w:rFonts w:hint="eastAsia" w:ascii="仿宋" w:hAnsi="仿宋" w:eastAsia="仿宋" w:cs="仿宋"/>
          <w:sz w:val="32"/>
          <w:szCs w:val="32"/>
          <w:highlight w:val="none"/>
          <w:shd w:val="clear" w:color="auto" w:fill="auto"/>
          <w:lang w:eastAsia="zh-CN"/>
        </w:rPr>
        <w:t>工资福利支出增加</w:t>
      </w:r>
      <w:r>
        <w:rPr>
          <w:rFonts w:hint="eastAsia" w:ascii="仿宋" w:hAnsi="仿宋" w:eastAsia="仿宋" w:cs="仿宋"/>
          <w:sz w:val="32"/>
          <w:szCs w:val="32"/>
          <w:highlight w:val="none"/>
          <w:shd w:val="clear" w:color="auto" w:fill="auto"/>
          <w:lang w:val="en-US" w:eastAsia="zh-CN"/>
        </w:rPr>
        <w:t>17.38万元，原因为职务职级并行和工资晋级晋档，商品和服务支出增加13.62万元，原因为公务交通补贴列入了商品服务支出，专项业务经费支出减少5万元，原因为新冠疫情影响专项业务经费压缩</w:t>
      </w:r>
      <w:r>
        <w:rPr>
          <w:rFonts w:hint="eastAsia" w:ascii="仿宋" w:hAnsi="仿宋" w:eastAsia="仿宋" w:cs="仿宋"/>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年本部门财政拨款收入</w:t>
      </w:r>
      <w:r>
        <w:rPr>
          <w:rFonts w:hint="eastAsia" w:ascii="仿宋" w:hAnsi="仿宋" w:eastAsia="仿宋" w:cs="仿宋"/>
          <w:sz w:val="32"/>
          <w:szCs w:val="32"/>
          <w:highlight w:val="none"/>
          <w:shd w:val="clear" w:color="auto" w:fill="auto"/>
          <w:lang w:val="en-US" w:eastAsia="zh-CN"/>
        </w:rPr>
        <w:t>337.77</w:t>
      </w:r>
      <w:r>
        <w:rPr>
          <w:rFonts w:hint="eastAsia" w:ascii="仿宋" w:hAnsi="仿宋" w:eastAsia="仿宋" w:cs="仿宋"/>
          <w:sz w:val="32"/>
          <w:szCs w:val="32"/>
          <w:highlight w:val="none"/>
          <w:shd w:val="clear" w:color="auto" w:fill="auto"/>
        </w:rPr>
        <w:t>万元，其中一般公共预算拨款收入</w:t>
      </w:r>
      <w:r>
        <w:rPr>
          <w:rFonts w:hint="eastAsia" w:ascii="仿宋" w:hAnsi="仿宋" w:eastAsia="仿宋" w:cs="仿宋"/>
          <w:sz w:val="32"/>
          <w:szCs w:val="32"/>
          <w:highlight w:val="none"/>
          <w:shd w:val="clear" w:color="auto" w:fill="auto"/>
          <w:lang w:val="en-US" w:eastAsia="zh-CN"/>
        </w:rPr>
        <w:t>337.77</w:t>
      </w:r>
      <w:r>
        <w:rPr>
          <w:rFonts w:hint="eastAsia" w:ascii="仿宋" w:hAnsi="仿宋" w:eastAsia="仿宋" w:cs="仿宋"/>
          <w:sz w:val="32"/>
          <w:szCs w:val="32"/>
          <w:highlight w:val="none"/>
          <w:shd w:val="clear" w:color="auto" w:fill="auto"/>
        </w:rPr>
        <w:t>万元、政府性基金拨款收入0.00万元、上年结转0.00万元，202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年本部门财政拨款收入较上年增加</w:t>
      </w:r>
      <w:r>
        <w:rPr>
          <w:rFonts w:hint="eastAsia" w:ascii="仿宋" w:hAnsi="仿宋" w:eastAsia="仿宋" w:cs="仿宋"/>
          <w:sz w:val="32"/>
          <w:szCs w:val="32"/>
          <w:highlight w:val="none"/>
          <w:shd w:val="clear" w:color="auto" w:fill="auto"/>
          <w:lang w:val="en-US" w:eastAsia="zh-CN"/>
        </w:rPr>
        <w:t>26</w:t>
      </w:r>
      <w:r>
        <w:rPr>
          <w:rFonts w:hint="eastAsia" w:ascii="仿宋" w:hAnsi="仿宋" w:eastAsia="仿宋" w:cs="仿宋"/>
          <w:sz w:val="32"/>
          <w:szCs w:val="32"/>
          <w:highlight w:val="none"/>
          <w:shd w:val="clear" w:color="auto" w:fill="auto"/>
        </w:rPr>
        <w:t>万元，主要原因是</w:t>
      </w:r>
      <w:r>
        <w:rPr>
          <w:rFonts w:hint="eastAsia" w:ascii="仿宋" w:hAnsi="仿宋" w:eastAsia="仿宋" w:cs="仿宋"/>
          <w:sz w:val="32"/>
          <w:szCs w:val="32"/>
          <w:highlight w:val="none"/>
          <w:shd w:val="clear" w:color="auto" w:fill="auto"/>
          <w:lang w:eastAsia="zh-CN"/>
        </w:rPr>
        <w:t>工资福利支出增加</w:t>
      </w:r>
      <w:r>
        <w:rPr>
          <w:rFonts w:hint="eastAsia" w:ascii="仿宋" w:hAnsi="仿宋" w:eastAsia="仿宋" w:cs="仿宋"/>
          <w:sz w:val="32"/>
          <w:szCs w:val="32"/>
          <w:highlight w:val="none"/>
          <w:shd w:val="clear" w:color="auto" w:fill="auto"/>
          <w:lang w:val="en-US" w:eastAsia="zh-CN"/>
        </w:rPr>
        <w:t>17.38万元，原因为职务职级并行和工资晋级晋档，商品和服务支出增加13.62万元，原因为公务交通补贴列入了商品服务支出，专项业务经费支出减少5万元，原因为新冠疫情疫影响专项业务经费压缩</w:t>
      </w:r>
      <w:r>
        <w:rPr>
          <w:rFonts w:hint="eastAsia" w:ascii="仿宋" w:hAnsi="仿宋" w:eastAsia="仿宋" w:cs="仿宋"/>
          <w:sz w:val="32"/>
          <w:szCs w:val="32"/>
          <w:highlight w:val="none"/>
          <w:shd w:val="clear" w:color="auto" w:fill="auto"/>
        </w:rPr>
        <w:t>；202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年本部门财政拨款支出</w:t>
      </w:r>
      <w:r>
        <w:rPr>
          <w:rFonts w:hint="eastAsia" w:ascii="仿宋" w:hAnsi="仿宋" w:eastAsia="仿宋" w:cs="仿宋"/>
          <w:sz w:val="32"/>
          <w:szCs w:val="32"/>
          <w:highlight w:val="none"/>
          <w:shd w:val="clear" w:color="auto" w:fill="auto"/>
          <w:lang w:val="en-US" w:eastAsia="zh-CN"/>
        </w:rPr>
        <w:t>337.77</w:t>
      </w:r>
      <w:r>
        <w:rPr>
          <w:rFonts w:hint="eastAsia" w:ascii="仿宋" w:hAnsi="仿宋" w:eastAsia="仿宋" w:cs="仿宋"/>
          <w:sz w:val="32"/>
          <w:szCs w:val="32"/>
          <w:highlight w:val="none"/>
          <w:shd w:val="clear" w:color="auto" w:fill="auto"/>
        </w:rPr>
        <w:t>万元，其中一般公共预算拨款支出</w:t>
      </w:r>
      <w:r>
        <w:rPr>
          <w:rFonts w:hint="eastAsia" w:ascii="仿宋" w:hAnsi="仿宋" w:eastAsia="仿宋" w:cs="仿宋"/>
          <w:sz w:val="32"/>
          <w:szCs w:val="32"/>
          <w:highlight w:val="none"/>
          <w:shd w:val="clear" w:color="auto" w:fill="auto"/>
          <w:lang w:val="en-US" w:eastAsia="zh-CN"/>
        </w:rPr>
        <w:t>337.77</w:t>
      </w:r>
      <w:r>
        <w:rPr>
          <w:rFonts w:hint="eastAsia" w:ascii="仿宋" w:hAnsi="仿宋" w:eastAsia="仿宋" w:cs="仿宋"/>
          <w:sz w:val="32"/>
          <w:szCs w:val="32"/>
          <w:highlight w:val="none"/>
          <w:shd w:val="clear" w:color="auto" w:fill="auto"/>
        </w:rPr>
        <w:t>万元、政府性基金拨款支出0.00万元、上年结转0.00万元，202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年本部门财政拨款支出较上年增加</w:t>
      </w:r>
      <w:r>
        <w:rPr>
          <w:rFonts w:hint="eastAsia" w:ascii="仿宋" w:hAnsi="仿宋" w:eastAsia="仿宋" w:cs="仿宋"/>
          <w:sz w:val="32"/>
          <w:szCs w:val="32"/>
          <w:highlight w:val="none"/>
          <w:shd w:val="clear" w:color="auto" w:fill="auto"/>
          <w:lang w:val="en-US" w:eastAsia="zh-CN"/>
        </w:rPr>
        <w:t>26</w:t>
      </w:r>
      <w:r>
        <w:rPr>
          <w:rFonts w:hint="eastAsia" w:ascii="仿宋" w:hAnsi="仿宋" w:eastAsia="仿宋" w:cs="仿宋"/>
          <w:sz w:val="32"/>
          <w:szCs w:val="32"/>
          <w:highlight w:val="none"/>
          <w:shd w:val="clear" w:color="auto" w:fill="auto"/>
        </w:rPr>
        <w:t>万元，</w:t>
      </w:r>
      <w:r>
        <w:rPr>
          <w:rFonts w:hint="eastAsia" w:ascii="仿宋" w:hAnsi="仿宋" w:eastAsia="仿宋" w:cs="仿宋"/>
          <w:sz w:val="32"/>
          <w:szCs w:val="32"/>
          <w:highlight w:val="none"/>
          <w:shd w:val="clear" w:color="auto" w:fill="auto"/>
          <w:lang w:eastAsia="zh-CN"/>
        </w:rPr>
        <w:t>主要原因</w:t>
      </w:r>
      <w:r>
        <w:rPr>
          <w:rFonts w:hint="eastAsia" w:ascii="仿宋" w:hAnsi="仿宋" w:eastAsia="仿宋" w:cs="仿宋"/>
          <w:sz w:val="32"/>
          <w:szCs w:val="32"/>
          <w:highlight w:val="none"/>
          <w:shd w:val="clear" w:color="auto" w:fill="auto"/>
        </w:rPr>
        <w:t>是</w:t>
      </w:r>
      <w:r>
        <w:rPr>
          <w:rFonts w:hint="eastAsia" w:ascii="仿宋" w:hAnsi="仿宋" w:eastAsia="仿宋" w:cs="仿宋"/>
          <w:sz w:val="32"/>
          <w:szCs w:val="32"/>
          <w:highlight w:val="none"/>
          <w:shd w:val="clear" w:color="auto" w:fill="auto"/>
          <w:lang w:eastAsia="zh-CN"/>
        </w:rPr>
        <w:t>工资福利支出增加</w:t>
      </w:r>
      <w:r>
        <w:rPr>
          <w:rFonts w:hint="eastAsia" w:ascii="仿宋" w:hAnsi="仿宋" w:eastAsia="仿宋" w:cs="仿宋"/>
          <w:sz w:val="32"/>
          <w:szCs w:val="32"/>
          <w:highlight w:val="none"/>
          <w:shd w:val="clear" w:color="auto" w:fill="auto"/>
          <w:lang w:val="en-US" w:eastAsia="zh-CN"/>
        </w:rPr>
        <w:t>17.38万元，原因为职务职级并行和工资晋级晋档，商品和服务支出增加13.62万元，原因为公务交通补贴列入了商品服务支出，专项业务经费支出减少5万元，原因为新冠疫情影响专项业务经费压缩</w:t>
      </w:r>
      <w:r>
        <w:rPr>
          <w:rFonts w:hint="eastAsia" w:ascii="仿宋" w:hAnsi="仿宋" w:eastAsia="仿宋" w:cs="仿宋"/>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sz w:val="32"/>
          <w:szCs w:val="32"/>
          <w:highlight w:val="none"/>
        </w:rPr>
        <w:t>当年</w:t>
      </w:r>
      <w:r>
        <w:rPr>
          <w:rFonts w:hint="eastAsia" w:ascii="仿宋" w:hAnsi="仿宋" w:eastAsia="仿宋" w:cs="仿宋"/>
          <w:sz w:val="32"/>
          <w:szCs w:val="32"/>
        </w:rPr>
        <w:t>拨款规模变化情况。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shd w:val="clear" w:color="auto" w:fill="auto"/>
        </w:rPr>
        <w:t>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年本部门当年一般公共预算拨款支出3</w:t>
      </w:r>
      <w:r>
        <w:rPr>
          <w:rFonts w:hint="eastAsia" w:ascii="仿宋" w:hAnsi="仿宋" w:eastAsia="仿宋" w:cs="仿宋"/>
          <w:sz w:val="32"/>
          <w:szCs w:val="32"/>
          <w:highlight w:val="none"/>
          <w:shd w:val="clear" w:color="auto" w:fill="auto"/>
          <w:lang w:val="en-US" w:eastAsia="zh-CN"/>
        </w:rPr>
        <w:t>37</w:t>
      </w:r>
      <w:r>
        <w:rPr>
          <w:rFonts w:hint="eastAsia" w:ascii="仿宋" w:hAnsi="仿宋" w:eastAsia="仿宋" w:cs="仿宋"/>
          <w:sz w:val="32"/>
          <w:szCs w:val="32"/>
          <w:highlight w:val="none"/>
          <w:shd w:val="clear" w:color="auto" w:fill="auto"/>
        </w:rPr>
        <w:t>.77万元，较上年增加</w:t>
      </w:r>
      <w:r>
        <w:rPr>
          <w:rFonts w:hint="eastAsia" w:ascii="仿宋" w:hAnsi="仿宋" w:eastAsia="仿宋" w:cs="仿宋"/>
          <w:sz w:val="32"/>
          <w:szCs w:val="32"/>
          <w:highlight w:val="none"/>
          <w:shd w:val="clear" w:color="auto" w:fill="auto"/>
          <w:lang w:val="en-US" w:eastAsia="zh-CN"/>
        </w:rPr>
        <w:t>26</w:t>
      </w:r>
      <w:r>
        <w:rPr>
          <w:rFonts w:hint="eastAsia" w:ascii="仿宋" w:hAnsi="仿宋" w:eastAsia="仿宋" w:cs="仿宋"/>
          <w:sz w:val="32"/>
          <w:szCs w:val="32"/>
          <w:highlight w:val="none"/>
          <w:shd w:val="clear" w:color="auto" w:fill="auto"/>
        </w:rPr>
        <w:t>万元，主要原因是</w:t>
      </w:r>
      <w:r>
        <w:rPr>
          <w:rFonts w:hint="eastAsia" w:ascii="仿宋" w:hAnsi="仿宋" w:eastAsia="仿宋" w:cs="仿宋"/>
          <w:sz w:val="32"/>
          <w:szCs w:val="32"/>
          <w:highlight w:val="none"/>
          <w:shd w:val="clear" w:color="auto" w:fill="auto"/>
          <w:lang w:eastAsia="zh-CN"/>
        </w:rPr>
        <w:t>工资福利支出增加</w:t>
      </w:r>
      <w:r>
        <w:rPr>
          <w:rFonts w:hint="eastAsia" w:ascii="仿宋" w:hAnsi="仿宋" w:eastAsia="仿宋" w:cs="仿宋"/>
          <w:sz w:val="32"/>
          <w:szCs w:val="32"/>
          <w:highlight w:val="none"/>
          <w:shd w:val="clear" w:color="auto" w:fill="auto"/>
          <w:lang w:val="en-US" w:eastAsia="zh-CN"/>
        </w:rPr>
        <w:t>17.38万元，原因为职务职级并行和工资晋级晋档，商品和服务支出增加13.62万元，原因为公务交通补贴列入了商品服务支出，专项业务经费支出减少5万元，原因为新冠疫情影响专项业务经费压缩</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宋体"/>
          <w:lang w:eastAsia="zh-CN"/>
        </w:rPr>
      </w:pPr>
      <w:r>
        <w:rPr>
          <w:rFonts w:hint="eastAsia" w:eastAsia="宋体"/>
          <w:lang w:eastAsia="zh-CN"/>
        </w:rPr>
        <w:drawing>
          <wp:inline distT="0" distB="0" distL="114300" distR="114300">
            <wp:extent cx="4264660" cy="2432050"/>
            <wp:effectExtent l="4445" t="5080" r="17145" b="2032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337.77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26</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主要原因</w:t>
      </w:r>
      <w:r>
        <w:rPr>
          <w:rFonts w:hint="eastAsia" w:ascii="仿宋" w:hAnsi="仿宋" w:eastAsia="仿宋" w:cs="仿宋"/>
          <w:sz w:val="32"/>
          <w:szCs w:val="32"/>
          <w:highlight w:val="none"/>
          <w:shd w:val="clear" w:color="auto" w:fill="auto"/>
        </w:rPr>
        <w:t>是</w:t>
      </w:r>
      <w:r>
        <w:rPr>
          <w:rFonts w:hint="eastAsia" w:ascii="仿宋" w:hAnsi="仿宋" w:eastAsia="仿宋" w:cs="仿宋"/>
          <w:sz w:val="32"/>
          <w:szCs w:val="32"/>
          <w:highlight w:val="none"/>
          <w:shd w:val="clear" w:color="auto" w:fill="auto"/>
          <w:lang w:eastAsia="zh-CN"/>
        </w:rPr>
        <w:t>工资福利支出增加</w:t>
      </w:r>
      <w:r>
        <w:rPr>
          <w:rFonts w:hint="eastAsia" w:ascii="仿宋" w:hAnsi="仿宋" w:eastAsia="仿宋" w:cs="仿宋"/>
          <w:sz w:val="32"/>
          <w:szCs w:val="32"/>
          <w:highlight w:val="none"/>
          <w:shd w:val="clear" w:color="auto" w:fill="auto"/>
          <w:lang w:val="en-US" w:eastAsia="zh-CN"/>
        </w:rPr>
        <w:t>17.38万元，原因为职务职级并行和工资晋级晋档，商品和服务支出增加13.62万元，原因为公务交通补贴列入了商品服务支出，专项业务经费支出减少5万元，原因为新冠疫情影响专项业务经费压缩</w:t>
      </w:r>
      <w:r>
        <w:rPr>
          <w:rFonts w:hint="eastAsia" w:ascii="仿宋" w:hAnsi="仿宋" w:eastAsia="仿宋" w:cs="仿宋"/>
          <w:sz w:val="32"/>
          <w:szCs w:val="32"/>
          <w:highlight w:val="none"/>
          <w:shd w:val="clear" w:color="auto" w:fill="auto"/>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w:t>
      </w:r>
      <w:r>
        <w:rPr>
          <w:rFonts w:hint="eastAsia" w:ascii="仿宋" w:hAnsi="仿宋" w:eastAsia="仿宋" w:cs="仿宋"/>
          <w:sz w:val="32"/>
          <w:szCs w:val="32"/>
          <w:highlight w:val="none"/>
        </w:rPr>
        <w:t>功能</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337.77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w:t>
      </w:r>
      <w:r>
        <w:rPr>
          <w:rFonts w:hint="eastAsia" w:ascii="仿宋" w:hAnsi="仿宋" w:eastAsia="仿宋" w:cs="仿宋"/>
          <w:sz w:val="32"/>
          <w:szCs w:val="32"/>
          <w:lang w:val="en-US" w:eastAsia="zh-CN"/>
        </w:rPr>
        <w:t>2013301</w:t>
      </w:r>
      <w:r>
        <w:rPr>
          <w:rFonts w:hint="eastAsia" w:ascii="仿宋" w:hAnsi="仿宋" w:eastAsia="仿宋" w:cs="仿宋"/>
          <w:sz w:val="32"/>
          <w:szCs w:val="32"/>
        </w:rPr>
        <w:t>）</w:t>
      </w:r>
      <w:r>
        <w:rPr>
          <w:rFonts w:hint="eastAsia" w:ascii="仿宋" w:hAnsi="仿宋" w:eastAsia="仿宋" w:cs="仿宋"/>
          <w:sz w:val="32"/>
          <w:szCs w:val="32"/>
          <w:lang w:val="en-US" w:eastAsia="zh-CN"/>
        </w:rPr>
        <w:t>197.38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36.17</w:t>
      </w:r>
      <w:r>
        <w:rPr>
          <w:rFonts w:hint="eastAsia" w:ascii="仿宋" w:hAnsi="仿宋" w:eastAsia="仿宋" w:cs="仿宋"/>
          <w:sz w:val="32"/>
          <w:szCs w:val="32"/>
        </w:rPr>
        <w:t>万元，原因是</w:t>
      </w:r>
      <w:r>
        <w:rPr>
          <w:rFonts w:hint="eastAsia" w:ascii="仿宋" w:hAnsi="仿宋" w:eastAsia="仿宋" w:cs="仿宋"/>
          <w:sz w:val="32"/>
          <w:szCs w:val="32"/>
          <w:lang w:eastAsia="zh-CN"/>
        </w:rPr>
        <w:t>事业人员的基本工资放入事业运行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（2）事业运行（</w:t>
      </w:r>
      <w:r>
        <w:rPr>
          <w:rFonts w:hint="eastAsia" w:ascii="仿宋" w:hAnsi="仿宋" w:eastAsia="仿宋" w:cs="仿宋"/>
          <w:sz w:val="32"/>
          <w:szCs w:val="32"/>
          <w:lang w:val="en-US" w:eastAsia="zh-CN"/>
        </w:rPr>
        <w:t>2013350</w:t>
      </w:r>
      <w:r>
        <w:rPr>
          <w:rFonts w:hint="eastAsia" w:ascii="仿宋" w:hAnsi="仿宋" w:eastAsia="仿宋" w:cs="仿宋"/>
          <w:sz w:val="32"/>
          <w:szCs w:val="32"/>
        </w:rPr>
        <w:t>）</w:t>
      </w:r>
      <w:r>
        <w:rPr>
          <w:rFonts w:hint="eastAsia" w:ascii="仿宋" w:hAnsi="仿宋" w:eastAsia="仿宋" w:cs="仿宋"/>
          <w:sz w:val="32"/>
          <w:szCs w:val="32"/>
          <w:lang w:val="en-US" w:eastAsia="zh-CN"/>
        </w:rPr>
        <w:t>85.13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56.89</w:t>
      </w:r>
      <w:r>
        <w:rPr>
          <w:rFonts w:hint="eastAsia" w:ascii="仿宋" w:hAnsi="仿宋" w:eastAsia="仿宋" w:cs="仿宋"/>
          <w:sz w:val="32"/>
          <w:szCs w:val="32"/>
        </w:rPr>
        <w:t>万元，原因是</w:t>
      </w:r>
      <w:r>
        <w:rPr>
          <w:rFonts w:hint="eastAsia" w:ascii="仿宋" w:hAnsi="仿宋" w:eastAsia="仿宋" w:cs="仿宋"/>
          <w:sz w:val="32"/>
          <w:szCs w:val="32"/>
          <w:lang w:eastAsia="zh-CN"/>
        </w:rPr>
        <w:t>上年事业人员基本工资放入行政运行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（3）机关事业单位基本养老保险缴费支出（</w:t>
      </w:r>
      <w:r>
        <w:rPr>
          <w:rFonts w:hint="eastAsia" w:ascii="仿宋" w:hAnsi="仿宋" w:eastAsia="仿宋" w:cs="仿宋"/>
          <w:sz w:val="32"/>
          <w:szCs w:val="32"/>
          <w:lang w:val="en-US" w:eastAsia="zh-CN"/>
        </w:rPr>
        <w:t>2080505</w:t>
      </w:r>
      <w:r>
        <w:rPr>
          <w:rFonts w:hint="eastAsia" w:ascii="仿宋" w:hAnsi="仿宋" w:eastAsia="仿宋" w:cs="仿宋"/>
          <w:sz w:val="32"/>
          <w:szCs w:val="32"/>
        </w:rPr>
        <w:t>）</w:t>
      </w:r>
      <w:r>
        <w:rPr>
          <w:rFonts w:hint="eastAsia" w:ascii="仿宋" w:hAnsi="仿宋" w:eastAsia="仿宋" w:cs="仿宋"/>
          <w:sz w:val="32"/>
          <w:szCs w:val="32"/>
          <w:lang w:val="en-US" w:eastAsia="zh-CN"/>
        </w:rPr>
        <w:t>24.63万元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3.28</w:t>
      </w:r>
      <w:r>
        <w:rPr>
          <w:rFonts w:hint="eastAsia" w:ascii="仿宋" w:hAnsi="仿宋" w:eastAsia="仿宋" w:cs="仿宋"/>
          <w:sz w:val="32"/>
          <w:szCs w:val="32"/>
        </w:rPr>
        <w:t>万元，原因是</w:t>
      </w:r>
      <w:r>
        <w:rPr>
          <w:rFonts w:hint="eastAsia" w:ascii="仿宋" w:hAnsi="仿宋" w:eastAsia="仿宋" w:cs="仿宋"/>
          <w:sz w:val="32"/>
          <w:szCs w:val="32"/>
          <w:lang w:eastAsia="zh-CN"/>
        </w:rPr>
        <w:t>工资基数增加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行政单位医疗</w:t>
      </w:r>
      <w:r>
        <w:rPr>
          <w:rFonts w:hint="eastAsia" w:ascii="仿宋" w:hAnsi="仿宋" w:eastAsia="仿宋" w:cs="仿宋"/>
          <w:sz w:val="32"/>
          <w:szCs w:val="32"/>
        </w:rPr>
        <w:t>（</w:t>
      </w:r>
      <w:r>
        <w:rPr>
          <w:rFonts w:hint="eastAsia" w:ascii="仿宋" w:hAnsi="仿宋" w:eastAsia="仿宋" w:cs="仿宋"/>
          <w:sz w:val="32"/>
          <w:szCs w:val="32"/>
          <w:lang w:val="en-US" w:eastAsia="zh-CN"/>
        </w:rPr>
        <w:t>2101101</w:t>
      </w:r>
      <w:r>
        <w:rPr>
          <w:rFonts w:hint="eastAsia" w:ascii="仿宋" w:hAnsi="仿宋" w:eastAsia="仿宋" w:cs="仿宋"/>
          <w:sz w:val="32"/>
          <w:szCs w:val="32"/>
        </w:rPr>
        <w:t>）</w:t>
      </w:r>
      <w:r>
        <w:rPr>
          <w:rFonts w:hint="eastAsia" w:ascii="仿宋" w:hAnsi="仿宋" w:eastAsia="仿宋" w:cs="仿宋"/>
          <w:sz w:val="32"/>
          <w:szCs w:val="32"/>
          <w:lang w:val="en-US" w:eastAsia="zh-CN"/>
        </w:rPr>
        <w:t>12.11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1.66</w:t>
      </w:r>
      <w:r>
        <w:rPr>
          <w:rFonts w:hint="eastAsia" w:ascii="仿宋" w:hAnsi="仿宋" w:eastAsia="仿宋" w:cs="仿宋"/>
          <w:sz w:val="32"/>
          <w:szCs w:val="32"/>
        </w:rPr>
        <w:t>万元，原因是</w:t>
      </w:r>
      <w:r>
        <w:rPr>
          <w:rFonts w:hint="eastAsia" w:ascii="仿宋" w:hAnsi="仿宋" w:eastAsia="仿宋" w:cs="仿宋"/>
          <w:sz w:val="32"/>
          <w:szCs w:val="32"/>
          <w:lang w:eastAsia="zh-CN"/>
        </w:rPr>
        <w:t>工资基数增加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住房公积金</w:t>
      </w:r>
      <w:r>
        <w:rPr>
          <w:rFonts w:hint="eastAsia" w:ascii="仿宋" w:hAnsi="仿宋" w:eastAsia="仿宋" w:cs="仿宋"/>
          <w:sz w:val="32"/>
          <w:szCs w:val="32"/>
        </w:rPr>
        <w:t>（</w:t>
      </w:r>
      <w:r>
        <w:rPr>
          <w:rFonts w:hint="eastAsia" w:ascii="仿宋" w:hAnsi="仿宋" w:eastAsia="仿宋" w:cs="仿宋"/>
          <w:sz w:val="32"/>
          <w:szCs w:val="32"/>
          <w:lang w:val="en-US" w:eastAsia="zh-CN"/>
        </w:rPr>
        <w:t>2210201</w:t>
      </w:r>
      <w:r>
        <w:rPr>
          <w:rFonts w:hint="eastAsia" w:ascii="仿宋" w:hAnsi="仿宋" w:eastAsia="仿宋" w:cs="仿宋"/>
          <w:sz w:val="32"/>
          <w:szCs w:val="32"/>
        </w:rPr>
        <w:t>）</w:t>
      </w:r>
      <w:r>
        <w:rPr>
          <w:rFonts w:hint="eastAsia" w:ascii="仿宋" w:hAnsi="仿宋" w:eastAsia="仿宋" w:cs="仿宋"/>
          <w:sz w:val="32"/>
          <w:szCs w:val="32"/>
          <w:lang w:val="en-US" w:eastAsia="zh-CN"/>
        </w:rPr>
        <w:t>18.52</w:t>
      </w:r>
      <w:r>
        <w:rPr>
          <w:rFonts w:hint="eastAsia" w:ascii="仿宋" w:hAnsi="仿宋" w:eastAsia="仿宋" w:cs="仿宋"/>
          <w:sz w:val="32"/>
          <w:szCs w:val="32"/>
        </w:rPr>
        <w:t>万元，较</w:t>
      </w:r>
      <w:r>
        <w:rPr>
          <w:rFonts w:hint="eastAsia" w:ascii="仿宋" w:hAnsi="仿宋" w:eastAsia="仿宋" w:cs="仿宋"/>
          <w:sz w:val="32"/>
          <w:szCs w:val="32"/>
          <w:lang w:val="en-US" w:eastAsia="zh-CN"/>
        </w:rPr>
        <w:t>上年增加0.34，原因是工资基数增加；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w:t>
      </w:r>
      <w:r>
        <w:rPr>
          <w:rFonts w:hint="eastAsia" w:ascii="仿宋" w:hAnsi="仿宋" w:eastAsia="仿宋" w:cs="仿宋"/>
          <w:sz w:val="32"/>
          <w:szCs w:val="32"/>
          <w:highlight w:val="none"/>
        </w:rPr>
        <w:t>经济</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shd w:val="clear" w:color="auto" w:fill="auto"/>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337.77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223.07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32.38</w:t>
      </w:r>
      <w:r>
        <w:rPr>
          <w:rFonts w:hint="eastAsia" w:ascii="仿宋" w:hAnsi="仿宋" w:eastAsia="仿宋" w:cs="仿宋"/>
          <w:sz w:val="32"/>
          <w:szCs w:val="32"/>
        </w:rPr>
        <w:t>万元，原因是</w:t>
      </w:r>
      <w:r>
        <w:rPr>
          <w:rFonts w:hint="eastAsia" w:ascii="仿宋" w:hAnsi="仿宋" w:eastAsia="仿宋" w:cs="仿宋"/>
          <w:sz w:val="32"/>
          <w:szCs w:val="32"/>
          <w:lang w:eastAsia="zh-CN"/>
        </w:rPr>
        <w:t>职务职级并行，工资晋级晋档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114.42</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6.38</w:t>
      </w:r>
      <w:r>
        <w:rPr>
          <w:rFonts w:hint="eastAsia" w:ascii="仿宋" w:hAnsi="仿宋" w:eastAsia="仿宋" w:cs="仿宋"/>
          <w:sz w:val="32"/>
          <w:szCs w:val="32"/>
        </w:rPr>
        <w:t>万元，原因是</w:t>
      </w:r>
      <w:r>
        <w:rPr>
          <w:rFonts w:hint="eastAsia" w:ascii="仿宋" w:hAnsi="仿宋" w:eastAsia="仿宋" w:cs="仿宋"/>
          <w:sz w:val="32"/>
          <w:szCs w:val="32"/>
          <w:lang w:eastAsia="zh-CN"/>
        </w:rPr>
        <w:t>疫情影响经费压缩</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0.28</w:t>
      </w:r>
      <w:r>
        <w:rPr>
          <w:rFonts w:hint="eastAsia" w:ascii="仿宋" w:hAnsi="仿宋" w:eastAsia="仿宋" w:cs="仿宋"/>
          <w:sz w:val="32"/>
          <w:szCs w:val="32"/>
        </w:rPr>
        <w:t>万元，较上年</w:t>
      </w:r>
      <w:r>
        <w:rPr>
          <w:rFonts w:hint="eastAsia" w:ascii="仿宋" w:hAnsi="仿宋" w:eastAsia="仿宋" w:cs="仿宋"/>
          <w:sz w:val="32"/>
          <w:szCs w:val="32"/>
          <w:lang w:eastAsia="zh-CN"/>
        </w:rPr>
        <w:t>无变化</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highlight w:val="none"/>
        </w:rPr>
        <w:t>政府预算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337.77</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223.07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32.38</w:t>
      </w:r>
      <w:r>
        <w:rPr>
          <w:rFonts w:hint="eastAsia" w:ascii="仿宋" w:hAnsi="仿宋" w:eastAsia="仿宋" w:cs="仿宋"/>
          <w:sz w:val="32"/>
          <w:szCs w:val="32"/>
        </w:rPr>
        <w:t>万元，原因是</w:t>
      </w:r>
      <w:r>
        <w:rPr>
          <w:rFonts w:hint="eastAsia" w:ascii="仿宋" w:hAnsi="仿宋" w:eastAsia="仿宋" w:cs="仿宋"/>
          <w:sz w:val="32"/>
          <w:szCs w:val="32"/>
          <w:lang w:eastAsia="zh-CN"/>
        </w:rPr>
        <w:t>职务职级并行，工资晋级晋档</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114.42</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6.38</w:t>
      </w:r>
      <w:r>
        <w:rPr>
          <w:rFonts w:hint="eastAsia" w:ascii="仿宋" w:hAnsi="仿宋" w:eastAsia="仿宋" w:cs="仿宋"/>
          <w:sz w:val="32"/>
          <w:szCs w:val="32"/>
        </w:rPr>
        <w:t>万元，原因是</w:t>
      </w:r>
      <w:r>
        <w:rPr>
          <w:rFonts w:hint="eastAsia" w:ascii="仿宋" w:hAnsi="仿宋" w:eastAsia="仿宋" w:cs="仿宋"/>
          <w:sz w:val="32"/>
          <w:szCs w:val="32"/>
          <w:lang w:eastAsia="zh-CN"/>
        </w:rPr>
        <w:t>疫情影响经费压缩</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shd w:val="clear" w:color="auto" w:fill="auto"/>
          <w:lang w:eastAsia="zh-CN"/>
        </w:rPr>
        <w:t>对个人和家庭的补助</w:t>
      </w:r>
      <w:r>
        <w:rPr>
          <w:rFonts w:hint="eastAsia" w:ascii="仿宋" w:hAnsi="仿宋" w:eastAsia="仿宋" w:cs="仿宋"/>
          <w:sz w:val="32"/>
          <w:szCs w:val="32"/>
          <w:highlight w:val="none"/>
          <w:shd w:val="clear" w:color="auto" w:fill="auto"/>
        </w:rPr>
        <w:t>（50</w:t>
      </w:r>
      <w:r>
        <w:rPr>
          <w:rFonts w:hint="eastAsia" w:ascii="仿宋" w:hAnsi="仿宋" w:eastAsia="仿宋" w:cs="仿宋"/>
          <w:sz w:val="32"/>
          <w:szCs w:val="32"/>
          <w:highlight w:val="none"/>
          <w:shd w:val="clear" w:color="auto" w:fill="auto"/>
          <w:lang w:val="en-US" w:eastAsia="zh-CN"/>
        </w:rPr>
        <w:t>9</w:t>
      </w: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val="en-US" w:eastAsia="zh-CN"/>
        </w:rPr>
        <w:t>0.28</w:t>
      </w:r>
      <w:r>
        <w:rPr>
          <w:rFonts w:hint="eastAsia" w:ascii="仿宋" w:hAnsi="仿宋" w:eastAsia="仿宋" w:cs="仿宋"/>
          <w:sz w:val="32"/>
          <w:szCs w:val="32"/>
          <w:highlight w:val="none"/>
          <w:shd w:val="clear" w:color="auto" w:fill="auto"/>
        </w:rPr>
        <w:t>万元</w:t>
      </w:r>
      <w:r>
        <w:rPr>
          <w:rFonts w:hint="eastAsia" w:ascii="仿宋" w:hAnsi="仿宋" w:eastAsia="仿宋" w:cs="仿宋"/>
          <w:sz w:val="32"/>
          <w:szCs w:val="32"/>
          <w:highlight w:val="none"/>
          <w:shd w:val="clear" w:color="auto" w:fill="auto"/>
          <w:lang w:eastAsia="zh-CN"/>
        </w:rPr>
        <w:t>，较上年无变化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val="0"/>
        <w:spacing w:line="336"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val="0"/>
        <w:spacing w:line="336" w:lineRule="auto"/>
        <w:ind w:firstLine="640"/>
        <w:textAlignment w:val="auto"/>
        <w:rPr>
          <w:rFonts w:ascii="仿宋" w:hAnsi="仿宋" w:eastAsia="仿宋" w:cs="仿宋"/>
          <w:sz w:val="32"/>
          <w:szCs w:val="32"/>
          <w:highlight w:val="none"/>
          <w:shd w:val="clear" w:color="auto" w:fill="auto"/>
        </w:rPr>
      </w:pPr>
      <w:r>
        <w:rPr>
          <w:rFonts w:hint="eastAsia" w:ascii="仿宋" w:hAnsi="仿宋" w:eastAsia="仿宋" w:cs="仿宋"/>
          <w:b/>
          <w:bCs/>
          <w:sz w:val="32"/>
          <w:szCs w:val="32"/>
        </w:rPr>
        <w:t xml:space="preserve">  </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lang w:val="en-US" w:eastAsia="zh-CN"/>
        </w:rPr>
        <w:t>1</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rPr>
        <w:t>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rPr>
        <w:t>年本部门当年一般公共预算“三公”经费预算支出10.00万元，较上年增减（减少）0万元（0%）。其中：因公出国（境）经费0.00万元，较上年增加（减少）0万元（0%）；公务接待费10.00万元，较上年增加（减少）0万元（0%）；公务用车运行维护费0.00万元，较上年增加（减少）0万元（0%）；公务用车购置费0.00万元，较上年增加（减少）0万元（0%）。</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highlight w:val="none"/>
          <w:shd w:val="clear" w:color="auto" w:fill="auto"/>
          <w:lang w:val="en-US" w:eastAsia="zh-CN"/>
        </w:rPr>
        <w:t>2</w:t>
      </w:r>
      <w:r>
        <w:rPr>
          <w:rFonts w:hint="eastAsia" w:ascii="仿宋" w:hAnsi="仿宋" w:eastAsia="仿宋" w:cs="仿宋"/>
          <w:sz w:val="32"/>
          <w:szCs w:val="32"/>
          <w:highlight w:val="none"/>
          <w:shd w:val="clear" w:color="auto" w:fill="auto"/>
          <w:lang w:eastAsia="zh-CN"/>
        </w:rPr>
        <w:t>）202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lang w:eastAsia="zh-CN"/>
        </w:rPr>
        <w:t>年</w:t>
      </w:r>
      <w:r>
        <w:rPr>
          <w:rFonts w:hint="eastAsia" w:ascii="仿宋" w:hAnsi="仿宋" w:eastAsia="仿宋" w:cs="仿宋"/>
          <w:sz w:val="32"/>
          <w:szCs w:val="32"/>
          <w:highlight w:val="none"/>
          <w:shd w:val="clear" w:color="auto" w:fill="auto"/>
        </w:rPr>
        <w:t>本部门当年</w:t>
      </w:r>
      <w:r>
        <w:rPr>
          <w:rFonts w:hint="eastAsia" w:ascii="仿宋" w:hAnsi="仿宋" w:eastAsia="仿宋" w:cs="仿宋"/>
          <w:sz w:val="32"/>
          <w:szCs w:val="32"/>
          <w:highlight w:val="none"/>
          <w:shd w:val="clear" w:color="auto" w:fill="auto"/>
          <w:lang w:eastAsia="zh-CN"/>
        </w:rPr>
        <w:t>会议费</w:t>
      </w:r>
      <w:r>
        <w:rPr>
          <w:rFonts w:hint="eastAsia" w:ascii="仿宋" w:hAnsi="仿宋" w:eastAsia="仿宋" w:cs="仿宋"/>
          <w:sz w:val="32"/>
          <w:szCs w:val="32"/>
          <w:highlight w:val="none"/>
          <w:shd w:val="clear" w:color="auto" w:fill="auto"/>
        </w:rPr>
        <w:t>预算支出</w:t>
      </w:r>
      <w:r>
        <w:rPr>
          <w:rFonts w:hint="eastAsia" w:ascii="仿宋" w:hAnsi="仿宋" w:eastAsia="仿宋" w:cs="仿宋"/>
          <w:sz w:val="32"/>
          <w:szCs w:val="32"/>
          <w:highlight w:val="none"/>
          <w:shd w:val="clear" w:color="auto" w:fill="auto"/>
          <w:lang w:val="en-US" w:eastAsia="zh-CN"/>
        </w:rPr>
        <w:t>5</w:t>
      </w:r>
      <w:r>
        <w:rPr>
          <w:rFonts w:hint="eastAsia" w:ascii="仿宋" w:hAnsi="仿宋" w:eastAsia="仿宋" w:cs="仿宋"/>
          <w:sz w:val="32"/>
          <w:szCs w:val="32"/>
          <w:highlight w:val="none"/>
          <w:shd w:val="clear" w:color="auto" w:fill="auto"/>
        </w:rPr>
        <w:t>万元，较上年增加（减少）</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万元（</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eastAsia="zh-CN"/>
        </w:rPr>
        <w:t>培训费</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万元，较上年增加（减少）</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万元（</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w:t>
      </w:r>
      <w:r>
        <w:rPr>
          <w:rFonts w:hint="eastAsia" w:ascii="仿宋" w:hAnsi="仿宋" w:eastAsia="仿宋" w:cs="仿宋"/>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pPr>
      <w:r>
        <w:rPr>
          <w:rFonts w:hint="eastAsia" w:ascii="仿宋" w:hAnsi="仿宋" w:eastAsia="仿宋" w:cs="仿宋"/>
          <w:color w:val="000000" w:themeColor="text1"/>
          <w:sz w:val="32"/>
          <w:szCs w:val="32"/>
          <w:highlight w:val="none"/>
          <w:shd w:val="clear" w:color="auto" w:fill="auto"/>
          <w14:textFill>
            <w14:solidFill>
              <w14:schemeClr w14:val="tx1"/>
            </w14:solidFill>
          </w14:textFill>
        </w:rPr>
        <w:t>本部门无</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202</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2</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年</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结转的财政拨款‘三公’经费</w:t>
      </w:r>
      <w:r>
        <w:rPr>
          <w:rFonts w:hint="eastAsia" w:ascii="仿宋" w:hAnsi="仿宋" w:eastAsia="仿宋" w:cs="仿宋"/>
          <w:color w:val="000000" w:themeColor="text1"/>
          <w:sz w:val="32"/>
          <w:szCs w:val="32"/>
          <w:highlight w:val="none"/>
          <w:shd w:val="clear" w:color="auto" w:fill="auto"/>
          <w:lang w:eastAsia="zh-CN"/>
          <w14:textFill>
            <w14:solidFill>
              <w14:schemeClr w14:val="tx1"/>
            </w14:solidFill>
          </w14:textFill>
        </w:rPr>
        <w:t>和会议费、培训费</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截止</w:t>
      </w:r>
      <w:r>
        <w:rPr>
          <w:rFonts w:hint="eastAsia" w:ascii="仿宋" w:hAnsi="仿宋" w:eastAsia="仿宋" w:cs="仿宋"/>
          <w:sz w:val="32"/>
          <w:szCs w:val="32"/>
          <w:highlight w:val="none"/>
          <w:shd w:val="clear" w:color="auto" w:fill="auto"/>
          <w:lang w:eastAsia="zh-CN"/>
        </w:rPr>
        <w:t>202</w:t>
      </w:r>
      <w:r>
        <w:rPr>
          <w:rFonts w:hint="eastAsia" w:ascii="仿宋" w:hAnsi="仿宋" w:eastAsia="仿宋" w:cs="仿宋"/>
          <w:sz w:val="32"/>
          <w:szCs w:val="32"/>
          <w:highlight w:val="none"/>
          <w:shd w:val="clear" w:color="auto" w:fill="auto"/>
          <w:lang w:val="en-US" w:eastAsia="zh-CN"/>
        </w:rPr>
        <w:t>2</w:t>
      </w:r>
      <w:r>
        <w:rPr>
          <w:rFonts w:hint="eastAsia" w:ascii="仿宋" w:hAnsi="仿宋" w:eastAsia="仿宋" w:cs="仿宋"/>
          <w:sz w:val="32"/>
          <w:szCs w:val="32"/>
          <w:highlight w:val="none"/>
          <w:shd w:val="clear" w:color="auto" w:fill="auto"/>
          <w:lang w:eastAsia="zh-CN"/>
        </w:rPr>
        <w:t>年</w:t>
      </w:r>
      <w:r>
        <w:rPr>
          <w:rFonts w:hint="eastAsia" w:ascii="仿宋" w:hAnsi="仿宋" w:eastAsia="仿宋" w:cs="仿宋"/>
          <w:sz w:val="32"/>
          <w:szCs w:val="32"/>
          <w:highlight w:val="none"/>
          <w:shd w:val="clear" w:color="auto" w:fill="auto"/>
        </w:rPr>
        <w:t>底，本部门所属预算单位共有车辆</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辆，单价20万元以上的设备</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台（套）。</w:t>
      </w:r>
      <w:r>
        <w:rPr>
          <w:rFonts w:hint="eastAsia" w:ascii="仿宋" w:hAnsi="仿宋" w:eastAsia="仿宋" w:cs="仿宋"/>
          <w:sz w:val="32"/>
          <w:szCs w:val="32"/>
          <w:highlight w:val="none"/>
          <w:shd w:val="clear" w:color="auto" w:fill="auto"/>
          <w:lang w:eastAsia="zh-CN"/>
        </w:rPr>
        <w:t>202</w:t>
      </w:r>
      <w:r>
        <w:rPr>
          <w:rFonts w:hint="eastAsia" w:ascii="仿宋" w:hAnsi="仿宋" w:eastAsia="仿宋" w:cs="仿宋"/>
          <w:sz w:val="32"/>
          <w:szCs w:val="32"/>
          <w:highlight w:val="none"/>
          <w:shd w:val="clear" w:color="auto" w:fill="auto"/>
          <w:lang w:val="en-US" w:eastAsia="zh-CN"/>
        </w:rPr>
        <w:t>3</w:t>
      </w:r>
      <w:r>
        <w:rPr>
          <w:rFonts w:hint="eastAsia" w:ascii="仿宋" w:hAnsi="仿宋" w:eastAsia="仿宋" w:cs="仿宋"/>
          <w:sz w:val="32"/>
          <w:szCs w:val="32"/>
          <w:highlight w:val="none"/>
          <w:shd w:val="clear" w:color="auto" w:fill="auto"/>
          <w:lang w:eastAsia="zh-CN"/>
        </w:rPr>
        <w:t>年</w:t>
      </w:r>
      <w:r>
        <w:rPr>
          <w:rFonts w:hint="eastAsia" w:ascii="仿宋" w:hAnsi="仿宋" w:eastAsia="仿宋" w:cs="仿宋"/>
          <w:sz w:val="32"/>
          <w:szCs w:val="32"/>
          <w:highlight w:val="none"/>
          <w:shd w:val="clear" w:color="auto" w:fill="auto"/>
        </w:rPr>
        <w:t>当年部门预算安排购置车辆</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辆；安排购置单价20万元以上的设备</w:t>
      </w:r>
      <w:r>
        <w:rPr>
          <w:rFonts w:hint="eastAsia" w:ascii="仿宋" w:hAnsi="仿宋" w:eastAsia="仿宋" w:cs="仿宋"/>
          <w:sz w:val="32"/>
          <w:szCs w:val="32"/>
          <w:highlight w:val="none"/>
          <w:shd w:val="clear" w:color="auto" w:fill="auto"/>
          <w:lang w:val="en-US" w:eastAsia="zh-CN"/>
        </w:rPr>
        <w:t>0</w:t>
      </w:r>
      <w:r>
        <w:rPr>
          <w:rFonts w:hint="eastAsia" w:ascii="仿宋" w:hAnsi="仿宋" w:eastAsia="仿宋" w:cs="仿宋"/>
          <w:sz w:val="32"/>
          <w:szCs w:val="32"/>
          <w:highlight w:val="none"/>
          <w:shd w:val="clear" w:color="auto" w:fill="auto"/>
        </w:rPr>
        <w:t>台（套）。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shd w:val="clear" w:color="auto" w:fill="auto"/>
        </w:rPr>
        <w:t>本部门无</w:t>
      </w:r>
      <w:r>
        <w:rPr>
          <w:rFonts w:hint="eastAsia" w:ascii="仿宋" w:hAnsi="仿宋" w:eastAsia="仿宋" w:cs="仿宋"/>
          <w:sz w:val="32"/>
          <w:szCs w:val="32"/>
          <w:highlight w:val="none"/>
          <w:shd w:val="clear" w:color="auto" w:fill="auto"/>
          <w:lang w:eastAsia="zh-CN"/>
        </w:rPr>
        <w:t>2021年</w:t>
      </w:r>
      <w:r>
        <w:rPr>
          <w:rFonts w:hint="eastAsia" w:ascii="仿宋" w:hAnsi="仿宋" w:eastAsia="仿宋" w:cs="仿宋"/>
          <w:sz w:val="32"/>
          <w:szCs w:val="32"/>
          <w:highlight w:val="none"/>
          <w:shd w:val="clear" w:color="auto" w:fill="auto"/>
        </w:rPr>
        <w:t>结转的财政拨款支出资产购置。</w:t>
      </w:r>
    </w:p>
    <w:p>
      <w:pPr>
        <w:keepNext w:val="0"/>
        <w:keepLines w:val="0"/>
        <w:pageBreakBefore w:val="0"/>
        <w:widowControl w:val="0"/>
        <w:numPr>
          <w:ilvl w:val="0"/>
          <w:numId w:val="6"/>
        </w:numPr>
        <w:kinsoku/>
        <w:wordWrap/>
        <w:overflowPunct/>
        <w:topLinePunct w:val="0"/>
        <w:autoSpaceDE/>
        <w:autoSpaceDN/>
        <w:bidi w:val="0"/>
        <w:adjustRightInd/>
        <w:snapToGrid w:val="0"/>
        <w:spacing w:line="336" w:lineRule="auto"/>
        <w:ind w:left="317" w:leftChars="0" w:firstLine="48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部门政府采购情况说明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当年本部门政府采购预算共</w:t>
      </w:r>
      <w:r>
        <w:rPr>
          <w:rFonts w:hint="eastAsia" w:ascii="仿宋" w:hAnsi="仿宋" w:eastAsia="仿宋" w:cs="仿宋"/>
          <w:sz w:val="32"/>
          <w:szCs w:val="32"/>
          <w:lang w:val="en-US" w:eastAsia="zh-CN"/>
        </w:rPr>
        <w:t>5</w:t>
      </w:r>
      <w:r>
        <w:rPr>
          <w:rFonts w:hint="eastAsia" w:ascii="仿宋" w:hAnsi="仿宋" w:eastAsia="仿宋" w:cs="仿宋"/>
          <w:sz w:val="32"/>
          <w:szCs w:val="32"/>
        </w:rPr>
        <w:t>万元，其中政府采</w:t>
      </w:r>
      <w:r>
        <w:rPr>
          <w:rFonts w:hint="eastAsia" w:ascii="仿宋" w:hAnsi="仿宋" w:eastAsia="仿宋" w:cs="仿宋"/>
          <w:sz w:val="32"/>
          <w:szCs w:val="32"/>
          <w:highlight w:val="none"/>
        </w:rPr>
        <w:t>购货物类预算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万元、政府采购服务类预算</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万元、政府采购工程类预算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万元（详见公开报表中的政</w:t>
      </w:r>
      <w:r>
        <w:rPr>
          <w:rFonts w:hint="eastAsia" w:ascii="仿宋" w:hAnsi="仿宋" w:eastAsia="仿宋" w:cs="仿宋"/>
          <w:sz w:val="32"/>
          <w:szCs w:val="32"/>
        </w:rPr>
        <w:t>府采购表）。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shd w:val="clear" w:color="auto" w:fill="auto"/>
          <w:lang w:eastAsia="zh-CN"/>
        </w:rPr>
      </w:pPr>
      <w:r>
        <w:rPr>
          <w:rFonts w:hint="eastAsia" w:ascii="仿宋" w:hAnsi="仿宋" w:eastAsia="仿宋" w:cs="仿宋"/>
          <w:sz w:val="32"/>
          <w:szCs w:val="32"/>
          <w:highlight w:val="none"/>
          <w:shd w:val="clear" w:color="auto" w:fill="auto"/>
        </w:rPr>
        <w:t>本部门无</w:t>
      </w:r>
      <w:r>
        <w:rPr>
          <w:rFonts w:hint="eastAsia" w:ascii="仿宋" w:hAnsi="仿宋" w:eastAsia="仿宋" w:cs="仿宋"/>
          <w:sz w:val="32"/>
          <w:szCs w:val="32"/>
          <w:highlight w:val="none"/>
          <w:shd w:val="clear" w:color="auto" w:fill="auto"/>
          <w:lang w:eastAsia="zh-CN"/>
        </w:rPr>
        <w:t>202</w:t>
      </w:r>
      <w:r>
        <w:rPr>
          <w:rFonts w:hint="eastAsia" w:ascii="仿宋" w:hAnsi="仿宋" w:eastAsia="仿宋" w:cs="仿宋"/>
          <w:sz w:val="32"/>
          <w:szCs w:val="32"/>
          <w:highlight w:val="none"/>
          <w:shd w:val="clear" w:color="auto" w:fill="auto"/>
          <w:lang w:val="en-US" w:eastAsia="zh-CN"/>
        </w:rPr>
        <w:t>2</w:t>
      </w:r>
      <w:r>
        <w:rPr>
          <w:rFonts w:hint="eastAsia" w:ascii="仿宋" w:hAnsi="仿宋" w:eastAsia="仿宋" w:cs="仿宋"/>
          <w:sz w:val="32"/>
          <w:szCs w:val="32"/>
          <w:highlight w:val="none"/>
          <w:shd w:val="clear" w:color="auto" w:fill="auto"/>
          <w:lang w:eastAsia="zh-CN"/>
        </w:rPr>
        <w:t>年</w:t>
      </w:r>
      <w:r>
        <w:rPr>
          <w:rFonts w:hint="eastAsia" w:ascii="仿宋" w:hAnsi="仿宋" w:eastAsia="仿宋" w:cs="仿宋"/>
          <w:sz w:val="32"/>
          <w:szCs w:val="32"/>
          <w:highlight w:val="none"/>
          <w:shd w:val="clear" w:color="auto" w:fill="auto"/>
        </w:rPr>
        <w:t>结转的政府采购资金支出</w:t>
      </w:r>
      <w:r>
        <w:rPr>
          <w:rFonts w:hint="eastAsia" w:ascii="仿宋" w:hAnsi="仿宋" w:eastAsia="仿宋" w:cs="仿宋"/>
          <w:sz w:val="32"/>
          <w:szCs w:val="32"/>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337.77</w:t>
      </w:r>
      <w:r>
        <w:rPr>
          <w:rFonts w:hint="eastAsia" w:ascii="仿宋" w:hAnsi="仿宋" w:eastAsia="仿宋" w:cs="仿宋"/>
          <w:sz w:val="32"/>
          <w:szCs w:val="32"/>
        </w:rPr>
        <w:t>万元</w:t>
      </w:r>
      <w:r>
        <w:rPr>
          <w:rFonts w:hint="eastAsia" w:ascii="仿宋" w:hAnsi="仿宋" w:eastAsia="仿宋" w:cs="仿宋"/>
          <w:sz w:val="32"/>
          <w:szCs w:val="32"/>
          <w:lang w:eastAsia="zh-CN"/>
        </w:rPr>
        <w:t>，</w:t>
      </w:r>
      <w:bookmarkStart w:id="0" w:name="_GoBack"/>
      <w:bookmarkEnd w:id="0"/>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25.26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15.54</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上年公车补贴列入了机关运行经费，今年公车补贴列入了人员经费支出</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960" w:leftChars="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rPr>
          <w:rFonts w:ascii="仿宋" w:hAnsi="仿宋" w:eastAsia="仿宋" w:cs="仿宋"/>
          <w:sz w:val="32"/>
          <w:szCs w:val="32"/>
          <w:highlight w:val="none"/>
          <w:shd w:val="clear" w:color="auto" w:fill="auto"/>
        </w:rPr>
      </w:pPr>
      <w:r>
        <w:rPr>
          <w:rFonts w:hint="eastAsia" w:ascii="仿宋" w:hAnsi="仿宋" w:eastAsia="仿宋" w:cs="仿宋"/>
          <w:sz w:val="32"/>
          <w:szCs w:val="32"/>
          <w:highlight w:val="none"/>
          <w:shd w:val="clear" w:color="auto" w:fill="auto"/>
        </w:rPr>
        <w:t>2、“三公经费”：指用财政拨款安排的因公出国（境）费用、公务用车购置及运行费和公务接待费用。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sectPr>
      <w:pgSz w:w="11906" w:h="16838"/>
      <w:pgMar w:top="2098" w:right="1474" w:bottom="1984" w:left="1587" w:header="851" w:footer="992" w:gutter="0"/>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9E6A0328"/>
    <w:multiLevelType w:val="singleLevel"/>
    <w:tmpl w:val="9E6A0328"/>
    <w:lvl w:ilvl="0" w:tentative="0">
      <w:start w:val="1"/>
      <w:numFmt w:val="decimal"/>
      <w:suff w:val="nothing"/>
      <w:lvlText w:val="%1、"/>
      <w:lvlJc w:val="left"/>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b/>
        <w:bCs/>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791D26"/>
    <w:rsid w:val="0466605A"/>
    <w:rsid w:val="048713BB"/>
    <w:rsid w:val="04F35073"/>
    <w:rsid w:val="061D2748"/>
    <w:rsid w:val="06D7231D"/>
    <w:rsid w:val="07156A7F"/>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1417DB"/>
    <w:rsid w:val="176724C1"/>
    <w:rsid w:val="17B807A6"/>
    <w:rsid w:val="18AF7F70"/>
    <w:rsid w:val="19155C4F"/>
    <w:rsid w:val="1A431FF4"/>
    <w:rsid w:val="1B746107"/>
    <w:rsid w:val="1CD64124"/>
    <w:rsid w:val="1E0072C5"/>
    <w:rsid w:val="1E1E7AD2"/>
    <w:rsid w:val="1ED0381D"/>
    <w:rsid w:val="20FE50B8"/>
    <w:rsid w:val="210F400E"/>
    <w:rsid w:val="2122708C"/>
    <w:rsid w:val="229A281A"/>
    <w:rsid w:val="2383657E"/>
    <w:rsid w:val="23F45765"/>
    <w:rsid w:val="242E73FF"/>
    <w:rsid w:val="246C5345"/>
    <w:rsid w:val="24766AAB"/>
    <w:rsid w:val="24AB40AF"/>
    <w:rsid w:val="24FC6952"/>
    <w:rsid w:val="26CC76FD"/>
    <w:rsid w:val="272308AF"/>
    <w:rsid w:val="27FC1391"/>
    <w:rsid w:val="28064C78"/>
    <w:rsid w:val="2864072E"/>
    <w:rsid w:val="2A3E38E1"/>
    <w:rsid w:val="2B7A5A47"/>
    <w:rsid w:val="2BF2458F"/>
    <w:rsid w:val="2C721DD4"/>
    <w:rsid w:val="2C9C14B1"/>
    <w:rsid w:val="2F3B562F"/>
    <w:rsid w:val="2F587767"/>
    <w:rsid w:val="2FC8494E"/>
    <w:rsid w:val="314B37FB"/>
    <w:rsid w:val="31B733F7"/>
    <w:rsid w:val="385D1A98"/>
    <w:rsid w:val="38F70388"/>
    <w:rsid w:val="3957770F"/>
    <w:rsid w:val="39611BAD"/>
    <w:rsid w:val="3A4434B4"/>
    <w:rsid w:val="3B055E9C"/>
    <w:rsid w:val="3D28036F"/>
    <w:rsid w:val="3D8407DF"/>
    <w:rsid w:val="3DF0709C"/>
    <w:rsid w:val="3DFF32ED"/>
    <w:rsid w:val="3F503091"/>
    <w:rsid w:val="4008265B"/>
    <w:rsid w:val="41432A42"/>
    <w:rsid w:val="41851E44"/>
    <w:rsid w:val="420B5D06"/>
    <w:rsid w:val="4248700C"/>
    <w:rsid w:val="465670F7"/>
    <w:rsid w:val="471D22FA"/>
    <w:rsid w:val="472B48D8"/>
    <w:rsid w:val="4741375D"/>
    <w:rsid w:val="47C702DF"/>
    <w:rsid w:val="48256A9C"/>
    <w:rsid w:val="48422B9F"/>
    <w:rsid w:val="488947B6"/>
    <w:rsid w:val="4FB64197"/>
    <w:rsid w:val="50572E30"/>
    <w:rsid w:val="51AA26CF"/>
    <w:rsid w:val="51AA5E26"/>
    <w:rsid w:val="52324C02"/>
    <w:rsid w:val="52C93A96"/>
    <w:rsid w:val="531A3416"/>
    <w:rsid w:val="538C5F53"/>
    <w:rsid w:val="54474AB6"/>
    <w:rsid w:val="553D3668"/>
    <w:rsid w:val="557C343F"/>
    <w:rsid w:val="5582405A"/>
    <w:rsid w:val="56051C6B"/>
    <w:rsid w:val="563F4648"/>
    <w:rsid w:val="57C07DEE"/>
    <w:rsid w:val="580851C2"/>
    <w:rsid w:val="58FE3115"/>
    <w:rsid w:val="592D7B67"/>
    <w:rsid w:val="59A24D5E"/>
    <w:rsid w:val="59D947AF"/>
    <w:rsid w:val="59F96CB8"/>
    <w:rsid w:val="5ACA7D79"/>
    <w:rsid w:val="5BD23E00"/>
    <w:rsid w:val="5BF47018"/>
    <w:rsid w:val="5C653576"/>
    <w:rsid w:val="5D1B3F47"/>
    <w:rsid w:val="5E5C14C1"/>
    <w:rsid w:val="5F635E4B"/>
    <w:rsid w:val="60404B5F"/>
    <w:rsid w:val="6134696F"/>
    <w:rsid w:val="61EE3D1B"/>
    <w:rsid w:val="62460F4D"/>
    <w:rsid w:val="62A365B5"/>
    <w:rsid w:val="646A4041"/>
    <w:rsid w:val="65587112"/>
    <w:rsid w:val="65B7439B"/>
    <w:rsid w:val="66607F61"/>
    <w:rsid w:val="67606C1C"/>
    <w:rsid w:val="676942F4"/>
    <w:rsid w:val="68EA113C"/>
    <w:rsid w:val="699E67D8"/>
    <w:rsid w:val="69B23FEC"/>
    <w:rsid w:val="69E141D5"/>
    <w:rsid w:val="69F87A79"/>
    <w:rsid w:val="6C0410C4"/>
    <w:rsid w:val="6C540332"/>
    <w:rsid w:val="6DBE3A60"/>
    <w:rsid w:val="6E8A04A9"/>
    <w:rsid w:val="6F3075D5"/>
    <w:rsid w:val="6F5403ED"/>
    <w:rsid w:val="6F5B7B95"/>
    <w:rsid w:val="71A236EE"/>
    <w:rsid w:val="731142EC"/>
    <w:rsid w:val="73843559"/>
    <w:rsid w:val="75AC088F"/>
    <w:rsid w:val="75D27B57"/>
    <w:rsid w:val="76590D5F"/>
    <w:rsid w:val="77AD3FB4"/>
    <w:rsid w:val="781B6398"/>
    <w:rsid w:val="7839395D"/>
    <w:rsid w:val="788B613B"/>
    <w:rsid w:val="78935A62"/>
    <w:rsid w:val="7920167B"/>
    <w:rsid w:val="7A3E4F09"/>
    <w:rsid w:val="7BF11232"/>
    <w:rsid w:val="7CE442E1"/>
    <w:rsid w:val="7CEE0D2E"/>
    <w:rsid w:val="7CF76871"/>
    <w:rsid w:val="7D134A8A"/>
    <w:rsid w:val="7D804F3A"/>
    <w:rsid w:val="7E2B2CA4"/>
    <w:rsid w:val="7E791462"/>
    <w:rsid w:val="7F5446E0"/>
    <w:rsid w:val="7FB0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next w:val="3"/>
    <w:qFormat/>
    <w:uiPriority w:val="0"/>
    <w:pPr>
      <w:pBdr>
        <w:top w:val="none" w:color="auto" w:sz="0" w:space="1"/>
        <w:left w:val="none" w:color="auto" w:sz="0" w:space="4"/>
        <w:bottom w:val="none" w:color="auto" w:sz="0" w:space="1"/>
        <w:right w:val="none" w:color="auto" w:sz="0" w:space="4"/>
      </w:pBdr>
      <w:shd w:val="clear" w:color="auto" w:fill="000080"/>
    </w:pPr>
    <w:rPr>
      <w:rFonts w:ascii="Times New Roman" w:hAnsi="Times New Roman"/>
    </w:r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部门人员情况</a:t>
            </a:r>
          </a:p>
        </c:rich>
      </c:tx>
      <c:layout>
        <c:manualLayout>
          <c:xMode val="edge"/>
          <c:yMode val="edge"/>
          <c:x val="0.423"/>
          <c:y val="0.0173333333333333"/>
        </c:manualLayout>
      </c:layout>
      <c:overlay val="0"/>
      <c:spPr>
        <a:noFill/>
        <a:ln>
          <a:noFill/>
        </a:ln>
        <a:effectLst/>
      </c:spPr>
    </c:title>
    <c:autoTitleDeleted val="0"/>
    <c:plotArea>
      <c:layout>
        <c:manualLayout>
          <c:layoutTarget val="inner"/>
          <c:xMode val="edge"/>
          <c:yMode val="edge"/>
          <c:x val="0.0492"/>
          <c:y val="0.132333333333333"/>
          <c:w val="0.927925"/>
          <c:h val="0.716566666666667"/>
        </c:manualLayout>
      </c:layout>
      <c:barChart>
        <c:barDir val="col"/>
        <c:grouping val="clustered"/>
        <c:varyColors val="0"/>
        <c:ser>
          <c:idx val="0"/>
          <c:order val="0"/>
          <c:tx>
            <c:strRef>
              <c:f>Sheet1!$B$1</c:f>
              <c:strCache>
                <c:ptCount val="1"/>
                <c:pt idx="0">
                  <c:v>行政编制</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人员编制</c:v>
                </c:pt>
                <c:pt idx="1">
                  <c:v>实有人员</c:v>
                </c:pt>
              </c:strCache>
            </c:strRef>
          </c:cat>
          <c:val>
            <c:numRef>
              <c:f>Sheet1!$B$2:$B$3</c:f>
              <c:numCache>
                <c:formatCode>General</c:formatCode>
                <c:ptCount val="2"/>
                <c:pt idx="0">
                  <c:v>8</c:v>
                </c:pt>
                <c:pt idx="1">
                  <c:v>8</c:v>
                </c:pt>
              </c:numCache>
            </c:numRef>
          </c:val>
        </c:ser>
        <c:ser>
          <c:idx val="1"/>
          <c:order val="1"/>
          <c:tx>
            <c:strRef>
              <c:f>Sheet1!$C$1</c:f>
              <c:strCache>
                <c:ptCount val="1"/>
                <c:pt idx="0">
                  <c:v>事业编制</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人员编制</c:v>
                </c:pt>
                <c:pt idx="1">
                  <c:v>实有人员</c:v>
                </c:pt>
              </c:strCache>
            </c:strRef>
          </c:cat>
          <c:val>
            <c:numRef>
              <c:f>Sheet1!$C$2:$C$3</c:f>
              <c:numCache>
                <c:formatCode>General</c:formatCode>
                <c:ptCount val="2"/>
                <c:pt idx="0">
                  <c:v>13</c:v>
                </c:pt>
                <c:pt idx="1">
                  <c:v>11</c:v>
                </c:pt>
              </c:numCache>
            </c:numRef>
          </c:val>
        </c:ser>
        <c:ser>
          <c:idx val="2"/>
          <c:order val="2"/>
          <c:tx>
            <c:strRef>
              <c:f>Sheet1!$D$1</c:f>
              <c:strCache>
                <c:ptCount val="1"/>
                <c:pt idx="0">
                  <c:v>离退休人员</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人员编制</c:v>
                </c:pt>
                <c:pt idx="1">
                  <c:v>实有人员</c:v>
                </c:pt>
              </c:strCache>
            </c:strRef>
          </c:cat>
          <c:val>
            <c:numRef>
              <c:f>Sheet1!$D$2:$D$3</c:f>
              <c:numCache>
                <c:formatCode>General</c:formatCode>
                <c:ptCount val="2"/>
                <c:pt idx="0">
                  <c:v>3</c:v>
                </c:pt>
                <c:pt idx="1">
                  <c:v>3</c:v>
                </c:pt>
              </c:numCache>
            </c:numRef>
          </c:val>
        </c:ser>
        <c:dLbls>
          <c:showLegendKey val="0"/>
          <c:showVal val="1"/>
          <c:showCatName val="0"/>
          <c:showSerName val="0"/>
          <c:showPercent val="0"/>
          <c:showBubbleSize val="0"/>
        </c:dLbls>
        <c:gapWidth val="219"/>
        <c:overlap val="-27"/>
        <c:axId val="880002898"/>
        <c:axId val="412252240"/>
      </c:barChart>
      <c:catAx>
        <c:axId val="88000289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2252240"/>
        <c:crosses val="autoZero"/>
        <c:auto val="1"/>
        <c:lblAlgn val="ctr"/>
        <c:lblOffset val="100"/>
        <c:noMultiLvlLbl val="0"/>
      </c:catAx>
      <c:valAx>
        <c:axId val="41225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000289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2022年</c:v>
                </c:pt>
              </c:strCache>
            </c:strRef>
          </c:cat>
          <c:val>
            <c:numRef>
              <c:f>Sheet1!$B$2:$B$3</c:f>
              <c:numCache>
                <c:formatCode>General</c:formatCode>
                <c:ptCount val="2"/>
                <c:pt idx="0">
                  <c:v>337.77</c:v>
                </c:pt>
                <c:pt idx="1">
                  <c:v>311.77</c:v>
                </c:pt>
              </c:numCache>
            </c:numRef>
          </c:val>
        </c:ser>
        <c:dLbls>
          <c:showLegendKey val="0"/>
          <c:showVal val="1"/>
          <c:showCatName val="0"/>
          <c:showSerName val="0"/>
          <c:showPercent val="0"/>
          <c:showBubbleSize val="0"/>
        </c:dLbls>
        <c:gapWidth val="219"/>
        <c:overlap val="-27"/>
        <c:axId val="213433773"/>
        <c:axId val="610141048"/>
      </c:barChart>
      <c:catAx>
        <c:axId val="2134337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0141048"/>
        <c:crosses val="autoZero"/>
        <c:auto val="1"/>
        <c:lblAlgn val="ctr"/>
        <c:lblOffset val="100"/>
        <c:noMultiLvlLbl val="0"/>
      </c:catAx>
      <c:valAx>
        <c:axId val="61014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4337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支出明细情况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行政运行</c:v>
                </c:pt>
                <c:pt idx="1">
                  <c:v>事业运行</c:v>
                </c:pt>
                <c:pt idx="2">
                  <c:v>基本养老保险缴费</c:v>
                </c:pt>
                <c:pt idx="3">
                  <c:v>行政单位医疗</c:v>
                </c:pt>
                <c:pt idx="4">
                  <c:v>住房公积金</c:v>
                </c:pt>
              </c:strCache>
            </c:strRef>
          </c:cat>
          <c:val>
            <c:numRef>
              <c:f>Sheet1!$B$2:$B$6</c:f>
              <c:numCache>
                <c:formatCode>General</c:formatCode>
                <c:ptCount val="5"/>
                <c:pt idx="0">
                  <c:v>197.38</c:v>
                </c:pt>
                <c:pt idx="1">
                  <c:v>85.13</c:v>
                </c:pt>
                <c:pt idx="2">
                  <c:v>24.63</c:v>
                </c:pt>
                <c:pt idx="3">
                  <c:v>12.11</c:v>
                </c:pt>
                <c:pt idx="4">
                  <c:v>18.52</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行政运行</c:v>
                </c:pt>
                <c:pt idx="1">
                  <c:v>事业运行</c:v>
                </c:pt>
                <c:pt idx="2">
                  <c:v>基本养老保险缴费</c:v>
                </c:pt>
                <c:pt idx="3">
                  <c:v>行政单位医疗</c:v>
                </c:pt>
                <c:pt idx="4">
                  <c:v>住房公积金</c:v>
                </c:pt>
              </c:strCache>
            </c:strRef>
          </c:cat>
          <c:val>
            <c:numRef>
              <c:f>Sheet1!$C$2:$C$6</c:f>
              <c:numCache>
                <c:formatCode>General</c:formatCode>
                <c:ptCount val="5"/>
                <c:pt idx="0">
                  <c:v>233.55</c:v>
                </c:pt>
                <c:pt idx="1">
                  <c:v>28.24</c:v>
                </c:pt>
                <c:pt idx="2">
                  <c:v>21.35</c:v>
                </c:pt>
                <c:pt idx="3">
                  <c:v>10.45</c:v>
                </c:pt>
                <c:pt idx="4">
                  <c:v>18.18</c:v>
                </c:pt>
              </c:numCache>
            </c:numRef>
          </c:val>
        </c:ser>
        <c:dLbls>
          <c:showLegendKey val="0"/>
          <c:showVal val="1"/>
          <c:showCatName val="0"/>
          <c:showSerName val="0"/>
          <c:showPercent val="0"/>
          <c:showBubbleSize val="0"/>
        </c:dLbls>
        <c:gapWidth val="219"/>
        <c:overlap val="-27"/>
        <c:axId val="196457308"/>
        <c:axId val="573149327"/>
      </c:barChart>
      <c:catAx>
        <c:axId val="1964573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149327"/>
        <c:crosses val="autoZero"/>
        <c:auto val="1"/>
        <c:lblAlgn val="ctr"/>
        <c:lblOffset val="100"/>
        <c:noMultiLvlLbl val="0"/>
      </c:catAx>
      <c:valAx>
        <c:axId val="573149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4573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支出明细情况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c:v>
                </c:pt>
              </c:strCache>
            </c:strRef>
          </c:cat>
          <c:val>
            <c:numRef>
              <c:f>Sheet1!$B$2:$B$4</c:f>
              <c:numCache>
                <c:formatCode>General</c:formatCode>
                <c:ptCount val="3"/>
                <c:pt idx="0">
                  <c:v>223.07</c:v>
                </c:pt>
                <c:pt idx="1">
                  <c:v>114.42</c:v>
                </c:pt>
                <c:pt idx="2">
                  <c:v>0.28</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c:v>
                </c:pt>
              </c:strCache>
            </c:strRef>
          </c:cat>
          <c:val>
            <c:numRef>
              <c:f>Sheet1!$C$2:$C$4</c:f>
              <c:numCache>
                <c:formatCode>General</c:formatCode>
                <c:ptCount val="3"/>
                <c:pt idx="0">
                  <c:v>190.69</c:v>
                </c:pt>
                <c:pt idx="1">
                  <c:v>120.8</c:v>
                </c:pt>
                <c:pt idx="2">
                  <c:v>0.28</c:v>
                </c:pt>
              </c:numCache>
            </c:numRef>
          </c:val>
        </c:ser>
        <c:dLbls>
          <c:showLegendKey val="0"/>
          <c:showVal val="1"/>
          <c:showCatName val="0"/>
          <c:showSerName val="0"/>
          <c:showPercent val="0"/>
          <c:showBubbleSize val="0"/>
        </c:dLbls>
        <c:gapWidth val="219"/>
        <c:overlap val="-27"/>
        <c:axId val="196457308"/>
        <c:axId val="573149327"/>
      </c:barChart>
      <c:catAx>
        <c:axId val="1964573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149327"/>
        <c:crosses val="autoZero"/>
        <c:auto val="1"/>
        <c:lblAlgn val="ctr"/>
        <c:lblOffset val="100"/>
        <c:noMultiLvlLbl val="0"/>
      </c:catAx>
      <c:valAx>
        <c:axId val="573149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4573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支出明细情况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c:v>
                </c:pt>
              </c:strCache>
            </c:strRef>
          </c:cat>
          <c:val>
            <c:numRef>
              <c:f>Sheet1!$B$2:$B$4</c:f>
              <c:numCache>
                <c:formatCode>General</c:formatCode>
                <c:ptCount val="3"/>
                <c:pt idx="0">
                  <c:v>223.07</c:v>
                </c:pt>
                <c:pt idx="1">
                  <c:v>114.42</c:v>
                </c:pt>
                <c:pt idx="2">
                  <c:v>0.28</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c:v>
                </c:pt>
              </c:strCache>
            </c:strRef>
          </c:cat>
          <c:val>
            <c:numRef>
              <c:f>Sheet1!$C$2:$C$4</c:f>
              <c:numCache>
                <c:formatCode>General</c:formatCode>
                <c:ptCount val="3"/>
                <c:pt idx="0">
                  <c:v>190.69</c:v>
                </c:pt>
                <c:pt idx="1">
                  <c:v>120.8</c:v>
                </c:pt>
                <c:pt idx="2">
                  <c:v>0.28</c:v>
                </c:pt>
              </c:numCache>
            </c:numRef>
          </c:val>
        </c:ser>
        <c:dLbls>
          <c:showLegendKey val="0"/>
          <c:showVal val="1"/>
          <c:showCatName val="0"/>
          <c:showSerName val="0"/>
          <c:showPercent val="0"/>
          <c:showBubbleSize val="0"/>
        </c:dLbls>
        <c:gapWidth val="219"/>
        <c:overlap val="-27"/>
        <c:axId val="196457308"/>
        <c:axId val="573149327"/>
      </c:barChart>
      <c:catAx>
        <c:axId val="1964573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149327"/>
        <c:crosses val="autoZero"/>
        <c:auto val="1"/>
        <c:lblAlgn val="ctr"/>
        <c:lblOffset val="100"/>
        <c:noMultiLvlLbl val="0"/>
      </c:catAx>
      <c:valAx>
        <c:axId val="573149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4573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6654</Words>
  <Characters>7131</Characters>
  <Lines>0</Lines>
  <Paragraphs>0</Paragraphs>
  <TotalTime>0</TotalTime>
  <ScaleCrop>false</ScaleCrop>
  <LinksUpToDate>false</LinksUpToDate>
  <CharactersWithSpaces>7157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5EFBDF33C8104CCAA29EC1A78A01552E</vt:lpwstr>
  </property>
</Properties>
</file>