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政协紫阳县委员会办公室</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（一）主要职责</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政治协商，民主监督，参政议政。</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（二）机构设置</w:t>
      </w:r>
    </w:p>
    <w:p>
      <w:pPr>
        <w:keepNext w:val="0"/>
        <w:keepLines w:val="0"/>
        <w:pageBreakBefore w:val="0"/>
        <w:widowControl w:val="0"/>
        <w:kinsoku/>
        <w:wordWrap/>
        <w:overflowPunct/>
        <w:topLinePunct w:val="0"/>
        <w:autoSpaceDE/>
        <w:autoSpaceDN/>
        <w:bidi w:val="0"/>
        <w:adjustRightInd w:val="0"/>
        <w:snapToGrid w:val="0"/>
        <w:spacing w:line="336" w:lineRule="auto"/>
        <w:ind w:firstLine="480"/>
        <w:textAlignment w:val="auto"/>
        <w:outlineLvl w:val="9"/>
        <w:rPr>
          <w:rFonts w:hint="eastAsia" w:ascii="仿宋" w:hAnsi="仿宋" w:eastAsia="仿宋" w:cs="仿宋"/>
          <w:sz w:val="32"/>
          <w:szCs w:val="32"/>
          <w:highlight w:val="green"/>
        </w:rPr>
      </w:pPr>
      <w:r>
        <w:rPr>
          <w:rFonts w:hint="eastAsia" w:ascii="仿宋_GB2312" w:hAnsi="仿宋_GB2312" w:eastAsia="仿宋_GB2312" w:cs="仿宋_GB2312"/>
          <w:sz w:val="32"/>
          <w:szCs w:val="32"/>
          <w:lang w:val="en-US" w:eastAsia="zh-CN"/>
        </w:rPr>
        <w:t>政协共设六室一中心：政协紫阳县委员会办公室、提案委员会办公室、农业和农村委员会办公室、科教卫体和文史学习委员会办公室、社会法制和资源环境委员会办公室、民族宗教和港澳台侨委员会办公室；政协机关设后勤服务中心。</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b/>
          <w:bCs/>
          <w:sz w:val="32"/>
          <w:szCs w:val="32"/>
        </w:rPr>
        <w:t>二、</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度部门工作</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color w:val="auto"/>
          <w:spacing w:val="0"/>
          <w:sz w:val="32"/>
          <w:szCs w:val="32"/>
        </w:rPr>
      </w:pPr>
      <w:r>
        <w:rPr>
          <w:rFonts w:hint="eastAsia" w:ascii="黑体" w:hAnsi="黑体" w:eastAsia="黑体" w:cs="黑体"/>
          <w:b w:val="0"/>
          <w:bCs w:val="0"/>
          <w:color w:val="auto"/>
          <w:spacing w:val="0"/>
          <w:sz w:val="32"/>
          <w:szCs w:val="32"/>
          <w:lang w:val="en-US" w:eastAsia="zh-CN"/>
        </w:rPr>
        <w:t>(一）坚持政治引领，</w:t>
      </w:r>
      <w:r>
        <w:rPr>
          <w:rFonts w:hint="eastAsia" w:ascii="黑体" w:hAnsi="黑体" w:eastAsia="黑体" w:cs="黑体"/>
          <w:color w:val="auto"/>
          <w:spacing w:val="0"/>
          <w:sz w:val="32"/>
          <w:szCs w:val="32"/>
        </w:rPr>
        <w:t>加强党的建设</w:t>
      </w:r>
    </w:p>
    <w:p>
      <w:pPr>
        <w:keepNext w:val="0"/>
        <w:keepLines w:val="0"/>
        <w:pageBreakBefore w:val="0"/>
        <w:widowControl w:val="0"/>
        <w:kinsoku/>
        <w:wordWrap/>
        <w:overflowPunct/>
        <w:topLinePunct w:val="0"/>
        <w:autoSpaceDE/>
        <w:autoSpaceDN/>
        <w:bidi w:val="0"/>
        <w:adjustRightInd/>
        <w:snapToGrid w:val="0"/>
        <w:spacing w:line="336" w:lineRule="auto"/>
        <w:ind w:firstLine="643" w:firstLineChars="200"/>
        <w:jc w:val="both"/>
        <w:textAlignment w:val="auto"/>
        <w:rPr>
          <w:rFonts w:hint="eastAsia" w:ascii="仿宋_GB2312" w:hAnsi="仿宋_GB2312" w:eastAsia="仿宋_GB2312" w:cs="仿宋_GB2312"/>
          <w:b w:val="0"/>
          <w:bCs w:val="0"/>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1.加强党的领导。</w:t>
      </w:r>
      <w:r>
        <w:rPr>
          <w:rFonts w:hint="eastAsia" w:ascii="仿宋_GB2312" w:hAnsi="仿宋_GB2312" w:eastAsia="仿宋_GB2312" w:cs="仿宋_GB2312"/>
          <w:iCs w:val="0"/>
          <w:color w:val="auto"/>
          <w:spacing w:val="0"/>
          <w:sz w:val="32"/>
          <w:szCs w:val="32"/>
          <w:highlight w:val="none"/>
          <w:lang w:val="en-US" w:eastAsia="zh-CN"/>
        </w:rPr>
        <w:t>深入学习贯彻中央和省委、市委政协工作会议精神，筹备召开县委政协工作会议。始终旗帜鲜明讲政治，坚持在党的领导下，做到县委的工作推进到哪里，政协的工作就跟进到哪里，力量就汇聚到哪里。严格执行请示报告制度，政协各项重大事项、重点工作、重要活动及时向县委请示汇报，确保政协始终在县委的领导下主动负责、协调一致地开展工作。发挥政协党组把方向、管大局、保落实的作用，确保中央各项决策部署和省委、市委、县委工作要求在政协得到不折不扣贯彻落实。</w:t>
      </w:r>
    </w:p>
    <w:p>
      <w:pPr>
        <w:keepNext w:val="0"/>
        <w:keepLines w:val="0"/>
        <w:pageBreakBefore w:val="0"/>
        <w:widowControl w:val="0"/>
        <w:kinsoku/>
        <w:wordWrap/>
        <w:overflowPunct/>
        <w:topLinePunct w:val="0"/>
        <w:autoSpaceDE/>
        <w:autoSpaceDN/>
        <w:bidi w:val="0"/>
        <w:adjustRightInd w:val="0"/>
        <w:snapToGrid w:val="0"/>
        <w:spacing w:line="336" w:lineRule="auto"/>
        <w:ind w:firstLine="680"/>
        <w:textAlignment w:val="auto"/>
        <w:rPr>
          <w:rFonts w:hint="eastAsia" w:ascii="Times New Roman" w:hAnsi="Times New Roman" w:eastAsia="仿宋_GB2312" w:cs="仿宋_GB2312"/>
          <w:color w:val="auto"/>
          <w:spacing w:val="0"/>
          <w:sz w:val="32"/>
          <w:szCs w:val="32"/>
        </w:rPr>
      </w:pPr>
      <w:r>
        <w:rPr>
          <w:rFonts w:hint="eastAsia" w:ascii="楷体_GB2312" w:hAnsi="楷体_GB2312" w:eastAsia="楷体_GB2312" w:cs="楷体_GB2312"/>
          <w:b/>
          <w:bCs/>
          <w:color w:val="auto"/>
          <w:spacing w:val="0"/>
          <w:sz w:val="32"/>
          <w:szCs w:val="32"/>
          <w:lang w:val="en-US" w:eastAsia="zh-CN"/>
        </w:rPr>
        <w:t>2.强化理论武装。</w:t>
      </w:r>
      <w:r>
        <w:rPr>
          <w:rFonts w:hint="eastAsia" w:ascii="仿宋_GB2312" w:hAnsi="仿宋_GB2312" w:eastAsia="仿宋_GB2312" w:cs="仿宋_GB2312"/>
          <w:iCs w:val="0"/>
          <w:color w:val="auto"/>
          <w:spacing w:val="0"/>
          <w:sz w:val="32"/>
          <w:szCs w:val="32"/>
          <w:highlight w:val="none"/>
          <w:lang w:val="en-US" w:eastAsia="zh-CN"/>
        </w:rPr>
        <w:t>制定县政协党组、机关党组理论中心学习组学习计划，深入学习宣传</w:t>
      </w:r>
      <w:r>
        <w:rPr>
          <w:rFonts w:hint="eastAsia" w:ascii="Times New Roman" w:hAnsi="Times New Roman" w:eastAsia="仿宋_GB2312" w:cs="仿宋_GB2312"/>
          <w:color w:val="auto"/>
          <w:spacing w:val="0"/>
          <w:sz w:val="32"/>
          <w:szCs w:val="32"/>
        </w:rPr>
        <w:t>贯彻党的二十大精神，通过</w:t>
      </w:r>
      <w:r>
        <w:rPr>
          <w:rFonts w:hint="eastAsia" w:eastAsia="仿宋_GB2312" w:cs="仿宋_GB2312"/>
          <w:color w:val="auto"/>
          <w:spacing w:val="0"/>
          <w:sz w:val="32"/>
          <w:szCs w:val="32"/>
          <w:lang w:eastAsia="zh-CN"/>
        </w:rPr>
        <w:t>广泛</w:t>
      </w:r>
      <w:r>
        <w:rPr>
          <w:rFonts w:hint="eastAsia" w:ascii="Times New Roman" w:hAnsi="Times New Roman" w:eastAsia="仿宋_GB2312" w:cs="仿宋_GB2312"/>
          <w:color w:val="auto"/>
          <w:spacing w:val="0"/>
          <w:sz w:val="32"/>
          <w:szCs w:val="32"/>
        </w:rPr>
        <w:t>宣讲、交流研讨、专题培训等形式，引导广大委员深刻领悟“两个确立”的决定性意义，坚决做到“两个维护”。</w:t>
      </w:r>
      <w:r>
        <w:rPr>
          <w:rFonts w:hint="eastAsia" w:eastAsia="仿宋_GB2312" w:cs="仿宋_GB2312"/>
          <w:color w:val="auto"/>
          <w:spacing w:val="0"/>
          <w:sz w:val="32"/>
          <w:szCs w:val="32"/>
          <w:lang w:eastAsia="zh-CN"/>
        </w:rPr>
        <w:t>精心组织开展习近平新时代中国特色社会主义思想主题教育</w:t>
      </w:r>
      <w:r>
        <w:rPr>
          <w:rFonts w:hint="eastAsia" w:ascii="Times New Roman" w:hAnsi="Times New Roman" w:eastAsia="仿宋_GB2312" w:cs="仿宋_GB2312"/>
          <w:color w:val="auto"/>
          <w:spacing w:val="0"/>
          <w:sz w:val="32"/>
          <w:szCs w:val="32"/>
        </w:rPr>
        <w:t>，严格落实“第一议题”制度，推动学习贯彻习近平新时代中国特色社会主义思想不断入脑入心、</w:t>
      </w:r>
      <w:r>
        <w:rPr>
          <w:rFonts w:hint="eastAsia" w:eastAsia="仿宋_GB2312" w:cs="仿宋_GB2312"/>
          <w:color w:val="auto"/>
          <w:spacing w:val="0"/>
          <w:sz w:val="32"/>
          <w:szCs w:val="32"/>
          <w:lang w:eastAsia="zh-CN"/>
        </w:rPr>
        <w:t>走深走实</w:t>
      </w:r>
      <w:r>
        <w:rPr>
          <w:rFonts w:hint="eastAsia" w:ascii="Times New Roman" w:hAnsi="Times New Roman"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val="en-US" w:eastAsia="zh-CN"/>
        </w:rPr>
        <w:t>及时跟进学习习近平总书记重要讲话重要指示，传达学习中央和省委、市委、县委重要会议精神和决策部署，每月开展1次集体学习活动。</w:t>
      </w:r>
      <w:r>
        <w:rPr>
          <w:rFonts w:hint="default" w:ascii="Times New Roman" w:hAnsi="Times New Roman" w:eastAsia="仿宋_GB2312" w:cs="仿宋_GB2312"/>
          <w:color w:val="auto"/>
          <w:spacing w:val="0"/>
          <w:sz w:val="32"/>
          <w:szCs w:val="32"/>
          <w:lang w:val="en-US" w:eastAsia="zh-CN"/>
        </w:rPr>
        <w:t>用好</w:t>
      </w:r>
      <w:r>
        <w:rPr>
          <w:rFonts w:hint="eastAsia" w:eastAsia="仿宋_GB2312" w:cs="仿宋_GB2312"/>
          <w:color w:val="auto"/>
          <w:spacing w:val="0"/>
          <w:sz w:val="32"/>
          <w:szCs w:val="32"/>
          <w:lang w:val="en-US" w:eastAsia="zh-CN"/>
        </w:rPr>
        <w:t>学习强国、陕西干部网络学院、东来书院和委员工作室等学习平台</w:t>
      </w:r>
      <w:r>
        <w:rPr>
          <w:rFonts w:hint="default" w:ascii="Times New Roman" w:hAnsi="Times New Roman" w:eastAsia="仿宋_GB2312" w:cs="仿宋_GB2312"/>
          <w:color w:val="auto"/>
          <w:spacing w:val="0"/>
          <w:sz w:val="32"/>
          <w:szCs w:val="32"/>
          <w:lang w:val="en-US" w:eastAsia="zh-CN"/>
        </w:rPr>
        <w:t>，促进履职本领的提升和思想认识的进步。</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rPr>
          <w:rFonts w:hint="eastAsia" w:ascii="仿宋_GB2312" w:hAnsi="Times New Roman" w:eastAsia="仿宋_GB2312" w:cs="Times New Roman"/>
          <w:iCs/>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3.夯实政治责任。</w:t>
      </w:r>
      <w:r>
        <w:rPr>
          <w:rFonts w:hint="eastAsia" w:ascii="Times New Roman" w:hAnsi="Times New Roman" w:eastAsia="仿宋_GB2312" w:cs="仿宋_GB2312"/>
          <w:color w:val="auto"/>
          <w:spacing w:val="0"/>
          <w:sz w:val="32"/>
          <w:szCs w:val="32"/>
          <w:lang w:val="en-US" w:eastAsia="zh-CN"/>
        </w:rPr>
        <w:t>落实政协党组、机关党组</w:t>
      </w:r>
      <w:r>
        <w:rPr>
          <w:rFonts w:hint="eastAsia" w:ascii="仿宋_GB2312" w:hAnsi="Times New Roman" w:eastAsia="仿宋_GB2312" w:cs="Times New Roman"/>
          <w:iCs/>
          <w:color w:val="auto"/>
          <w:spacing w:val="0"/>
          <w:sz w:val="32"/>
          <w:szCs w:val="32"/>
          <w:lang w:val="en-US" w:eastAsia="zh-CN"/>
        </w:rPr>
        <w:t>党建工作、意识形态、党风廉政建设“三个责任制”，</w:t>
      </w:r>
      <w:r>
        <w:rPr>
          <w:rFonts w:hint="eastAsia" w:ascii="仿宋_GB2312" w:eastAsia="仿宋_GB2312" w:cs="Times New Roman"/>
          <w:iCs/>
          <w:color w:val="auto"/>
          <w:spacing w:val="0"/>
          <w:sz w:val="32"/>
          <w:szCs w:val="32"/>
          <w:lang w:val="en-US" w:eastAsia="zh-CN"/>
        </w:rPr>
        <w:t>制定印发党风廉政建设主体责任清单，</w:t>
      </w:r>
      <w:r>
        <w:rPr>
          <w:rFonts w:hint="eastAsia" w:ascii="仿宋_GB2312" w:hAnsi="Times New Roman" w:eastAsia="仿宋_GB2312" w:cs="Times New Roman"/>
          <w:iCs/>
          <w:color w:val="auto"/>
          <w:spacing w:val="0"/>
          <w:sz w:val="32"/>
          <w:szCs w:val="32"/>
          <w:lang w:val="en-US" w:eastAsia="zh-CN"/>
        </w:rPr>
        <w:t>强化廉洁风险防控，推动全面从严治党在政协落地落实。</w:t>
      </w:r>
      <w:r>
        <w:rPr>
          <w:rFonts w:hint="eastAsia" w:ascii="仿宋_GB2312" w:hAnsi="仿宋_GB2312" w:eastAsia="仿宋_GB2312" w:cs="仿宋_GB2312"/>
          <w:color w:val="auto"/>
          <w:spacing w:val="0"/>
          <w:sz w:val="32"/>
          <w:szCs w:val="32"/>
          <w:lang w:val="en-US" w:eastAsia="zh-CN"/>
        </w:rPr>
        <w:t>加强政协党组、机关党组、机关党支部党的建设，</w:t>
      </w:r>
      <w:r>
        <w:rPr>
          <w:rFonts w:hint="eastAsia" w:ascii="仿宋_GB2312" w:hAnsi="仿宋_GB2312" w:eastAsia="仿宋_GB2312" w:cs="仿宋_GB2312"/>
          <w:color w:val="auto"/>
          <w:spacing w:val="0"/>
          <w:sz w:val="32"/>
          <w:szCs w:val="32"/>
        </w:rPr>
        <w:t>明确</w:t>
      </w:r>
      <w:r>
        <w:rPr>
          <w:rFonts w:hint="eastAsia" w:ascii="仿宋_GB2312" w:hAnsi="仿宋_GB2312" w:eastAsia="仿宋_GB2312" w:cs="仿宋_GB2312"/>
          <w:color w:val="auto"/>
          <w:spacing w:val="0"/>
          <w:sz w:val="32"/>
          <w:szCs w:val="32"/>
          <w:lang w:eastAsia="zh-CN"/>
        </w:rPr>
        <w:t>专委会临时</w:t>
      </w:r>
      <w:r>
        <w:rPr>
          <w:rFonts w:hint="eastAsia" w:ascii="仿宋_GB2312" w:hAnsi="仿宋_GB2312" w:eastAsia="仿宋_GB2312" w:cs="仿宋_GB2312"/>
          <w:color w:val="auto"/>
          <w:spacing w:val="0"/>
          <w:sz w:val="32"/>
          <w:szCs w:val="32"/>
        </w:rPr>
        <w:t>党支部的组织功能，实现政协党的组织和工作“两个全覆盖”。</w:t>
      </w:r>
      <w:r>
        <w:rPr>
          <w:rFonts w:hint="eastAsia" w:ascii="仿宋_GB2312" w:hAnsi="仿宋_GB2312" w:eastAsia="仿宋_GB2312" w:cs="仿宋_GB2312"/>
          <w:color w:val="auto"/>
          <w:spacing w:val="0"/>
          <w:sz w:val="32"/>
          <w:szCs w:val="32"/>
          <w:lang w:eastAsia="zh-CN"/>
        </w:rPr>
        <w:t>加强</w:t>
      </w:r>
      <w:r>
        <w:rPr>
          <w:rFonts w:hint="eastAsia" w:ascii="仿宋_GB2312" w:hAnsi="仿宋_GB2312" w:eastAsia="仿宋_GB2312" w:cs="仿宋_GB2312"/>
          <w:color w:val="auto"/>
          <w:spacing w:val="0"/>
          <w:sz w:val="32"/>
          <w:szCs w:val="32"/>
          <w:lang w:val="en-US" w:eastAsia="zh-CN"/>
        </w:rPr>
        <w:t>机关党支部规范化、标准化创建，严格落实主题党日、“三会一课”、组织生活会等制度，探索适合政协特点的党建工作</w:t>
      </w:r>
      <w:r>
        <w:rPr>
          <w:rFonts w:hint="eastAsia" w:ascii="仿宋_GB2312" w:hAnsi="Times New Roman" w:eastAsia="仿宋_GB2312" w:cs="Times New Roman"/>
          <w:iCs/>
          <w:color w:val="auto"/>
          <w:spacing w:val="0"/>
          <w:sz w:val="32"/>
          <w:szCs w:val="32"/>
          <w:lang w:val="en-US" w:eastAsia="zh-CN"/>
        </w:rPr>
        <w:t>新机制和党组织活动形式，</w:t>
      </w:r>
      <w:r>
        <w:rPr>
          <w:rFonts w:hint="eastAsia" w:ascii="仿宋_GB2312" w:eastAsia="仿宋_GB2312" w:cs="Times New Roman"/>
          <w:iCs/>
          <w:color w:val="auto"/>
          <w:spacing w:val="0"/>
          <w:sz w:val="32"/>
          <w:szCs w:val="32"/>
          <w:lang w:val="en-US" w:eastAsia="zh-CN"/>
        </w:rPr>
        <w:t>擦亮</w:t>
      </w:r>
      <w:r>
        <w:rPr>
          <w:rFonts w:hint="eastAsia" w:ascii="仿宋_GB2312" w:hAnsi="Times New Roman" w:eastAsia="仿宋_GB2312" w:cs="Times New Roman"/>
          <w:iCs/>
          <w:color w:val="auto"/>
          <w:spacing w:val="0"/>
          <w:sz w:val="32"/>
          <w:szCs w:val="32"/>
          <w:lang w:val="en-US" w:eastAsia="zh-CN"/>
        </w:rPr>
        <w:t>政协党建特色品牌。</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jc w:val="both"/>
        <w:textAlignment w:val="auto"/>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（二）聚焦主责主业，发挥政协作用</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jc w:val="both"/>
        <w:textAlignment w:val="auto"/>
        <w:rPr>
          <w:rFonts w:hint="eastAsia" w:ascii="仿宋_GB2312" w:hAnsi="仿宋_GB2312" w:eastAsia="仿宋_GB2312" w:cs="仿宋_GB2312"/>
          <w:iCs w:val="0"/>
          <w:color w:val="auto"/>
          <w:spacing w:val="0"/>
          <w:sz w:val="32"/>
          <w:szCs w:val="32"/>
          <w:highlight w:val="none"/>
          <w:lang w:val="en-US" w:eastAsia="zh-CN"/>
        </w:rPr>
      </w:pPr>
      <w:r>
        <w:rPr>
          <w:rFonts w:hint="eastAsia" w:ascii="楷体_GB2312" w:hAnsi="楷体" w:eastAsia="楷体_GB2312" w:cs="仿宋_GB2312"/>
          <w:b/>
          <w:bCs/>
          <w:iCs w:val="0"/>
          <w:color w:val="auto"/>
          <w:spacing w:val="0"/>
          <w:kern w:val="2"/>
          <w:sz w:val="32"/>
          <w:szCs w:val="32"/>
          <w:highlight w:val="none"/>
          <w:lang w:val="en-US" w:eastAsia="zh-CN" w:bidi="ar-SA"/>
        </w:rPr>
        <w:t>4.深入协商议政。</w:t>
      </w:r>
      <w:r>
        <w:rPr>
          <w:rFonts w:hint="eastAsia" w:ascii="仿宋_GB2312" w:hAnsi="仿宋_GB2312" w:eastAsia="仿宋_GB2312" w:cs="仿宋_GB2312"/>
          <w:color w:val="auto"/>
          <w:spacing w:val="0"/>
          <w:sz w:val="32"/>
          <w:szCs w:val="32"/>
          <w:lang w:val="en-US" w:eastAsia="zh-CN"/>
        </w:rPr>
        <w:t>聚焦全县中心工作和2023年协商计划，</w:t>
      </w:r>
      <w:r>
        <w:rPr>
          <w:rFonts w:hint="eastAsia" w:ascii="仿宋_GB2312" w:hAnsi="仿宋_GB2312" w:eastAsia="仿宋_GB2312" w:cs="仿宋_GB2312"/>
          <w:iCs w:val="0"/>
          <w:color w:val="auto"/>
          <w:spacing w:val="0"/>
          <w:sz w:val="32"/>
          <w:szCs w:val="32"/>
          <w:highlight w:val="none"/>
          <w:lang w:val="en-US" w:eastAsia="zh-CN"/>
        </w:rPr>
        <w:t>围绕</w:t>
      </w:r>
      <w:r>
        <w:rPr>
          <w:rFonts w:hint="eastAsia" w:ascii="仿宋_GB2312" w:hAnsi="仿宋_GB2312" w:eastAsia="仿宋_GB2312" w:cs="仿宋_GB2312"/>
          <w:color w:val="auto"/>
          <w:spacing w:val="0"/>
          <w:sz w:val="32"/>
          <w:szCs w:val="32"/>
        </w:rPr>
        <w:t>民营经济高质量发展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汉江生态经济带建设</w:t>
      </w:r>
      <w:r>
        <w:rPr>
          <w:rFonts w:hint="eastAsia" w:ascii="仿宋_GB2312" w:hAnsi="仿宋_GB2312" w:eastAsia="仿宋_GB2312" w:cs="仿宋_GB2312"/>
          <w:color w:val="auto"/>
          <w:spacing w:val="0"/>
          <w:sz w:val="32"/>
          <w:szCs w:val="32"/>
          <w:lang w:eastAsia="zh-CN"/>
        </w:rPr>
        <w:t>召开</w:t>
      </w:r>
      <w:bookmarkStart w:id="0" w:name="_GoBack"/>
      <w:bookmarkEnd w:id="0"/>
      <w:r>
        <w:rPr>
          <w:rFonts w:hint="eastAsia" w:ascii="仿宋_GB2312" w:hAnsi="仿宋_GB2312" w:eastAsia="仿宋_GB2312" w:cs="仿宋_GB2312"/>
          <w:color w:val="auto"/>
          <w:spacing w:val="0"/>
          <w:sz w:val="32"/>
          <w:szCs w:val="32"/>
        </w:rPr>
        <w:t>议政性常委会议协商</w:t>
      </w:r>
      <w:r>
        <w:rPr>
          <w:rFonts w:hint="eastAsia" w:ascii="仿宋_GB2312" w:hAnsi="仿宋_GB2312" w:eastAsia="仿宋_GB2312" w:cs="仿宋_GB2312"/>
          <w:color w:val="auto"/>
          <w:spacing w:val="0"/>
          <w:sz w:val="32"/>
          <w:szCs w:val="32"/>
          <w:lang w:eastAsia="zh-CN"/>
        </w:rPr>
        <w:t>，围绕</w:t>
      </w:r>
      <w:r>
        <w:rPr>
          <w:rFonts w:hint="eastAsia" w:ascii="仿宋_GB2312" w:hAnsi="仿宋_GB2312" w:eastAsia="仿宋_GB2312" w:cs="仿宋_GB2312"/>
          <w:color w:val="auto"/>
          <w:spacing w:val="0"/>
          <w:sz w:val="32"/>
          <w:szCs w:val="32"/>
        </w:rPr>
        <w:t>民宿产业发展开展视察调研，</w:t>
      </w:r>
      <w:r>
        <w:rPr>
          <w:rFonts w:hint="eastAsia" w:ascii="仿宋_GB2312" w:hAnsi="仿宋_GB2312" w:eastAsia="仿宋_GB2312" w:cs="仿宋_GB2312"/>
          <w:color w:val="auto"/>
          <w:spacing w:val="0"/>
          <w:sz w:val="32"/>
          <w:szCs w:val="32"/>
          <w:lang w:eastAsia="zh-CN"/>
        </w:rPr>
        <w:t>围绕</w:t>
      </w:r>
      <w:r>
        <w:rPr>
          <w:rFonts w:hint="eastAsia" w:ascii="仿宋_GB2312" w:hAnsi="仿宋_GB2312" w:eastAsia="仿宋_GB2312" w:cs="仿宋_GB2312"/>
          <w:color w:val="auto"/>
          <w:spacing w:val="0"/>
          <w:sz w:val="32"/>
          <w:szCs w:val="32"/>
        </w:rPr>
        <w:t>秦巴医药产业链建设</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茶旅融合助推生态旅游产业发展</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易地扶贫搬迁后续扶持</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县城学校布局</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县城停车场（位）建设与管理</w:t>
      </w:r>
      <w:r>
        <w:rPr>
          <w:rFonts w:hint="eastAsia" w:ascii="仿宋_GB2312" w:hAnsi="仿宋_GB2312" w:eastAsia="仿宋_GB2312" w:cs="仿宋_GB2312"/>
          <w:color w:val="auto"/>
          <w:spacing w:val="0"/>
          <w:sz w:val="32"/>
          <w:szCs w:val="32"/>
          <w:lang w:eastAsia="zh-CN"/>
        </w:rPr>
        <w:t>开展专题协商</w:t>
      </w:r>
      <w:r>
        <w:rPr>
          <w:rFonts w:hint="eastAsia" w:ascii="仿宋_GB2312" w:hAnsi="仿宋_GB2312" w:eastAsia="仿宋_GB2312" w:cs="仿宋_GB2312"/>
          <w:color w:val="auto"/>
          <w:spacing w:val="0"/>
          <w:sz w:val="32"/>
          <w:szCs w:val="32"/>
          <w:lang w:val="en-US" w:eastAsia="zh-CN"/>
        </w:rPr>
        <w:t>，围绕全县养老服务情况开展对口协商</w:t>
      </w:r>
      <w:r>
        <w:rPr>
          <w:rFonts w:hint="eastAsia" w:ascii="仿宋_GB2312" w:hAnsi="仿宋_GB2312" w:eastAsia="仿宋_GB2312" w:cs="仿宋_GB2312"/>
          <w:iCs w:val="0"/>
          <w:color w:val="auto"/>
          <w:spacing w:val="0"/>
          <w:sz w:val="32"/>
          <w:szCs w:val="32"/>
          <w:highlight w:val="none"/>
          <w:lang w:val="en-US" w:eastAsia="zh-CN"/>
        </w:rPr>
        <w:t>，配合市政协做好联动课题调研，改进调研方式，学习先进做法，精心组织调研活动，形成一批有分量的建言成果，提出务实管用的意见和建议，做到建言建到点子上、议政议到关键处。</w:t>
      </w:r>
    </w:p>
    <w:p>
      <w:pPr>
        <w:keepNext w:val="0"/>
        <w:keepLines w:val="0"/>
        <w:pageBreakBefore w:val="0"/>
        <w:widowControl w:val="0"/>
        <w:kinsoku/>
        <w:wordWrap/>
        <w:overflowPunct/>
        <w:topLinePunct w:val="0"/>
        <w:autoSpaceDE/>
        <w:autoSpaceDN/>
        <w:bidi w:val="0"/>
        <w:adjustRightInd/>
        <w:snapToGrid w:val="0"/>
        <w:spacing w:line="336" w:lineRule="auto"/>
        <w:ind w:firstLine="643" w:firstLineChars="200"/>
        <w:jc w:val="both"/>
        <w:textAlignment w:val="auto"/>
        <w:rPr>
          <w:rFonts w:hint="eastAsia" w:ascii="仿宋_GB2312" w:hAnsi="仿宋_GB2312" w:eastAsia="仿宋_GB2312" w:cs="仿宋_GB2312"/>
          <w:iCs w:val="0"/>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lang w:val="en-US" w:eastAsia="zh-CN"/>
        </w:rPr>
        <w:t>5.加强民主监督。</w:t>
      </w:r>
      <w:r>
        <w:rPr>
          <w:rFonts w:hint="eastAsia" w:ascii="仿宋_GB2312" w:hAnsi="仿宋_GB2312" w:eastAsia="仿宋_GB2312" w:cs="仿宋_GB2312"/>
          <w:iCs w:val="0"/>
          <w:color w:val="auto"/>
          <w:spacing w:val="0"/>
          <w:sz w:val="32"/>
          <w:szCs w:val="32"/>
          <w:highlight w:val="none"/>
          <w:lang w:val="en-US" w:eastAsia="zh-CN"/>
        </w:rPr>
        <w:t>认真贯彻落实《关于加强和改进人民政协民主监督工作的实施意见》，紧扣县委、县政府的决策部署，制定民主监督计划，明确监督内容、监督形式，因地制宜开展会议监督、视察监督、提案监督和社情民意信息监督，切实发挥政协协商式民主监督作用，增强监督实效，助推县委、县政府决策部署落地见效。</w:t>
      </w:r>
    </w:p>
    <w:p>
      <w:pPr>
        <w:pStyle w:val="11"/>
        <w:keepNext w:val="0"/>
        <w:keepLines w:val="0"/>
        <w:pageBreakBefore w:val="0"/>
        <w:widowControl w:val="0"/>
        <w:kinsoku/>
        <w:wordWrap/>
        <w:overflowPunct/>
        <w:topLinePunct w:val="0"/>
        <w:autoSpaceDE/>
        <w:autoSpaceDN/>
        <w:bidi w:val="0"/>
        <w:adjustRightInd/>
        <w:snapToGrid w:val="0"/>
        <w:spacing w:after="0" w:afterLines="0" w:line="336" w:lineRule="auto"/>
        <w:ind w:left="0" w:leftChars="0" w:firstLine="643" w:firstLineChars="200"/>
        <w:jc w:val="left"/>
        <w:textAlignment w:val="auto"/>
        <w:rPr>
          <w:rFonts w:hint="default"/>
          <w:color w:val="auto"/>
          <w:spacing w:val="0"/>
          <w:lang w:val="en-US" w:eastAsia="zh-CN"/>
        </w:rPr>
      </w:pPr>
      <w:r>
        <w:rPr>
          <w:rFonts w:hint="eastAsia" w:ascii="楷体_GB2312" w:hAnsi="楷体_GB2312" w:eastAsia="楷体_GB2312" w:cs="楷体_GB2312"/>
          <w:b/>
          <w:bCs/>
          <w:iCs w:val="0"/>
          <w:color w:val="auto"/>
          <w:spacing w:val="0"/>
          <w:sz w:val="32"/>
          <w:szCs w:val="32"/>
          <w:highlight w:val="none"/>
          <w:lang w:val="en-US" w:eastAsia="zh-CN"/>
        </w:rPr>
        <w:t>6.广泛凝聚共识。</w:t>
      </w:r>
      <w:r>
        <w:rPr>
          <w:rFonts w:hint="eastAsia" w:ascii="仿宋_GB2312" w:eastAsia="仿宋_GB2312"/>
          <w:color w:val="auto"/>
          <w:spacing w:val="0"/>
          <w:sz w:val="32"/>
          <w:szCs w:val="32"/>
        </w:rPr>
        <w:t>加强与政协各参加单位、无党派人士、社会各界人士的经常性联系，畅通意见诉求表达渠道，</w:t>
      </w:r>
      <w:r>
        <w:rPr>
          <w:rFonts w:ascii="仿宋_GB2312" w:eastAsia="仿宋_GB2312"/>
          <w:color w:val="auto"/>
          <w:spacing w:val="0"/>
          <w:sz w:val="32"/>
          <w:szCs w:val="32"/>
        </w:rPr>
        <w:t>共同开展</w:t>
      </w:r>
      <w:r>
        <w:rPr>
          <w:rFonts w:hint="eastAsia" w:ascii="仿宋_GB2312" w:hAnsi="仿宋_GB2312" w:eastAsia="仿宋_GB2312" w:cs="仿宋_GB2312"/>
          <w:iCs w:val="0"/>
          <w:color w:val="auto"/>
          <w:spacing w:val="0"/>
          <w:sz w:val="32"/>
          <w:szCs w:val="32"/>
          <w:highlight w:val="none"/>
          <w:lang w:val="en-US" w:eastAsia="zh-CN"/>
        </w:rPr>
        <w:t>学习交流、协商座谈、调查研究、视察考察等活动</w:t>
      </w:r>
      <w:r>
        <w:rPr>
          <w:rFonts w:ascii="仿宋_GB2312" w:eastAsia="仿宋_GB2312"/>
          <w:color w:val="auto"/>
          <w:spacing w:val="0"/>
          <w:sz w:val="32"/>
          <w:szCs w:val="32"/>
        </w:rPr>
        <w:t>，营造凝心聚力、共谋发展的</w:t>
      </w:r>
      <w:r>
        <w:rPr>
          <w:rFonts w:hint="eastAsia" w:ascii="仿宋_GB2312" w:hAnsi="仿宋_GB2312" w:eastAsia="仿宋_GB2312" w:cs="仿宋_GB2312"/>
          <w:iCs w:val="0"/>
          <w:color w:val="auto"/>
          <w:spacing w:val="0"/>
          <w:sz w:val="32"/>
          <w:szCs w:val="32"/>
          <w:highlight w:val="none"/>
          <w:lang w:val="en-US" w:eastAsia="zh-CN"/>
        </w:rPr>
        <w:t>强大合力。以当代人写当代事为主线，编撰紫阳脱贫攻坚和2000年“7.13”灾后纪实两辑文史资料，发挥文史资料“存史资政、团结育人”作用。</w:t>
      </w:r>
    </w:p>
    <w:p>
      <w:pPr>
        <w:pStyle w:val="14"/>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（三）坚持守正创新，提升履职质量</w:t>
      </w:r>
    </w:p>
    <w:p>
      <w:pPr>
        <w:keepNext w:val="0"/>
        <w:keepLines w:val="0"/>
        <w:pageBreakBefore w:val="0"/>
        <w:widowControl w:val="0"/>
        <w:kinsoku/>
        <w:wordWrap/>
        <w:overflowPunct/>
        <w:topLinePunct w:val="0"/>
        <w:autoSpaceDE/>
        <w:autoSpaceDN/>
        <w:bidi w:val="0"/>
        <w:adjustRightInd/>
        <w:snapToGrid w:val="0"/>
        <w:spacing w:line="336" w:lineRule="auto"/>
        <w:ind w:right="0" w:rightChars="0" w:firstLine="643" w:firstLineChars="200"/>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楷体_GB2312" w:hAnsi="楷体_GB2312" w:eastAsia="楷体_GB2312" w:cs="楷体_GB2312"/>
          <w:b/>
          <w:bCs/>
          <w:color w:val="auto"/>
          <w:spacing w:val="0"/>
          <w:sz w:val="32"/>
          <w:szCs w:val="32"/>
          <w:lang w:val="en-US" w:eastAsia="zh-CN"/>
        </w:rPr>
        <w:t>7.加强协商民主建设。</w:t>
      </w:r>
      <w:r>
        <w:rPr>
          <w:rFonts w:hint="eastAsia" w:ascii="仿宋_GB2312" w:hAnsi="仿宋_GB2312" w:eastAsia="仿宋_GB2312" w:cs="仿宋_GB2312"/>
          <w:iCs w:val="0"/>
          <w:color w:val="auto"/>
          <w:spacing w:val="0"/>
          <w:sz w:val="32"/>
          <w:szCs w:val="32"/>
          <w:highlight w:val="none"/>
          <w:lang w:val="en-US" w:eastAsia="zh-CN"/>
        </w:rPr>
        <w:t>认真落实中共中央办公厅《关于加强和改进新时代市县政协工作的意见》，研究制定贯彻落实措施，提升专门协商机构效能。强化调研成果的跟踪、反馈和评估，积极探索“调研—协商—督办”闭环，联合县委、县政府督查室开展重要协商成果回访督办，定期组织开展“回头看”，确保协商成果落实到位、见到成效。</w:t>
      </w:r>
    </w:p>
    <w:p>
      <w:pPr>
        <w:pStyle w:val="3"/>
        <w:keepNext w:val="0"/>
        <w:keepLines w:val="0"/>
        <w:pageBreakBefore w:val="0"/>
        <w:widowControl w:val="0"/>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color w:val="auto"/>
          <w:spacing w:val="0"/>
          <w:lang w:val="en-US" w:eastAsia="zh-CN"/>
        </w:rPr>
      </w:pPr>
      <w:r>
        <w:rPr>
          <w:rFonts w:hint="eastAsia" w:ascii="楷体_GB2312" w:hAnsi="楷体_GB2312" w:eastAsia="楷体_GB2312" w:cs="楷体_GB2312"/>
          <w:b/>
          <w:bCs/>
          <w:iCs w:val="0"/>
          <w:color w:val="auto"/>
          <w:spacing w:val="0"/>
          <w:sz w:val="32"/>
          <w:szCs w:val="32"/>
          <w:highlight w:val="none"/>
          <w:lang w:val="en-US" w:eastAsia="zh-CN"/>
        </w:rPr>
        <w:t>8.提升提案工作质量。</w:t>
      </w:r>
      <w:r>
        <w:rPr>
          <w:rFonts w:hint="eastAsia" w:ascii="仿宋_GB2312" w:hAnsi="仿宋" w:eastAsia="仿宋_GB2312"/>
          <w:color w:val="auto"/>
          <w:spacing w:val="0"/>
          <w:sz w:val="32"/>
          <w:szCs w:val="32"/>
        </w:rPr>
        <w:t>加强政协提案办理工作，完善党委、政府、政协共同交办和督办提案机制，</w:t>
      </w:r>
      <w:r>
        <w:rPr>
          <w:rFonts w:hint="eastAsia" w:ascii="仿宋_GB2312" w:hAnsi="仿宋" w:eastAsia="仿宋_GB2312"/>
          <w:color w:val="auto"/>
          <w:spacing w:val="0"/>
          <w:sz w:val="32"/>
          <w:szCs w:val="32"/>
          <w:lang w:eastAsia="zh-CN"/>
        </w:rPr>
        <w:t>制定</w:t>
      </w:r>
      <w:r>
        <w:rPr>
          <w:rFonts w:hint="eastAsia" w:ascii="仿宋_GB2312" w:hAnsi="仿宋" w:eastAsia="仿宋_GB2312"/>
          <w:color w:val="auto"/>
          <w:spacing w:val="0"/>
          <w:sz w:val="32"/>
          <w:szCs w:val="32"/>
        </w:rPr>
        <w:t>印发《县政协提案办理协商办法》，进一步推进提案办理协商工作程序化、规范化、制度化。</w:t>
      </w:r>
      <w:r>
        <w:rPr>
          <w:rFonts w:hint="eastAsia" w:ascii="仿宋_GB2312" w:eastAsia="仿宋_GB2312"/>
          <w:color w:val="auto"/>
          <w:spacing w:val="0"/>
          <w:sz w:val="32"/>
          <w:szCs w:val="32"/>
          <w:lang w:eastAsia="zh-CN"/>
        </w:rPr>
        <w:t>遴选</w:t>
      </w:r>
      <w:r>
        <w:rPr>
          <w:rFonts w:hint="eastAsia" w:ascii="仿宋_GB2312" w:eastAsia="仿宋_GB2312"/>
          <w:color w:val="auto"/>
          <w:spacing w:val="0"/>
          <w:sz w:val="32"/>
          <w:szCs w:val="32"/>
          <w:lang w:val="en-US" w:eastAsia="zh-CN"/>
        </w:rPr>
        <w:t>5</w:t>
      </w:r>
      <w:r>
        <w:rPr>
          <w:rFonts w:hint="eastAsia" w:ascii="仿宋_GB2312" w:eastAsia="仿宋_GB2312"/>
          <w:color w:val="auto"/>
          <w:spacing w:val="0"/>
          <w:sz w:val="32"/>
          <w:szCs w:val="32"/>
          <w:lang w:eastAsia="zh-CN"/>
        </w:rPr>
        <w:t>件重点提案，持续推进县政协主席会议成员督办重点提案工作，加大提案督办力度。</w:t>
      </w:r>
      <w:r>
        <w:rPr>
          <w:rFonts w:hint="eastAsia" w:ascii="仿宋_GB2312" w:eastAsia="仿宋_GB2312"/>
          <w:color w:val="auto"/>
          <w:spacing w:val="0"/>
          <w:sz w:val="32"/>
          <w:szCs w:val="32"/>
        </w:rPr>
        <w:t>组织开展提案办理“回头看”、跟踪问效、双向评议活动，</w:t>
      </w:r>
      <w:r>
        <w:rPr>
          <w:rFonts w:ascii="仿宋_GB2312" w:eastAsia="仿宋_GB2312"/>
          <w:color w:val="auto"/>
          <w:spacing w:val="0"/>
          <w:sz w:val="32"/>
          <w:szCs w:val="32"/>
        </w:rPr>
        <w:t>不断提升提案办理成效</w:t>
      </w:r>
      <w:r>
        <w:rPr>
          <w:rFonts w:hint="eastAsia" w:ascii="仿宋_GB2312" w:eastAsia="仿宋_GB2312"/>
          <w:color w:val="auto"/>
          <w:spacing w:val="0"/>
          <w:sz w:val="32"/>
          <w:szCs w:val="32"/>
          <w:lang w:eastAsia="zh-CN"/>
        </w:rPr>
        <w:t>。</w:t>
      </w:r>
    </w:p>
    <w:p>
      <w:pPr>
        <w:pStyle w:val="14"/>
        <w:keepNext w:val="0"/>
        <w:keepLines w:val="0"/>
        <w:pageBreakBefore w:val="0"/>
        <w:widowControl w:val="0"/>
        <w:kinsoku/>
        <w:wordWrap/>
        <w:overflowPunct/>
        <w:topLinePunct w:val="0"/>
        <w:autoSpaceDE/>
        <w:autoSpaceDN/>
        <w:bidi w:val="0"/>
        <w:adjustRightInd/>
        <w:snapToGrid w:val="0"/>
        <w:spacing w:line="336" w:lineRule="auto"/>
        <w:ind w:left="0" w:leftChars="0" w:firstLine="643" w:firstLineChars="200"/>
        <w:textAlignment w:val="auto"/>
        <w:rPr>
          <w:rFonts w:hint="eastAsia" w:ascii="仿宋_GB2312" w:hAnsi="仿宋_GB2312" w:eastAsia="仿宋_GB2312" w:cs="仿宋_GB2312"/>
          <w:iCs w:val="0"/>
          <w:color w:val="auto"/>
          <w:spacing w:val="0"/>
          <w:kern w:val="2"/>
          <w:sz w:val="32"/>
          <w:szCs w:val="32"/>
          <w:highlight w:val="none"/>
          <w:lang w:val="en-US" w:eastAsia="zh-CN" w:bidi="ar-SA"/>
        </w:rPr>
      </w:pPr>
      <w:r>
        <w:rPr>
          <w:rFonts w:hint="eastAsia" w:ascii="仿宋_GB2312" w:hAnsi="仿宋_GB2312" w:eastAsia="仿宋_GB2312" w:cs="仿宋_GB2312"/>
          <w:b/>
          <w:bCs/>
          <w:color w:val="auto"/>
          <w:spacing w:val="0"/>
          <w:sz w:val="32"/>
          <w:szCs w:val="32"/>
          <w:lang w:val="en-US" w:eastAsia="zh-CN"/>
        </w:rPr>
        <w:t>9.</w:t>
      </w:r>
      <w:r>
        <w:rPr>
          <w:rFonts w:hint="eastAsia" w:ascii="楷体_GB2312" w:hAnsi="楷体" w:eastAsia="楷体_GB2312" w:cs="仿宋_GB2312"/>
          <w:b/>
          <w:bCs/>
          <w:iCs w:val="0"/>
          <w:color w:val="auto"/>
          <w:spacing w:val="0"/>
          <w:kern w:val="2"/>
          <w:sz w:val="32"/>
          <w:szCs w:val="32"/>
          <w:lang w:val="en-US" w:eastAsia="zh-CN" w:bidi="ar-SA"/>
        </w:rPr>
        <w:t>提高社情民意水平。</w:t>
      </w:r>
      <w:r>
        <w:rPr>
          <w:rFonts w:hint="eastAsia" w:ascii="仿宋_GB2312" w:hAnsi="仿宋_GB2312" w:eastAsia="仿宋_GB2312" w:cs="仿宋_GB2312"/>
          <w:iCs w:val="0"/>
          <w:color w:val="auto"/>
          <w:spacing w:val="0"/>
          <w:kern w:val="2"/>
          <w:sz w:val="32"/>
          <w:szCs w:val="32"/>
          <w:highlight w:val="none"/>
          <w:lang w:val="en-US" w:eastAsia="zh-CN" w:bidi="ar-SA"/>
        </w:rPr>
        <w:t>把反映社情民意信息作为政协重要的经常性、基础性工作，各专委会、政协联络组、委员工作室要引导委员围绕党政关注、群众关心、涉及经济发展和民生改善的问题，积极反映民情民意。发挥社情民意信息的“直通车”作用，及时汇总政协委员和界别群众反映强烈的意见建议，报送县委、县政府领导，助推我县高质量发展和民生福祉改善。</w:t>
      </w:r>
    </w:p>
    <w:p>
      <w:pPr>
        <w:pStyle w:val="14"/>
        <w:keepNext w:val="0"/>
        <w:keepLines w:val="0"/>
        <w:pageBreakBefore w:val="0"/>
        <w:widowControl w:val="0"/>
        <w:kinsoku/>
        <w:wordWrap/>
        <w:overflowPunct/>
        <w:topLinePunct w:val="0"/>
        <w:autoSpaceDE/>
        <w:autoSpaceDN/>
        <w:bidi w:val="0"/>
        <w:adjustRightInd/>
        <w:snapToGrid w:val="0"/>
        <w:spacing w:line="336" w:lineRule="auto"/>
        <w:ind w:left="0" w:leftChars="0" w:firstLine="643" w:firstLineChars="200"/>
        <w:textAlignment w:val="auto"/>
        <w:rPr>
          <w:rFonts w:hint="eastAsia" w:ascii="仿宋_GB2312" w:hAnsi="仿宋_GB2312" w:eastAsia="仿宋_GB2312" w:cs="仿宋_GB2312"/>
          <w:iCs w:val="0"/>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kern w:val="2"/>
          <w:sz w:val="32"/>
          <w:szCs w:val="32"/>
          <w:lang w:val="en-US" w:eastAsia="zh-CN" w:bidi="ar-SA"/>
        </w:rPr>
        <w:t>10.加强委员工作室工作。</w:t>
      </w:r>
      <w:r>
        <w:rPr>
          <w:rFonts w:hint="eastAsia" w:ascii="仿宋_GB2312" w:hAnsi="仿宋_GB2312" w:eastAsia="仿宋_GB2312" w:cs="仿宋_GB2312"/>
          <w:iCs w:val="0"/>
          <w:color w:val="auto"/>
          <w:spacing w:val="0"/>
          <w:sz w:val="32"/>
          <w:szCs w:val="32"/>
          <w:highlight w:val="none"/>
          <w:lang w:val="en-US" w:eastAsia="zh-CN"/>
        </w:rPr>
        <w:t>把委员工作室作为基层协商的重要抓手，制定印发《委员工作室常态化开展活动工作细则》，落实“委员接待日”制度，常态化开展</w:t>
      </w:r>
      <w:r>
        <w:rPr>
          <w:rFonts w:hint="eastAsia" w:ascii="仿宋_GB2312" w:hAnsi="仿宋_GB2312" w:eastAsia="仿宋_GB2312" w:cs="仿宋_GB2312"/>
          <w:b w:val="0"/>
          <w:bCs w:val="0"/>
          <w:color w:val="auto"/>
          <w:spacing w:val="0"/>
          <w:sz w:val="32"/>
          <w:szCs w:val="32"/>
          <w:highlight w:val="none"/>
          <w:lang w:val="en-US" w:eastAsia="zh-CN"/>
        </w:rPr>
        <w:t>“四个一”履职活动，办公室每季度对委员工作室履职情况和县政协各委室联系指导情况进行统计通报，推动</w:t>
      </w:r>
      <w:r>
        <w:rPr>
          <w:rFonts w:hint="eastAsia" w:ascii="仿宋_GB2312" w:hAnsi="仿宋_GB2312" w:eastAsia="仿宋_GB2312" w:cs="仿宋_GB2312"/>
          <w:iCs w:val="0"/>
          <w:color w:val="auto"/>
          <w:spacing w:val="0"/>
          <w:sz w:val="32"/>
          <w:szCs w:val="32"/>
          <w:highlight w:val="none"/>
          <w:lang w:val="en-US" w:eastAsia="zh-CN"/>
        </w:rPr>
        <w:t>委员工作室规范、常态、有效运行，推动政协协商与基层协商深度融合。</w:t>
      </w:r>
      <w:r>
        <w:rPr>
          <w:rFonts w:hint="eastAsia" w:ascii="仿宋_GB2312" w:hAnsi="Calibri" w:eastAsia="仿宋_GB2312" w:cs="仿宋_GB2312"/>
          <w:color w:val="auto"/>
          <w:spacing w:val="0"/>
          <w:kern w:val="2"/>
          <w:sz w:val="32"/>
          <w:szCs w:val="32"/>
          <w:lang w:val="en-US" w:eastAsia="zh-CN" w:bidi="ar"/>
        </w:rPr>
        <w:t>加强</w:t>
      </w:r>
      <w:r>
        <w:rPr>
          <w:rFonts w:hint="eastAsia" w:ascii="仿宋_GB2312" w:hAnsi="仿宋_GB2312" w:eastAsia="仿宋_GB2312" w:cs="仿宋_GB2312"/>
          <w:b w:val="0"/>
          <w:bCs w:val="0"/>
          <w:color w:val="auto"/>
          <w:spacing w:val="0"/>
          <w:sz w:val="32"/>
          <w:szCs w:val="32"/>
          <w:highlight w:val="none"/>
          <w:lang w:val="en-US" w:eastAsia="zh-CN"/>
        </w:rPr>
        <w:t>各委员工作室</w:t>
      </w:r>
      <w:r>
        <w:rPr>
          <w:rFonts w:hint="eastAsia" w:ascii="仿宋_GB2312" w:hAnsi="Calibri" w:eastAsia="仿宋_GB2312" w:cs="仿宋_GB2312"/>
          <w:color w:val="auto"/>
          <w:spacing w:val="0"/>
          <w:kern w:val="2"/>
          <w:sz w:val="32"/>
          <w:szCs w:val="32"/>
          <w:lang w:val="en-US" w:eastAsia="zh-CN" w:bidi="ar"/>
        </w:rPr>
        <w:t>探索创新，探索开展“上门协商”“日常协商”“微协商”等各具特色的协商活动，打造发挥委员特长、彰显工作室特色亮点的基层协商品牌。</w:t>
      </w:r>
    </w:p>
    <w:p>
      <w:pPr>
        <w:keepNext w:val="0"/>
        <w:keepLines w:val="0"/>
        <w:pageBreakBefore w:val="0"/>
        <w:widowControl w:val="0"/>
        <w:kinsoku/>
        <w:wordWrap/>
        <w:overflowPunct/>
        <w:topLinePunct w:val="0"/>
        <w:autoSpaceDE/>
        <w:autoSpaceDN/>
        <w:bidi w:val="0"/>
        <w:adjustRightInd/>
        <w:snapToGrid w:val="0"/>
        <w:spacing w:line="336" w:lineRule="auto"/>
        <w:ind w:firstLine="643" w:firstLineChars="200"/>
        <w:textAlignment w:val="auto"/>
        <w:outlineLvl w:val="9"/>
        <w:rPr>
          <w:rFonts w:hint="eastAsia" w:ascii="黑体" w:hAnsi="黑体" w:eastAsia="黑体" w:cs="黑体"/>
          <w:b w:val="0"/>
          <w:bCs w:val="0"/>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lang w:val="en-US" w:eastAsia="zh-CN"/>
        </w:rPr>
        <w:t>11.主动服务中心大局</w:t>
      </w:r>
      <w:r>
        <w:rPr>
          <w:rFonts w:hint="eastAsia" w:ascii="楷体_GB2312" w:hAnsi="仿宋_GB2312" w:eastAsia="楷体_GB2312" w:cs="仿宋_GB2312"/>
          <w:b/>
          <w:bCs/>
          <w:color w:val="auto"/>
          <w:spacing w:val="0"/>
          <w:sz w:val="32"/>
          <w:szCs w:val="32"/>
        </w:rPr>
        <w:t>。</w:t>
      </w:r>
      <w:r>
        <w:rPr>
          <w:rFonts w:hint="eastAsia" w:ascii="仿宋_GB2312" w:hAnsi="仿宋_GB2312" w:eastAsia="仿宋_GB2312" w:cs="仿宋_GB2312"/>
          <w:b w:val="0"/>
          <w:bCs w:val="0"/>
          <w:color w:val="auto"/>
          <w:spacing w:val="0"/>
          <w:kern w:val="2"/>
          <w:sz w:val="32"/>
          <w:szCs w:val="32"/>
          <w:lang w:val="en-US" w:eastAsia="zh-CN" w:bidi="ar-SA"/>
        </w:rPr>
        <w:t>围绕巩</w:t>
      </w:r>
      <w:r>
        <w:rPr>
          <w:rFonts w:hint="eastAsia" w:ascii="仿宋_GB2312" w:hAnsi="仿宋_GB2312" w:eastAsia="仿宋_GB2312" w:cs="仿宋_GB2312"/>
          <w:b w:val="0"/>
          <w:bCs w:val="0"/>
          <w:color w:val="auto"/>
          <w:spacing w:val="0"/>
          <w:kern w:val="2"/>
          <w:sz w:val="32"/>
          <w:szCs w:val="32"/>
          <w:u w:val="none"/>
          <w:lang w:val="en-US" w:eastAsia="zh-CN" w:bidi="ar-SA"/>
        </w:rPr>
        <w:t>固拓展脱贫攻坚成果同乡村振兴有效衔接工作，</w:t>
      </w:r>
      <w:r>
        <w:rPr>
          <w:rFonts w:hint="eastAsia" w:ascii="仿宋_GB2312" w:hAnsi="仿宋_GB2312" w:eastAsia="仿宋_GB2312" w:cs="仿宋_GB2312"/>
          <w:color w:val="auto"/>
          <w:spacing w:val="0"/>
          <w:sz w:val="32"/>
          <w:szCs w:val="32"/>
        </w:rPr>
        <w:t>继续做好</w:t>
      </w:r>
      <w:r>
        <w:rPr>
          <w:rFonts w:hint="eastAsia" w:ascii="仿宋_GB2312" w:hAnsi="仿宋_GB2312" w:eastAsia="仿宋_GB2312" w:cs="仿宋_GB2312"/>
          <w:color w:val="auto"/>
          <w:spacing w:val="0"/>
          <w:sz w:val="32"/>
          <w:szCs w:val="32"/>
          <w:lang w:eastAsia="zh-CN"/>
        </w:rPr>
        <w:t>县政协</w:t>
      </w:r>
      <w:r>
        <w:rPr>
          <w:rFonts w:hint="eastAsia" w:ascii="仿宋_GB2312" w:hAnsi="仿宋_GB2312" w:eastAsia="仿宋_GB2312" w:cs="仿宋_GB2312"/>
          <w:color w:val="auto"/>
          <w:spacing w:val="0"/>
          <w:sz w:val="32"/>
          <w:szCs w:val="32"/>
        </w:rPr>
        <w:t>主席</w:t>
      </w:r>
      <w:r>
        <w:rPr>
          <w:rFonts w:hint="eastAsia" w:ascii="仿宋_GB2312" w:hAnsi="仿宋_GB2312" w:eastAsia="仿宋_GB2312" w:cs="仿宋_GB2312"/>
          <w:color w:val="auto"/>
          <w:spacing w:val="0"/>
          <w:sz w:val="32"/>
          <w:szCs w:val="32"/>
          <w:lang w:eastAsia="zh-CN"/>
        </w:rPr>
        <w:t>、副主席</w:t>
      </w:r>
      <w:r>
        <w:rPr>
          <w:rFonts w:hint="eastAsia" w:ascii="仿宋_GB2312" w:hAnsi="仿宋_GB2312" w:eastAsia="仿宋_GB2312" w:cs="仿宋_GB2312"/>
          <w:color w:val="auto"/>
          <w:spacing w:val="0"/>
          <w:sz w:val="32"/>
          <w:szCs w:val="32"/>
        </w:rPr>
        <w:t>联镇</w:t>
      </w:r>
      <w:r>
        <w:rPr>
          <w:rFonts w:hint="eastAsia" w:ascii="仿宋_GB2312" w:hAnsi="仿宋_GB2312" w:eastAsia="仿宋_GB2312" w:cs="仿宋_GB2312"/>
          <w:color w:val="auto"/>
          <w:spacing w:val="0"/>
          <w:sz w:val="32"/>
          <w:szCs w:val="32"/>
          <w:lang w:eastAsia="zh-CN"/>
        </w:rPr>
        <w:t>包</w:t>
      </w:r>
      <w:r>
        <w:rPr>
          <w:rFonts w:hint="eastAsia" w:ascii="仿宋_GB2312" w:hAnsi="仿宋_GB2312" w:eastAsia="仿宋_GB2312" w:cs="仿宋_GB2312"/>
          <w:color w:val="auto"/>
          <w:spacing w:val="0"/>
          <w:sz w:val="32"/>
          <w:szCs w:val="32"/>
        </w:rPr>
        <w:t>村和机关包村、干部联户工作，力争所包联的镇村各项工作走在全县前列。</w:t>
      </w:r>
      <w:r>
        <w:rPr>
          <w:rFonts w:hint="eastAsia" w:ascii="仿宋_GB2312" w:hAnsi="仿宋_GB2312" w:eastAsia="仿宋_GB2312" w:cs="仿宋_GB2312"/>
          <w:color w:val="auto"/>
          <w:spacing w:val="0"/>
          <w:sz w:val="32"/>
          <w:szCs w:val="32"/>
          <w:lang w:eastAsia="zh-CN"/>
        </w:rPr>
        <w:t>深入落实</w:t>
      </w:r>
      <w:r>
        <w:rPr>
          <w:rFonts w:hint="eastAsia" w:ascii="仿宋_GB2312" w:hAnsi="仿宋" w:eastAsia="仿宋_GB2312" w:cs="宋体"/>
          <w:color w:val="auto"/>
          <w:spacing w:val="0"/>
          <w:kern w:val="0"/>
          <w:sz w:val="32"/>
          <w:szCs w:val="32"/>
          <w:lang w:eastAsia="zh-CN"/>
        </w:rPr>
        <w:t>县政协主席包抓修脚足浴产业链、县政协领导班子成员</w:t>
      </w:r>
      <w:r>
        <w:rPr>
          <w:rFonts w:hint="eastAsia" w:ascii="仿宋_GB2312" w:hAnsi="仿宋" w:eastAsia="仿宋_GB2312" w:cs="宋体"/>
          <w:color w:val="auto"/>
          <w:spacing w:val="0"/>
          <w:kern w:val="0"/>
          <w:sz w:val="32"/>
          <w:szCs w:val="32"/>
        </w:rPr>
        <w:t>帮扶企业“六个一”工作机制</w:t>
      </w:r>
      <w:r>
        <w:rPr>
          <w:rFonts w:hint="eastAsia" w:ascii="仿宋_GB2312" w:hAnsi="仿宋" w:eastAsia="仿宋_GB2312" w:cs="宋体"/>
          <w:color w:val="auto"/>
          <w:spacing w:val="0"/>
          <w:kern w:val="0"/>
          <w:sz w:val="32"/>
          <w:szCs w:val="32"/>
          <w:lang w:eastAsia="zh-CN"/>
        </w:rPr>
        <w:t>和</w:t>
      </w:r>
      <w:r>
        <w:rPr>
          <w:rFonts w:hint="eastAsia" w:ascii="仿宋_GB2312" w:hAnsi="仿宋" w:eastAsia="仿宋_GB2312" w:cs="宋体"/>
          <w:color w:val="auto"/>
          <w:spacing w:val="0"/>
          <w:kern w:val="0"/>
          <w:sz w:val="32"/>
          <w:szCs w:val="32"/>
        </w:rPr>
        <w:t>包抓“五上”企业工作</w:t>
      </w:r>
      <w:r>
        <w:rPr>
          <w:rFonts w:hint="eastAsia" w:ascii="仿宋_GB2312" w:hAnsi="仿宋" w:eastAsia="仿宋_GB2312" w:cs="宋体"/>
          <w:color w:val="auto"/>
          <w:spacing w:val="0"/>
          <w:kern w:val="0"/>
          <w:sz w:val="32"/>
          <w:szCs w:val="32"/>
          <w:lang w:eastAsia="zh-CN"/>
        </w:rPr>
        <w:t>。</w:t>
      </w:r>
      <w:r>
        <w:rPr>
          <w:rFonts w:hint="eastAsia" w:ascii="仿宋_GB2312" w:hAnsi="仿宋_GB2312" w:eastAsia="仿宋_GB2312" w:cs="仿宋_GB2312"/>
          <w:color w:val="auto"/>
          <w:spacing w:val="0"/>
          <w:sz w:val="32"/>
          <w:szCs w:val="32"/>
        </w:rPr>
        <w:t>充分发挥政协联系广泛的优势，组织政协委员主动投身</w:t>
      </w:r>
      <w:r>
        <w:rPr>
          <w:rFonts w:hint="eastAsia" w:ascii="仿宋_GB2312" w:hAnsi="仿宋_GB2312" w:eastAsia="仿宋_GB2312" w:cs="仿宋_GB2312"/>
          <w:color w:val="auto"/>
          <w:spacing w:val="0"/>
          <w:sz w:val="32"/>
          <w:szCs w:val="32"/>
          <w:lang w:eastAsia="zh-CN"/>
        </w:rPr>
        <w:t>到项目建设、</w:t>
      </w:r>
      <w:r>
        <w:rPr>
          <w:rFonts w:hint="eastAsia" w:ascii="仿宋_GB2312" w:hAnsi="仿宋_GB2312" w:eastAsia="仿宋_GB2312" w:cs="仿宋_GB2312"/>
          <w:color w:val="auto"/>
          <w:spacing w:val="0"/>
          <w:sz w:val="32"/>
          <w:szCs w:val="32"/>
        </w:rPr>
        <w:t>招商引资</w:t>
      </w:r>
      <w:r>
        <w:rPr>
          <w:rFonts w:hint="eastAsia" w:ascii="仿宋_GB2312" w:hAnsi="仿宋_GB2312" w:eastAsia="仿宋_GB2312" w:cs="仿宋_GB2312"/>
          <w:color w:val="auto"/>
          <w:spacing w:val="0"/>
          <w:sz w:val="32"/>
          <w:szCs w:val="32"/>
          <w:lang w:eastAsia="zh-CN"/>
        </w:rPr>
        <w:t>等工作</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color w:val="auto"/>
          <w:spacing w:val="0"/>
          <w:sz w:val="32"/>
          <w:szCs w:val="32"/>
          <w:lang w:eastAsia="zh-CN"/>
        </w:rPr>
        <w:t>助推</w:t>
      </w:r>
      <w:r>
        <w:rPr>
          <w:rFonts w:hint="eastAsia" w:ascii="仿宋_GB2312" w:hAnsi="仿宋_GB2312" w:eastAsia="仿宋_GB2312" w:cs="仿宋_GB2312"/>
          <w:color w:val="auto"/>
          <w:spacing w:val="0"/>
          <w:sz w:val="32"/>
          <w:szCs w:val="32"/>
        </w:rPr>
        <w:t>县域经济</w:t>
      </w:r>
      <w:r>
        <w:rPr>
          <w:rFonts w:hint="eastAsia" w:ascii="仿宋_GB2312" w:hAnsi="仿宋_GB2312" w:eastAsia="仿宋_GB2312" w:cs="仿宋_GB2312"/>
          <w:color w:val="auto"/>
          <w:spacing w:val="0"/>
          <w:sz w:val="32"/>
          <w:szCs w:val="32"/>
          <w:lang w:eastAsia="zh-CN"/>
        </w:rPr>
        <w:t>高质量</w:t>
      </w:r>
      <w:r>
        <w:rPr>
          <w:rFonts w:hint="eastAsia" w:ascii="仿宋_GB2312" w:hAnsi="仿宋_GB2312" w:eastAsia="仿宋_GB2312" w:cs="仿宋_GB2312"/>
          <w:color w:val="auto"/>
          <w:spacing w:val="0"/>
          <w:sz w:val="32"/>
          <w:szCs w:val="32"/>
        </w:rPr>
        <w:t>发展。</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rPr>
          <w:rFonts w:hint="eastAsia" w:ascii="黑体" w:hAnsi="黑体" w:eastAsia="黑体" w:cs="黑体"/>
          <w:b w:val="0"/>
          <w:bCs w:val="0"/>
          <w:color w:val="auto"/>
          <w:spacing w:val="0"/>
          <w:sz w:val="32"/>
          <w:szCs w:val="32"/>
          <w:highlight w:val="none"/>
          <w:lang w:val="en-US" w:eastAsia="zh-CN"/>
        </w:rPr>
      </w:pPr>
      <w:r>
        <w:rPr>
          <w:rFonts w:hint="eastAsia" w:ascii="黑体" w:hAnsi="黑体" w:eastAsia="黑体" w:cs="黑体"/>
          <w:b w:val="0"/>
          <w:bCs w:val="0"/>
          <w:color w:val="auto"/>
          <w:spacing w:val="0"/>
          <w:sz w:val="32"/>
          <w:szCs w:val="32"/>
          <w:highlight w:val="none"/>
          <w:lang w:val="en-US" w:eastAsia="zh-CN"/>
        </w:rPr>
        <w:t>（四）强化责任担当，加强自身建设</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楷体_GB2312" w:eastAsia="楷体_GB2312"/>
          <w:b/>
          <w:bCs/>
          <w:color w:val="auto"/>
          <w:spacing w:val="0"/>
          <w:sz w:val="32"/>
          <w:szCs w:val="32"/>
          <w:lang w:val="en-US" w:eastAsia="zh-CN"/>
        </w:rPr>
        <w:t>12.</w:t>
      </w:r>
      <w:r>
        <w:rPr>
          <w:rFonts w:hint="eastAsia" w:ascii="楷体_GB2312" w:eastAsia="楷体_GB2312"/>
          <w:b/>
          <w:bCs/>
          <w:color w:val="auto"/>
          <w:spacing w:val="0"/>
          <w:sz w:val="32"/>
          <w:szCs w:val="32"/>
        </w:rPr>
        <w:t>加强常委会建设。</w:t>
      </w:r>
      <w:r>
        <w:rPr>
          <w:rFonts w:hint="eastAsia" w:ascii="仿宋_GB2312" w:hAnsi="仿宋_GB2312" w:eastAsia="仿宋_GB2312" w:cs="仿宋_GB2312"/>
          <w:iCs/>
          <w:color w:val="auto"/>
          <w:spacing w:val="0"/>
          <w:sz w:val="32"/>
          <w:szCs w:val="32"/>
          <w:lang w:eastAsia="zh-CN"/>
        </w:rPr>
        <w:t>认真落实常务委员履职工作规定，</w:t>
      </w:r>
      <w:r>
        <w:rPr>
          <w:rFonts w:hint="eastAsia" w:ascii="仿宋_GB2312" w:hAnsi="仿宋_GB2312" w:eastAsia="仿宋_GB2312" w:cs="仿宋_GB2312"/>
          <w:color w:val="auto"/>
          <w:spacing w:val="0"/>
          <w:sz w:val="32"/>
          <w:szCs w:val="32"/>
          <w:lang w:eastAsia="zh-CN"/>
        </w:rPr>
        <w:t>修订印发</w:t>
      </w:r>
      <w:r>
        <w:rPr>
          <w:rFonts w:hint="eastAsia" w:ascii="仿宋_GB2312" w:hAnsi="仿宋_GB2312" w:eastAsia="仿宋_GB2312" w:cs="仿宋_GB2312"/>
          <w:color w:val="auto"/>
          <w:spacing w:val="0"/>
          <w:sz w:val="32"/>
          <w:szCs w:val="32"/>
        </w:rPr>
        <w:t>《常委年度履职报告制度》</w:t>
      </w:r>
      <w:r>
        <w:rPr>
          <w:rFonts w:hint="eastAsia" w:ascii="仿宋_GB2312" w:hAnsi="仿宋_GB2312" w:eastAsia="仿宋_GB2312" w:cs="仿宋_GB2312"/>
          <w:color w:val="auto"/>
          <w:spacing w:val="0"/>
          <w:sz w:val="32"/>
          <w:szCs w:val="32"/>
          <w:lang w:eastAsia="zh-CN"/>
        </w:rPr>
        <w:t>，召开政协常委会议组织常委进行述职，</w:t>
      </w:r>
      <w:r>
        <w:rPr>
          <w:rFonts w:hint="eastAsia" w:ascii="仿宋_GB2312" w:eastAsia="仿宋_GB2312"/>
          <w:color w:val="auto"/>
          <w:spacing w:val="0"/>
          <w:sz w:val="32"/>
          <w:szCs w:val="32"/>
        </w:rPr>
        <w:t>对党员常委履职</w:t>
      </w:r>
      <w:r>
        <w:rPr>
          <w:rFonts w:hint="eastAsia" w:ascii="仿宋_GB2312" w:eastAsia="仿宋_GB2312"/>
          <w:color w:val="auto"/>
          <w:spacing w:val="0"/>
          <w:sz w:val="32"/>
          <w:szCs w:val="32"/>
          <w:lang w:eastAsia="zh-CN"/>
        </w:rPr>
        <w:t>情况进行</w:t>
      </w:r>
      <w:r>
        <w:rPr>
          <w:rFonts w:hint="eastAsia" w:ascii="仿宋_GB2312" w:eastAsia="仿宋_GB2312"/>
          <w:color w:val="auto"/>
          <w:spacing w:val="0"/>
          <w:sz w:val="32"/>
          <w:szCs w:val="32"/>
        </w:rPr>
        <w:t>点评</w:t>
      </w:r>
      <w:r>
        <w:rPr>
          <w:rFonts w:hint="eastAsia" w:ascii="仿宋_GB2312" w:hAnsi="仿宋_GB2312" w:eastAsia="仿宋_GB2312" w:cs="仿宋_GB2312"/>
          <w:color w:val="auto"/>
          <w:spacing w:val="0"/>
          <w:sz w:val="32"/>
          <w:szCs w:val="32"/>
        </w:rPr>
        <w:t>。</w:t>
      </w:r>
      <w:r>
        <w:rPr>
          <w:rFonts w:hint="eastAsia" w:ascii="仿宋_GB2312" w:hAnsi="仿宋_GB2312" w:eastAsia="仿宋_GB2312" w:cs="仿宋_GB2312"/>
          <w:iCs/>
          <w:color w:val="auto"/>
          <w:spacing w:val="0"/>
          <w:sz w:val="32"/>
          <w:szCs w:val="32"/>
        </w:rPr>
        <w:t>常委会组成人员要增强政治意识、责任意识、表率意识，发挥模范带头作用，争当履职尽责的表率、争当团结合作的表率、争当遵章守纪的表率。</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13.加强委员履职管理。</w:t>
      </w:r>
      <w:r>
        <w:rPr>
          <w:rFonts w:hint="eastAsia" w:ascii="仿宋_GB2312" w:hAnsi="仿宋_GB2312" w:eastAsia="仿宋_GB2312" w:cs="仿宋_GB2312"/>
          <w:b w:val="0"/>
          <w:bCs w:val="0"/>
          <w:color w:val="auto"/>
          <w:spacing w:val="0"/>
          <w:sz w:val="32"/>
          <w:szCs w:val="32"/>
          <w:highlight w:val="none"/>
          <w:lang w:val="en-US" w:eastAsia="zh-CN"/>
        </w:rPr>
        <w:t>加强委员队伍建设，制定印发《县政协委员退出和暂停履职的若干规定》。</w:t>
      </w:r>
      <w:r>
        <w:rPr>
          <w:rFonts w:hint="eastAsia" w:ascii="仿宋_GB2312" w:hAnsi="仿宋_GB2312" w:eastAsia="仿宋_GB2312" w:cs="仿宋_GB2312"/>
          <w:color w:val="auto"/>
          <w:spacing w:val="0"/>
          <w:sz w:val="32"/>
          <w:szCs w:val="32"/>
          <w:lang w:val="en-US" w:eastAsia="zh-CN"/>
        </w:rPr>
        <w:t>落实好委员履职工作规则和履职量化评价办法，注重日常的评定评价</w:t>
      </w:r>
      <w:r>
        <w:rPr>
          <w:rFonts w:hint="eastAsia" w:ascii="仿宋_GB2312" w:hAnsi="仿宋_GB2312" w:eastAsia="仿宋_GB2312" w:cs="仿宋_GB2312"/>
          <w:b w:val="0"/>
          <w:bCs w:val="0"/>
          <w:color w:val="auto"/>
          <w:spacing w:val="0"/>
          <w:sz w:val="32"/>
          <w:szCs w:val="32"/>
          <w:highlight w:val="none"/>
          <w:lang w:val="en-US" w:eastAsia="zh-CN"/>
        </w:rPr>
        <w:t>。主席会议成员定期走访政协委员，加强政协机关和政协委员之间的联系。优化委员队伍结构和界别设置，</w:t>
      </w:r>
      <w:r>
        <w:rPr>
          <w:rFonts w:hint="eastAsia" w:ascii="仿宋_GB2312" w:hAnsi="仿宋_GB2312" w:eastAsia="仿宋_GB2312" w:cs="仿宋_GB2312"/>
          <w:i w:val="0"/>
          <w:iCs w:val="0"/>
          <w:caps w:val="0"/>
          <w:color w:val="auto"/>
          <w:spacing w:val="0"/>
          <w:sz w:val="31"/>
          <w:szCs w:val="31"/>
          <w:shd w:val="clear" w:fill="FFFFFF"/>
        </w:rPr>
        <w:t>鼓励跨界别组织活动，</w:t>
      </w:r>
      <w:r>
        <w:rPr>
          <w:rFonts w:hint="eastAsia" w:ascii="仿宋_GB2312" w:hAnsi="仿宋_GB2312" w:eastAsia="仿宋_GB2312" w:cs="仿宋_GB2312"/>
          <w:b w:val="0"/>
          <w:bCs w:val="0"/>
          <w:color w:val="auto"/>
          <w:spacing w:val="0"/>
          <w:sz w:val="32"/>
          <w:szCs w:val="32"/>
          <w:highlight w:val="none"/>
          <w:lang w:val="en-US" w:eastAsia="zh-CN"/>
        </w:rPr>
        <w:t>加强各界别之间委员的沟通联系，</w:t>
      </w:r>
      <w:r>
        <w:rPr>
          <w:rFonts w:hint="eastAsia" w:ascii="仿宋_GB2312" w:hAnsi="仿宋_GB2312" w:eastAsia="仿宋_GB2312" w:cs="仿宋_GB2312"/>
          <w:i w:val="0"/>
          <w:iCs w:val="0"/>
          <w:caps w:val="0"/>
          <w:color w:val="auto"/>
          <w:spacing w:val="0"/>
          <w:sz w:val="31"/>
          <w:szCs w:val="31"/>
          <w:shd w:val="clear" w:fill="FFFFFF"/>
        </w:rPr>
        <w:t>推动履职工作上新水平。</w:t>
      </w:r>
    </w:p>
    <w:p>
      <w:pPr>
        <w:pStyle w:val="14"/>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b w:val="0"/>
          <w:bCs w:val="0"/>
          <w:color w:val="auto"/>
          <w:spacing w:val="0"/>
          <w:sz w:val="32"/>
          <w:szCs w:val="32"/>
          <w:highlight w:val="none"/>
          <w:lang w:val="en-US" w:eastAsia="zh-CN"/>
        </w:rPr>
      </w:pPr>
      <w:r>
        <w:rPr>
          <w:rFonts w:hint="eastAsia" w:ascii="楷体_GB2312" w:hAnsi="楷体_GB2312" w:eastAsia="楷体_GB2312" w:cs="楷体_GB2312"/>
          <w:b/>
          <w:bCs/>
          <w:color w:val="auto"/>
          <w:spacing w:val="0"/>
          <w:sz w:val="32"/>
          <w:szCs w:val="32"/>
          <w:highlight w:val="none"/>
          <w:lang w:val="en-US" w:eastAsia="zh-CN"/>
        </w:rPr>
        <w:t>14.加强专委会建设。</w:t>
      </w:r>
      <w:r>
        <w:rPr>
          <w:rFonts w:hint="eastAsia" w:ascii="仿宋_GB2312" w:hAnsi="仿宋_GB2312" w:eastAsia="仿宋_GB2312" w:cs="仿宋_GB2312"/>
          <w:b w:val="0"/>
          <w:bCs w:val="0"/>
          <w:color w:val="auto"/>
          <w:spacing w:val="0"/>
          <w:sz w:val="32"/>
          <w:szCs w:val="32"/>
          <w:highlight w:val="none"/>
          <w:lang w:val="en-US" w:eastAsia="zh-CN"/>
        </w:rPr>
        <w:t>充分发挥专委会“专”的优势，结合县政协机构改革后委室名称及职能调整情况，修订完善《县政协专门委员会同党政部门对口协商制度》，推进县政协专委会和党政部门对口联系协商制度化、规范化、常态化。各专委会结合自身优势特点，组织专委会委员开展“9·21”委员活动日等活动，努力把专委会建设成发挥委员作用的平台、反映社情民意的窗口、加强委员联系的纽带、开展委员活动的阵地，提升政协组织凝聚力，使专委会在政协整体工作中发挥更大作用。</w:t>
      </w:r>
    </w:p>
    <w:p>
      <w:pPr>
        <w:pStyle w:val="11"/>
        <w:keepNext w:val="0"/>
        <w:keepLines w:val="0"/>
        <w:pageBreakBefore w:val="0"/>
        <w:widowControl w:val="0"/>
        <w:kinsoku/>
        <w:wordWrap/>
        <w:overflowPunct/>
        <w:topLinePunct w:val="0"/>
        <w:autoSpaceDE/>
        <w:autoSpaceDN/>
        <w:bidi w:val="0"/>
        <w:adjustRightInd/>
        <w:snapToGrid w:val="0"/>
        <w:spacing w:after="0" w:afterLines="0" w:line="336" w:lineRule="auto"/>
        <w:ind w:left="0" w:leftChars="0" w:firstLine="643" w:firstLineChars="200"/>
        <w:textAlignment w:val="auto"/>
        <w:rPr>
          <w:rFonts w:hint="eastAsia" w:ascii="仿宋_GB2312" w:hAnsi="仿宋_GB2312" w:eastAsia="仿宋_GB2312" w:cs="仿宋_GB2312"/>
          <w:b w:val="0"/>
          <w:bCs w:val="0"/>
          <w:color w:val="auto"/>
          <w:spacing w:val="0"/>
          <w:kern w:val="2"/>
          <w:sz w:val="32"/>
          <w:szCs w:val="32"/>
          <w:highlight w:val="none"/>
          <w:lang w:val="en-US" w:eastAsia="zh-CN" w:bidi="ar-SA"/>
        </w:rPr>
      </w:pPr>
      <w:r>
        <w:rPr>
          <w:rFonts w:hint="eastAsia" w:ascii="楷体_GB2312" w:hAnsi="楷体_GB2312" w:eastAsia="楷体_GB2312" w:cs="楷体_GB2312"/>
          <w:b/>
          <w:bCs/>
          <w:color w:val="auto"/>
          <w:spacing w:val="0"/>
          <w:sz w:val="32"/>
          <w:szCs w:val="32"/>
          <w:highlight w:val="none"/>
          <w:lang w:val="en-US" w:eastAsia="zh-CN"/>
        </w:rPr>
        <w:t>15.加强联络组工作。</w:t>
      </w:r>
      <w:r>
        <w:rPr>
          <w:rFonts w:hint="eastAsia" w:ascii="仿宋_GB2312" w:hAnsi="仿宋_GB2312" w:eastAsia="仿宋_GB2312" w:cs="仿宋_GB2312"/>
          <w:b w:val="0"/>
          <w:bCs w:val="0"/>
          <w:color w:val="auto"/>
          <w:spacing w:val="0"/>
          <w:kern w:val="2"/>
          <w:sz w:val="32"/>
          <w:szCs w:val="32"/>
          <w:highlight w:val="none"/>
          <w:lang w:val="en-US" w:eastAsia="zh-CN" w:bidi="ar-SA"/>
        </w:rPr>
        <w:t>制定印发《政协联络组活动规则》，充分发挥政协联络组的桥梁和纽带作用。加强对县政协各联络组的工作指导，建立县政协领导班子成员包抓、专委会联系联络组工作机制，各镇联络组要常态化开展</w:t>
      </w:r>
      <w:r>
        <w:rPr>
          <w:rFonts w:hint="eastAsia" w:ascii="仿宋_GB2312" w:hAnsi="仿宋_GB2312" w:eastAsia="仿宋_GB2312" w:cs="仿宋_GB2312"/>
          <w:b w:val="0"/>
          <w:bCs w:val="0"/>
          <w:color w:val="auto"/>
          <w:spacing w:val="0"/>
          <w:sz w:val="32"/>
          <w:szCs w:val="32"/>
          <w:highlight w:val="none"/>
          <w:lang w:val="en-US" w:eastAsia="zh-CN"/>
        </w:rPr>
        <w:t>“四个一”履职活动。</w:t>
      </w:r>
      <w:r>
        <w:rPr>
          <w:rFonts w:hint="eastAsia" w:ascii="仿宋_GB2312" w:hAnsi="仿宋_GB2312" w:eastAsia="仿宋_GB2312" w:cs="仿宋_GB2312"/>
          <w:b w:val="0"/>
          <w:bCs w:val="0"/>
          <w:color w:val="auto"/>
          <w:spacing w:val="0"/>
          <w:kern w:val="2"/>
          <w:sz w:val="32"/>
          <w:szCs w:val="32"/>
          <w:highlight w:val="none"/>
          <w:lang w:val="en-US" w:eastAsia="zh-CN" w:bidi="ar-SA"/>
        </w:rPr>
        <w:t>加强联络组工作力量，吸纳当地乡贤、村干部、群众代表共同参与联络组工作。要加强探索创新，积极培育“有事好商量”“协商在一线”“微协商”等各具特色的协商品牌，切实把政协协商优势转化为基层治理效能。</w:t>
      </w:r>
    </w:p>
    <w:p>
      <w:pPr>
        <w:pStyle w:val="11"/>
        <w:keepNext w:val="0"/>
        <w:keepLines w:val="0"/>
        <w:pageBreakBefore w:val="0"/>
        <w:widowControl w:val="0"/>
        <w:kinsoku/>
        <w:wordWrap/>
        <w:overflowPunct/>
        <w:topLinePunct w:val="0"/>
        <w:autoSpaceDE/>
        <w:autoSpaceDN/>
        <w:bidi w:val="0"/>
        <w:adjustRightInd/>
        <w:snapToGrid w:val="0"/>
        <w:spacing w:after="0" w:afterLines="0" w:line="336" w:lineRule="auto"/>
        <w:ind w:left="0" w:leftChars="0" w:firstLine="643" w:firstLineChars="200"/>
        <w:textAlignment w:val="auto"/>
      </w:pPr>
      <w:r>
        <w:rPr>
          <w:rFonts w:hint="eastAsia" w:ascii="楷体_GB2312" w:hAnsi="楷体_GB2312" w:eastAsia="楷体_GB2312" w:cs="楷体_GB2312"/>
          <w:b/>
          <w:bCs/>
          <w:color w:val="auto"/>
          <w:spacing w:val="0"/>
          <w:sz w:val="32"/>
          <w:szCs w:val="32"/>
          <w:highlight w:val="none"/>
          <w:lang w:val="en-US" w:eastAsia="zh-CN"/>
        </w:rPr>
        <w:t>16.</w:t>
      </w:r>
      <w:r>
        <w:rPr>
          <w:rFonts w:hint="eastAsia" w:ascii="楷体_GB2312" w:hAnsi="楷体_GB2312" w:eastAsia="楷体_GB2312" w:cs="楷体_GB2312"/>
          <w:b/>
          <w:bCs/>
          <w:iCs w:val="0"/>
          <w:color w:val="auto"/>
          <w:spacing w:val="0"/>
          <w:kern w:val="2"/>
          <w:sz w:val="32"/>
          <w:szCs w:val="32"/>
          <w:lang w:val="en-US" w:eastAsia="zh-CN" w:bidi="ar-SA"/>
        </w:rPr>
        <w:t>抓好政协机关建设。</w:t>
      </w:r>
      <w:r>
        <w:rPr>
          <w:rFonts w:hint="eastAsia" w:ascii="仿宋_GB2312" w:hAnsi="仿宋_GB2312" w:eastAsia="仿宋_GB2312" w:cs="仿宋_GB2312"/>
          <w:iCs w:val="0"/>
          <w:color w:val="auto"/>
          <w:spacing w:val="0"/>
          <w:kern w:val="2"/>
          <w:sz w:val="32"/>
          <w:szCs w:val="32"/>
          <w:highlight w:val="none"/>
          <w:lang w:val="en-US" w:eastAsia="zh-CN" w:bidi="ar-SA"/>
        </w:rPr>
        <w:t>以加强自身建设为抓手，全力打造政治强、业务精、作风硬、服务优的模范机关。进一步健全完善机关工作流程和工作制度，大力推进政协机关规范化、精细化建设，着力提升服务保障、调查研究、办文办会水平。推进“书香政协”建设，开展政协机关干部读书活动，引导委员多读书、读好书、善读书。加强</w:t>
      </w:r>
      <w:r>
        <w:rPr>
          <w:rFonts w:hint="eastAsia" w:ascii="仿宋_GB2312" w:hAnsi="仿宋_GB2312" w:eastAsia="仿宋_GB2312" w:cs="仿宋_GB2312"/>
          <w:color w:val="auto"/>
          <w:spacing w:val="0"/>
          <w:sz w:val="32"/>
          <w:szCs w:val="32"/>
          <w:lang w:eastAsia="zh-CN"/>
        </w:rPr>
        <w:t>政协宣传工作</w:t>
      </w:r>
      <w:r>
        <w:rPr>
          <w:rFonts w:hint="eastAsia" w:ascii="仿宋_GB2312" w:hAnsi="仿宋_GB2312" w:eastAsia="仿宋_GB2312" w:cs="仿宋_GB2312"/>
          <w:color w:val="auto"/>
          <w:spacing w:val="0"/>
          <w:sz w:val="32"/>
          <w:szCs w:val="32"/>
        </w:rPr>
        <w:t>，办好政协网站、政协微信公众号和东来书院微信公众号，</w:t>
      </w:r>
      <w:r>
        <w:rPr>
          <w:rFonts w:hint="eastAsia" w:ascii="仿宋_GB2312" w:hAnsi="仿宋_GB2312" w:eastAsia="仿宋_GB2312" w:cs="仿宋_GB2312"/>
          <w:iCs w:val="0"/>
          <w:color w:val="auto"/>
          <w:spacing w:val="0"/>
          <w:sz w:val="32"/>
          <w:szCs w:val="32"/>
          <w:highlight w:val="none"/>
          <w:lang w:val="en-US" w:eastAsia="zh-CN"/>
        </w:rPr>
        <w:t>积极传播政协声音、展示委员风采，提升政协社会影响。</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iCs w:val="0"/>
          <w:color w:val="auto"/>
          <w:spacing w:val="0"/>
          <w:kern w:val="2"/>
          <w:sz w:val="32"/>
          <w:szCs w:val="32"/>
          <w:highlight w:val="none"/>
          <w:lang w:val="en-US" w:eastAsia="zh-CN" w:bidi="ar-SA"/>
        </w:rPr>
        <w:t>从预算单位构成看，本部门的部门预算包括部门本级（机关）</w:t>
      </w:r>
      <w:r>
        <w:rPr>
          <w:rFonts w:hint="eastAsia" w:ascii="仿宋_GB2312" w:hAnsi="仿宋_GB2312" w:eastAsia="仿宋_GB2312" w:cs="仿宋_GB2312"/>
          <w:sz w:val="32"/>
          <w:szCs w:val="32"/>
        </w:rPr>
        <w:t>预算和所属事业单位预算。纳入本部门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rPr>
        <w:t>部门预算编制范围的二级预算单位共有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p>
    <w:tbl>
      <w:tblPr>
        <w:tblStyle w:val="1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22"/>
        <w:gridCol w:w="6334"/>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p>
        </w:tc>
        <w:tc>
          <w:tcPr>
            <w:tcW w:w="6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中国人民政治协商会议紫阳县委员会办公室</w:t>
            </w:r>
          </w:p>
        </w:tc>
        <w:tc>
          <w:tcPr>
            <w:tcW w:w="1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2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633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政协机关后勤服务中心</w:t>
            </w:r>
          </w:p>
        </w:tc>
        <w:tc>
          <w:tcPr>
            <w:tcW w:w="1743"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tc>
      </w:tr>
    </w:tbl>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部门人员情况说明</w:t>
      </w:r>
    </w:p>
    <w:p>
      <w:pPr>
        <w:keepNext w:val="0"/>
        <w:keepLines w:val="0"/>
        <w:pageBreakBefore w:val="0"/>
        <w:widowControl/>
        <w:kinsoku/>
        <w:wordWrap/>
        <w:overflowPunct/>
        <w:topLinePunct w:val="0"/>
        <w:autoSpaceDE/>
        <w:autoSpaceDN/>
        <w:bidi w:val="0"/>
        <w:snapToGrid w:val="0"/>
        <w:spacing w:line="336" w:lineRule="auto"/>
        <w:ind w:firstLine="64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我单位属于行政机构，包括一办四委，经费属于财政全额拨款。我单位共有21个编制，其中行政编制15名，事业编制5名，</w:t>
      </w:r>
      <w:r>
        <w:rPr>
          <w:rFonts w:hint="eastAsia" w:ascii="仿宋_GB2312" w:hAnsi="仿宋_GB2312" w:eastAsia="仿宋_GB2312" w:cs="仿宋_GB2312"/>
          <w:sz w:val="32"/>
          <w:szCs w:val="40"/>
          <w:lang w:val="en-US" w:eastAsia="zh-CN"/>
        </w:rPr>
        <w:t>工勤2人，离岗1人。另外遗属1名、借调，2名、临聘人员1名</w:t>
      </w:r>
      <w:r>
        <w:rPr>
          <w:rFonts w:hint="eastAsia" w:ascii="仿宋_GB2312" w:hAnsi="仿宋_GB2312" w:eastAsia="仿宋_GB2312" w:cs="仿宋_GB2312"/>
          <w:sz w:val="32"/>
          <w:szCs w:val="32"/>
        </w:rPr>
        <w:t>单位管理的离退休人员</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人。</w:t>
      </w:r>
    </w:p>
    <w:p>
      <w:pPr>
        <w:pStyle w:val="2"/>
        <w:keepNext w:val="0"/>
        <w:keepLines w:val="0"/>
        <w:pageBreakBefore w:val="0"/>
        <w:numPr>
          <w:ilvl w:val="0"/>
          <w:numId w:val="0"/>
        </w:numPr>
        <w:kinsoku/>
        <w:wordWrap/>
        <w:overflowPunct/>
        <w:topLinePunct w:val="0"/>
        <w:autoSpaceDE/>
        <w:autoSpaceDN/>
        <w:bidi w:val="0"/>
        <w:snapToGrid w:val="0"/>
        <w:spacing w:after="0" w:line="336" w:lineRule="auto"/>
        <w:jc w:val="center"/>
        <w:textAlignment w:val="auto"/>
        <w:rPr>
          <w:rFonts w:hint="default" w:eastAsia="宋体"/>
          <w:lang w:val="en-US" w:eastAsia="zh-CN"/>
        </w:rPr>
      </w:pPr>
      <w:r>
        <w:rPr>
          <w:rFonts w:hint="default" w:eastAsia="宋体"/>
          <w:lang w:val="en-US" w:eastAsia="zh-CN"/>
        </w:rPr>
        <w:drawing>
          <wp:inline distT="0" distB="0" distL="114300" distR="114300">
            <wp:extent cx="5574030" cy="3371215"/>
            <wp:effectExtent l="4445" t="4445" r="22225"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w:t>
      </w:r>
      <w:r>
        <w:rPr>
          <w:rFonts w:hint="eastAsia" w:ascii="仿宋" w:hAnsi="仿宋" w:eastAsia="仿宋" w:cs="仿宋"/>
          <w:b/>
          <w:bCs/>
          <w:sz w:val="32"/>
          <w:szCs w:val="32"/>
          <w:lang w:eastAsia="zh-CN"/>
        </w:rPr>
        <w:t>2023年</w:t>
      </w:r>
      <w:r>
        <w:rPr>
          <w:rFonts w:hint="eastAsia" w:ascii="仿宋" w:hAnsi="仿宋" w:eastAsia="仿宋" w:cs="仿宋"/>
          <w:b/>
          <w:bCs/>
          <w:sz w:val="32"/>
          <w:szCs w:val="32"/>
        </w:rPr>
        <w:t>部门预算收支说明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green"/>
        </w:rPr>
      </w:pPr>
      <w:r>
        <w:rPr>
          <w:rFonts w:hint="eastAsia" w:ascii="仿宋" w:hAnsi="仿宋" w:eastAsia="仿宋" w:cs="仿宋"/>
          <w:sz w:val="32"/>
          <w:szCs w:val="32"/>
        </w:rPr>
        <w:t>按照综合预算的原则，本部门所有收入和支出均纳入部门预算管理。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640.49</w:t>
      </w:r>
      <w:r>
        <w:rPr>
          <w:rFonts w:hint="eastAsia" w:ascii="仿宋" w:hAnsi="仿宋" w:eastAsia="仿宋" w:cs="仿宋"/>
          <w:sz w:val="32"/>
          <w:szCs w:val="32"/>
        </w:rPr>
        <w:t>万元、政府性基金拨款收入</w:t>
      </w:r>
      <w:r>
        <w:rPr>
          <w:rFonts w:hint="eastAsia" w:ascii="仿宋_GB2312" w:hAnsi="仿宋_GB2312" w:eastAsia="仿宋_GB2312" w:cs="仿宋_GB2312"/>
          <w:sz w:val="32"/>
          <w:szCs w:val="32"/>
          <w:lang w:val="en-US" w:eastAsia="zh-CN"/>
        </w:rPr>
        <w:t>0.00</w:t>
      </w:r>
      <w:r>
        <w:rPr>
          <w:rFonts w:hint="eastAsia" w:ascii="仿宋" w:hAnsi="仿宋" w:eastAsia="仿宋" w:cs="仿宋"/>
          <w:sz w:val="32"/>
          <w:szCs w:val="32"/>
        </w:rPr>
        <w:t>万元、</w:t>
      </w:r>
      <w:r>
        <w:rPr>
          <w:rFonts w:hint="eastAsia" w:ascii="仿宋_GB2312" w:hAnsi="仿宋_GB2312" w:eastAsia="仿宋_GB2312" w:cs="仿宋_GB2312"/>
          <w:sz w:val="32"/>
          <w:szCs w:val="32"/>
        </w:rPr>
        <w:t>级补助收入0.00万元、事业收入0.00万元、事业单位经营收入0.00万元、对附属单位上缴收入0.00万元、用事业基金弥补收支差额0.00万元、上年结转0.00万元、上年实户资金余额0.00万元、其他收入0.00万元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本部门预算收入较上年增加</w:t>
      </w:r>
      <w:r>
        <w:rPr>
          <w:rFonts w:hint="eastAsia" w:ascii="仿宋" w:hAnsi="仿宋" w:eastAsia="仿宋" w:cs="仿宋"/>
          <w:sz w:val="32"/>
          <w:szCs w:val="32"/>
          <w:lang w:val="en-US" w:eastAsia="zh-CN"/>
        </w:rPr>
        <w:t>79.27</w:t>
      </w:r>
      <w:r>
        <w:rPr>
          <w:rFonts w:hint="eastAsia" w:ascii="仿宋" w:hAnsi="仿宋" w:eastAsia="仿宋" w:cs="仿宋"/>
          <w:sz w:val="32"/>
          <w:szCs w:val="32"/>
        </w:rPr>
        <w:t>万元，主要原因</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增加预算了退休人员降温费、机关干部养老保险、住房公积金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640.49</w:t>
      </w:r>
      <w:r>
        <w:rPr>
          <w:rFonts w:hint="eastAsia" w:ascii="仿宋" w:hAnsi="仿宋" w:eastAsia="仿宋" w:cs="仿宋"/>
          <w:sz w:val="32"/>
          <w:szCs w:val="32"/>
        </w:rPr>
        <w:t>万元、政府性基金拨款收入</w:t>
      </w:r>
      <w:r>
        <w:rPr>
          <w:rFonts w:hint="eastAsia" w:ascii="仿宋_GB2312" w:hAnsi="仿宋_GB2312" w:eastAsia="仿宋_GB2312" w:cs="仿宋_GB2312"/>
          <w:sz w:val="32"/>
          <w:szCs w:val="32"/>
          <w:lang w:val="en-US" w:eastAsia="zh-CN"/>
        </w:rPr>
        <w:t>0.00</w:t>
      </w:r>
      <w:r>
        <w:rPr>
          <w:rFonts w:hint="eastAsia" w:ascii="仿宋" w:hAnsi="仿宋" w:eastAsia="仿宋" w:cs="仿宋"/>
          <w:sz w:val="32"/>
          <w:szCs w:val="32"/>
        </w:rPr>
        <w:t>万元、</w:t>
      </w:r>
      <w:r>
        <w:rPr>
          <w:rFonts w:hint="eastAsia" w:ascii="仿宋_GB2312" w:hAnsi="仿宋_GB2312" w:eastAsia="仿宋_GB2312" w:cs="仿宋_GB2312"/>
          <w:sz w:val="32"/>
          <w:szCs w:val="32"/>
        </w:rPr>
        <w:t>上年结转0.00万元</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lang w:eastAsia="zh-CN"/>
        </w:rPr>
        <w:t>2023年</w:t>
      </w:r>
      <w:r>
        <w:rPr>
          <w:rFonts w:hint="eastAsia" w:ascii="仿宋" w:hAnsi="仿宋" w:eastAsia="仿宋" w:cs="仿宋"/>
          <w:sz w:val="32"/>
          <w:szCs w:val="32"/>
        </w:rPr>
        <w:t>本部门财政拨款收入较上年增加</w:t>
      </w:r>
      <w:r>
        <w:rPr>
          <w:rFonts w:hint="eastAsia" w:ascii="仿宋" w:hAnsi="仿宋" w:eastAsia="仿宋" w:cs="仿宋"/>
          <w:sz w:val="32"/>
          <w:szCs w:val="32"/>
          <w:lang w:val="en-US" w:eastAsia="zh-CN"/>
        </w:rPr>
        <w:t>79.27</w:t>
      </w:r>
      <w:r>
        <w:rPr>
          <w:rFonts w:hint="eastAsia" w:ascii="仿宋" w:hAnsi="仿宋" w:eastAsia="仿宋" w:cs="仿宋"/>
          <w:sz w:val="32"/>
          <w:szCs w:val="32"/>
        </w:rPr>
        <w:t>万元，主要原因是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增加预算了退休人员降温费、机关干部养老保险、住房公积金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本部门当年一般公共预算拨款支出</w:t>
      </w:r>
      <w:r>
        <w:rPr>
          <w:rFonts w:hint="eastAsia" w:ascii="仿宋" w:hAnsi="仿宋" w:eastAsia="仿宋" w:cs="仿宋"/>
          <w:sz w:val="32"/>
          <w:szCs w:val="32"/>
          <w:lang w:val="en-US" w:eastAsia="zh-CN"/>
        </w:rPr>
        <w:t>640.49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79.27</w:t>
      </w:r>
      <w:r>
        <w:rPr>
          <w:rFonts w:hint="eastAsia" w:ascii="仿宋" w:hAnsi="仿宋" w:eastAsia="仿宋" w:cs="仿宋"/>
          <w:sz w:val="32"/>
          <w:szCs w:val="32"/>
        </w:rPr>
        <w:t>万元，主要原因是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支出按功能科目分类的明细情况。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w:t>
      </w:r>
      <w:r>
        <w:rPr>
          <w:rFonts w:hint="eastAsia" w:ascii="仿宋" w:hAnsi="仿宋" w:eastAsia="仿宋" w:cs="仿宋"/>
          <w:sz w:val="32"/>
          <w:szCs w:val="32"/>
          <w:lang w:eastAsia="zh-CN"/>
        </w:rPr>
        <w:t>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w:t>
      </w:r>
      <w:r>
        <w:rPr>
          <w:rFonts w:hint="eastAsia" w:ascii="仿宋" w:hAnsi="仿宋" w:eastAsia="仿宋" w:cs="仿宋"/>
          <w:sz w:val="32"/>
          <w:szCs w:val="32"/>
          <w:lang w:val="en-US" w:eastAsia="zh-CN"/>
        </w:rPr>
        <w:t>2</w:t>
      </w:r>
      <w:r>
        <w:rPr>
          <w:rFonts w:hint="eastAsia" w:ascii="仿宋" w:hAnsi="仿宋" w:eastAsia="仿宋" w:cs="仿宋"/>
          <w:sz w:val="32"/>
          <w:szCs w:val="32"/>
        </w:rPr>
        <w:t>01）</w:t>
      </w:r>
      <w:r>
        <w:rPr>
          <w:rFonts w:hint="eastAsia" w:ascii="仿宋" w:hAnsi="仿宋" w:eastAsia="仿宋" w:cs="仿宋"/>
          <w:sz w:val="32"/>
          <w:szCs w:val="32"/>
          <w:lang w:val="en-US" w:eastAsia="zh-CN"/>
        </w:rPr>
        <w:t>538.86</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71.06</w:t>
      </w:r>
      <w:r>
        <w:rPr>
          <w:rFonts w:hint="eastAsia" w:ascii="仿宋" w:hAnsi="仿宋" w:eastAsia="仿宋" w:cs="仿宋"/>
          <w:sz w:val="32"/>
          <w:szCs w:val="32"/>
        </w:rPr>
        <w:t>万元，主要原因是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机关事业单位基本养老保险缴费支出（2080505）</w:t>
      </w:r>
      <w:r>
        <w:rPr>
          <w:rFonts w:hint="eastAsia" w:ascii="仿宋" w:hAnsi="仿宋" w:eastAsia="仿宋" w:cs="仿宋"/>
          <w:sz w:val="32"/>
          <w:szCs w:val="32"/>
          <w:lang w:val="en-US" w:eastAsia="zh-CN"/>
        </w:rPr>
        <w:t>45.39</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9.83</w:t>
      </w:r>
      <w:r>
        <w:rPr>
          <w:rFonts w:hint="eastAsia" w:ascii="仿宋" w:hAnsi="仿宋" w:eastAsia="仿宋" w:cs="仿宋"/>
          <w:sz w:val="32"/>
          <w:szCs w:val="32"/>
        </w:rPr>
        <w:t>万元，原因是</w:t>
      </w:r>
      <w:r>
        <w:rPr>
          <w:rFonts w:hint="eastAsia" w:ascii="仿宋" w:hAnsi="仿宋" w:eastAsia="仿宋" w:cs="仿宋"/>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lang w:eastAsia="zh-CN"/>
        </w:rPr>
        <w:t>，故单位缴纳养老保险费增加</w:t>
      </w:r>
      <w:r>
        <w:rPr>
          <w:rFonts w:hint="eastAsia" w:ascii="仿宋" w:hAnsi="仿宋" w:eastAsia="仿宋" w:cs="仿宋"/>
          <w:sz w:val="32"/>
          <w:szCs w:val="32"/>
        </w:rPr>
        <w:t>。</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行政单位医疗（2101101）</w:t>
      </w:r>
      <w:r>
        <w:rPr>
          <w:rFonts w:hint="eastAsia" w:ascii="仿宋" w:hAnsi="仿宋" w:eastAsia="仿宋" w:cs="仿宋"/>
          <w:sz w:val="32"/>
          <w:szCs w:val="32"/>
          <w:lang w:val="en-US" w:eastAsia="zh-CN"/>
        </w:rPr>
        <w:t>22.34</w:t>
      </w:r>
      <w:r>
        <w:rPr>
          <w:rFonts w:hint="eastAsia" w:ascii="仿宋" w:hAnsi="仿宋" w:eastAsia="仿宋" w:cs="仿宋"/>
          <w:sz w:val="32"/>
          <w:szCs w:val="32"/>
        </w:rPr>
        <w:t>万元，较上年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4.96</w:t>
      </w:r>
      <w:r>
        <w:rPr>
          <w:rFonts w:hint="eastAsia" w:ascii="仿宋" w:hAnsi="仿宋" w:eastAsia="仿宋" w:cs="仿宋"/>
          <w:sz w:val="32"/>
          <w:szCs w:val="32"/>
        </w:rPr>
        <w:t>万元，原因是</w:t>
      </w:r>
      <w:r>
        <w:rPr>
          <w:rFonts w:hint="eastAsia" w:ascii="仿宋" w:hAnsi="仿宋" w:eastAsia="仿宋" w:cs="仿宋"/>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lang w:eastAsia="zh-CN"/>
        </w:rPr>
        <w:t>，故单位缴纳医疗保险费增加</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（4）住房公积金（2210201）33.9万元，</w:t>
      </w:r>
      <w:r>
        <w:rPr>
          <w:rFonts w:hint="eastAsia" w:ascii="仿宋" w:hAnsi="仿宋" w:eastAsia="仿宋" w:cs="仿宋"/>
          <w:sz w:val="32"/>
          <w:szCs w:val="32"/>
        </w:rPr>
        <w:t>较上年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4.44</w:t>
      </w:r>
      <w:r>
        <w:rPr>
          <w:rFonts w:hint="eastAsia" w:ascii="仿宋" w:hAnsi="仿宋" w:eastAsia="仿宋" w:cs="仿宋"/>
          <w:sz w:val="32"/>
          <w:szCs w:val="32"/>
        </w:rPr>
        <w:t>万元，原因是</w:t>
      </w:r>
      <w:r>
        <w:rPr>
          <w:rFonts w:hint="eastAsia" w:ascii="仿宋" w:hAnsi="仿宋" w:eastAsia="仿宋" w:cs="仿宋"/>
          <w:sz w:val="32"/>
          <w:szCs w:val="32"/>
          <w:lang w:eastAsia="zh-CN"/>
        </w:rPr>
        <w:t>今年</w:t>
      </w:r>
      <w:r>
        <w:rPr>
          <w:rFonts w:hint="eastAsia" w:ascii="仿宋_GB2312" w:hAnsi="仿宋_GB2312" w:eastAsia="仿宋_GB2312" w:cs="仿宋_GB2312"/>
          <w:sz w:val="32"/>
          <w:szCs w:val="32"/>
          <w:lang w:val="en-US" w:eastAsia="zh-CN"/>
        </w:rPr>
        <w:t>机关人员增加</w:t>
      </w:r>
      <w:r>
        <w:rPr>
          <w:rFonts w:hint="eastAsia" w:ascii="仿宋" w:hAnsi="仿宋" w:eastAsia="仿宋" w:cs="仿宋"/>
          <w:sz w:val="32"/>
          <w:szCs w:val="32"/>
          <w:lang w:eastAsia="zh-CN"/>
        </w:rPr>
        <w:t>，故单位缴纳住房公积金增加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406.95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76.89</w:t>
      </w:r>
      <w:r>
        <w:rPr>
          <w:rFonts w:hint="eastAsia" w:ascii="仿宋" w:hAnsi="仿宋" w:eastAsia="仿宋" w:cs="仿宋"/>
          <w:sz w:val="32"/>
          <w:szCs w:val="32"/>
        </w:rPr>
        <w:t>万元，主要原因是</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lang w:val="en-US" w:eastAsia="zh-CN"/>
        </w:rPr>
        <w:t>机关人员增加，故</w:t>
      </w:r>
      <w:r>
        <w:rPr>
          <w:rFonts w:hint="eastAsia" w:ascii="仿宋" w:hAnsi="仿宋" w:eastAsia="仿宋" w:cs="仿宋"/>
          <w:sz w:val="32"/>
          <w:szCs w:val="32"/>
        </w:rPr>
        <w:t>工资福利增加。</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230.26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1.58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人员增加，故人员公用经费增加。</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对个人和家庭的补助支出（303）</w:t>
      </w:r>
      <w:r>
        <w:rPr>
          <w:rFonts w:hint="eastAsia" w:ascii="仿宋" w:hAnsi="仿宋" w:eastAsia="仿宋" w:cs="仿宋"/>
          <w:sz w:val="32"/>
          <w:szCs w:val="32"/>
          <w:lang w:val="en-US" w:eastAsia="zh-CN"/>
        </w:rPr>
        <w:t>3.28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0.8</w:t>
      </w:r>
      <w:r>
        <w:rPr>
          <w:rFonts w:hint="eastAsia" w:ascii="仿宋" w:hAnsi="仿宋" w:eastAsia="仿宋" w:cs="仿宋"/>
          <w:sz w:val="32"/>
          <w:szCs w:val="32"/>
        </w:rPr>
        <w:t>万元，原因</w:t>
      </w:r>
      <w:r>
        <w:rPr>
          <w:rFonts w:hint="eastAsia" w:ascii="仿宋" w:hAnsi="仿宋" w:eastAsia="仿宋" w:cs="仿宋"/>
          <w:sz w:val="32"/>
          <w:szCs w:val="32"/>
          <w:lang w:eastAsia="zh-CN"/>
        </w:rPr>
        <w:t>是退休人员增加。</w:t>
      </w:r>
    </w:p>
    <w:p>
      <w:pPr>
        <w:keepNext w:val="0"/>
        <w:keepLines w:val="0"/>
        <w:pageBreakBefore w:val="0"/>
        <w:widowControl w:val="0"/>
        <w:numPr>
          <w:ilvl w:val="0"/>
          <w:numId w:val="3"/>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按照政府预算支出经济分类的类级科目说明。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本部门当年一般公共预算支出</w:t>
      </w:r>
      <w:r>
        <w:rPr>
          <w:rFonts w:hint="eastAsia" w:ascii="仿宋" w:hAnsi="仿宋" w:eastAsia="仿宋" w:cs="仿宋"/>
          <w:sz w:val="32"/>
          <w:szCs w:val="32"/>
          <w:lang w:val="en-US" w:eastAsia="zh-CN"/>
        </w:rPr>
        <w:t>640.49</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406.95</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76.89</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人员增加，故人员公用经费增加。</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230.26</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1.58</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人员增加，故人员公用经费增加。</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对个人和家庭的补助支出（</w:t>
      </w:r>
      <w:r>
        <w:rPr>
          <w:rFonts w:hint="eastAsia" w:ascii="仿宋" w:hAnsi="仿宋" w:eastAsia="仿宋" w:cs="仿宋"/>
          <w:sz w:val="32"/>
          <w:szCs w:val="32"/>
          <w:lang w:val="en-US" w:eastAsia="zh-CN"/>
        </w:rPr>
        <w:t>509</w:t>
      </w:r>
      <w:r>
        <w:rPr>
          <w:rFonts w:hint="eastAsia" w:ascii="仿宋" w:hAnsi="仿宋" w:eastAsia="仿宋" w:cs="仿宋"/>
          <w:sz w:val="32"/>
          <w:szCs w:val="32"/>
        </w:rPr>
        <w:t>）</w:t>
      </w:r>
      <w:r>
        <w:rPr>
          <w:rFonts w:hint="eastAsia" w:ascii="仿宋" w:hAnsi="仿宋" w:eastAsia="仿宋" w:cs="仿宋"/>
          <w:sz w:val="32"/>
          <w:szCs w:val="32"/>
          <w:lang w:val="en-US" w:eastAsia="zh-CN"/>
        </w:rPr>
        <w:t>3.28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0.8</w:t>
      </w:r>
      <w:r>
        <w:rPr>
          <w:rFonts w:hint="eastAsia" w:ascii="仿宋" w:hAnsi="仿宋" w:eastAsia="仿宋" w:cs="仿宋"/>
          <w:sz w:val="32"/>
          <w:szCs w:val="32"/>
        </w:rPr>
        <w:t>万元，原因</w:t>
      </w:r>
      <w:r>
        <w:rPr>
          <w:rFonts w:hint="eastAsia" w:ascii="仿宋" w:hAnsi="仿宋" w:eastAsia="仿宋" w:cs="仿宋"/>
          <w:sz w:val="32"/>
          <w:szCs w:val="32"/>
          <w:lang w:eastAsia="zh-CN"/>
        </w:rPr>
        <w:t>是退休人员增加。</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val="0"/>
        <w:spacing w:line="336"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本部门无2022年结转的政府性基金预算拨款支出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本部门无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本部门当年一般公共预算“三公”经费预算支出</w:t>
      </w:r>
      <w:r>
        <w:rPr>
          <w:rFonts w:hint="eastAsia" w:ascii="仿宋" w:hAnsi="仿宋" w:eastAsia="仿宋" w:cs="仿宋"/>
          <w:sz w:val="32"/>
          <w:szCs w:val="32"/>
          <w:lang w:val="en-US" w:eastAsia="zh-CN"/>
        </w:rPr>
        <w:t>28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15</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严控三公经费</w:t>
      </w:r>
      <w:r>
        <w:rPr>
          <w:rFonts w:hint="eastAsia" w:ascii="仿宋" w:hAnsi="仿宋" w:eastAsia="仿宋" w:cs="仿宋"/>
          <w:sz w:val="32"/>
          <w:szCs w:val="32"/>
        </w:rPr>
        <w:t>。其中：因公出国（境）经费</w:t>
      </w:r>
      <w:r>
        <w:rPr>
          <w:rFonts w:hint="eastAsia" w:ascii="仿宋" w:hAnsi="仿宋" w:eastAsia="仿宋" w:cs="仿宋"/>
          <w:sz w:val="32"/>
          <w:szCs w:val="32"/>
          <w:lang w:val="en-US" w:eastAsia="zh-CN"/>
        </w:rPr>
        <w:t>0.00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10.00</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5</w:t>
      </w:r>
      <w:r>
        <w:rPr>
          <w:rFonts w:hint="eastAsia" w:ascii="仿宋" w:hAnsi="仿宋" w:eastAsia="仿宋" w:cs="仿宋"/>
          <w:sz w:val="32"/>
          <w:szCs w:val="32"/>
        </w:rPr>
        <w:t>万元（</w:t>
      </w:r>
      <w:r>
        <w:rPr>
          <w:rFonts w:hint="eastAsia" w:ascii="仿宋" w:hAnsi="仿宋" w:eastAsia="仿宋" w:cs="仿宋"/>
          <w:sz w:val="32"/>
          <w:szCs w:val="32"/>
          <w:lang w:eastAsia="zh-CN"/>
        </w:rPr>
        <w:t>下降</w:t>
      </w:r>
      <w:r>
        <w:rPr>
          <w:rFonts w:hint="eastAsia" w:ascii="仿宋" w:hAnsi="仿宋" w:eastAsia="仿宋" w:cs="仿宋"/>
          <w:sz w:val="32"/>
          <w:szCs w:val="32"/>
          <w:lang w:val="en-US" w:eastAsia="zh-CN"/>
        </w:rPr>
        <w:t>33</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严控三公经费</w:t>
      </w:r>
      <w:r>
        <w:rPr>
          <w:rFonts w:hint="eastAsia" w:ascii="仿宋" w:hAnsi="仿宋" w:eastAsia="仿宋" w:cs="仿宋"/>
          <w:sz w:val="32"/>
          <w:szCs w:val="32"/>
        </w:rPr>
        <w:t>；</w:t>
      </w:r>
      <w:r>
        <w:rPr>
          <w:rFonts w:hint="eastAsia" w:ascii="仿宋" w:hAnsi="仿宋" w:eastAsia="仿宋" w:cs="仿宋"/>
          <w:sz w:val="32"/>
          <w:szCs w:val="32"/>
          <w:lang w:eastAsia="zh-CN"/>
        </w:rPr>
        <w:t>公务用车运行费</w:t>
      </w:r>
      <w:r>
        <w:rPr>
          <w:rFonts w:hint="eastAsia" w:ascii="仿宋" w:hAnsi="仿宋" w:eastAsia="仿宋" w:cs="仿宋"/>
          <w:sz w:val="32"/>
          <w:szCs w:val="32"/>
          <w:lang w:val="en-US" w:eastAsia="zh-CN"/>
        </w:rPr>
        <w:t>18</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rPr>
        <w:t>公务用车购置费</w:t>
      </w:r>
      <w:r>
        <w:rPr>
          <w:rFonts w:hint="eastAsia" w:ascii="仿宋" w:hAnsi="仿宋" w:eastAsia="仿宋" w:cs="仿宋"/>
          <w:sz w:val="32"/>
          <w:szCs w:val="32"/>
          <w:lang w:val="en-US" w:eastAsia="zh-CN"/>
        </w:rPr>
        <w:t>0.00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）2023年</w:t>
      </w:r>
      <w:r>
        <w:rPr>
          <w:rFonts w:hint="eastAsia" w:ascii="仿宋" w:hAnsi="仿宋" w:eastAsia="仿宋" w:cs="仿宋"/>
          <w:sz w:val="32"/>
          <w:szCs w:val="32"/>
        </w:rPr>
        <w:t>本部门当年</w:t>
      </w:r>
      <w:r>
        <w:rPr>
          <w:rFonts w:hint="eastAsia" w:ascii="仿宋" w:hAnsi="仿宋" w:eastAsia="仿宋" w:cs="仿宋"/>
          <w:sz w:val="32"/>
          <w:szCs w:val="32"/>
          <w:lang w:eastAsia="zh-CN"/>
        </w:rPr>
        <w:t>会议费</w:t>
      </w:r>
      <w:r>
        <w:rPr>
          <w:rFonts w:hint="eastAsia" w:ascii="仿宋" w:hAnsi="仿宋" w:eastAsia="仿宋" w:cs="仿宋"/>
          <w:sz w:val="32"/>
          <w:szCs w:val="32"/>
        </w:rPr>
        <w:t>预算支出</w:t>
      </w:r>
      <w:r>
        <w:rPr>
          <w:rFonts w:hint="eastAsia" w:ascii="仿宋" w:hAnsi="仿宋" w:eastAsia="仿宋" w:cs="仿宋"/>
          <w:sz w:val="32"/>
          <w:szCs w:val="32"/>
          <w:lang w:val="en-US" w:eastAsia="zh-CN"/>
        </w:rPr>
        <w:t>45</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r>
        <w:rPr>
          <w:rFonts w:hint="eastAsia" w:ascii="仿宋" w:hAnsi="仿宋" w:eastAsia="仿宋" w:cs="仿宋"/>
          <w:sz w:val="32"/>
          <w:szCs w:val="32"/>
          <w:lang w:eastAsia="zh-CN"/>
        </w:rPr>
        <w:t>培训费</w:t>
      </w:r>
      <w:r>
        <w:rPr>
          <w:rFonts w:hint="eastAsia" w:ascii="仿宋" w:hAnsi="仿宋" w:eastAsia="仿宋" w:cs="仿宋"/>
          <w:sz w:val="32"/>
          <w:szCs w:val="32"/>
          <w:lang w:val="en-US" w:eastAsia="zh-CN"/>
        </w:rPr>
        <w:t>0.00</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snapToGrid w:val="0"/>
        <w:spacing w:line="336" w:lineRule="auto"/>
        <w:ind w:left="0" w:leftChars="0" w:firstLine="0" w:firstLineChars="0"/>
        <w:jc w:val="center"/>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 xml:space="preserve">会议费培训费明细 </w:t>
      </w:r>
    </w:p>
    <w:p>
      <w:pPr>
        <w:keepNext w:val="0"/>
        <w:keepLines w:val="0"/>
        <w:pageBreakBefore w:val="0"/>
        <w:kinsoku/>
        <w:wordWrap/>
        <w:overflowPunct/>
        <w:topLinePunct w:val="0"/>
        <w:autoSpaceDE/>
        <w:autoSpaceDN/>
        <w:bidi w:val="0"/>
        <w:snapToGrid w:val="0"/>
        <w:spacing w:line="336" w:lineRule="auto"/>
        <w:ind w:firstLine="640"/>
        <w:jc w:val="right"/>
        <w:textAlignment w:val="auto"/>
        <w:rPr>
          <w:rFonts w:hint="eastAsia" w:ascii="仿宋" w:hAnsi="仿宋" w:eastAsia="仿宋" w:cs="仿宋"/>
          <w:sz w:val="24"/>
          <w:szCs w:val="24"/>
          <w:highlight w:val="none"/>
          <w:u w:val="none"/>
          <w:lang w:val="en-US" w:eastAsia="zh-CN"/>
        </w:rPr>
      </w:pPr>
      <w:r>
        <w:rPr>
          <w:rFonts w:hint="eastAsia" w:ascii="仿宋" w:hAnsi="仿宋" w:eastAsia="仿宋" w:cs="仿宋"/>
          <w:sz w:val="24"/>
          <w:szCs w:val="24"/>
          <w:highlight w:val="none"/>
          <w:u w:val="none"/>
          <w:lang w:val="en-US" w:eastAsia="zh-CN"/>
        </w:rPr>
        <w:t>单位：万元</w:t>
      </w:r>
    </w:p>
    <w:tbl>
      <w:tblPr>
        <w:tblStyle w:val="12"/>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787"/>
        <w:gridCol w:w="8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序号</w:t>
            </w:r>
          </w:p>
        </w:tc>
        <w:tc>
          <w:tcPr>
            <w:tcW w:w="2037"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会议</w:t>
            </w:r>
            <w:r>
              <w:rPr>
                <w:rFonts w:hint="eastAsia" w:ascii="黑体" w:hAnsi="黑体" w:eastAsia="黑体" w:cs="黑体"/>
                <w:sz w:val="18"/>
                <w:szCs w:val="18"/>
                <w:highlight w:val="none"/>
                <w:vertAlign w:val="baseline"/>
                <w:lang w:val="en-US" w:eastAsia="zh-CN"/>
              </w:rPr>
              <w:t>/培训</w:t>
            </w:r>
            <w:r>
              <w:rPr>
                <w:rFonts w:hint="eastAsia" w:ascii="黑体" w:hAnsi="黑体" w:eastAsia="黑体" w:cs="黑体"/>
                <w:sz w:val="18"/>
                <w:szCs w:val="18"/>
                <w:highlight w:val="none"/>
                <w:vertAlign w:val="baseline"/>
                <w:lang w:eastAsia="zh-CN"/>
              </w:rPr>
              <w:t>名称</w:t>
            </w:r>
          </w:p>
        </w:tc>
        <w:tc>
          <w:tcPr>
            <w:tcW w:w="2438"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时间</w:t>
            </w:r>
          </w:p>
        </w:tc>
        <w:tc>
          <w:tcPr>
            <w:tcW w:w="787"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人数</w:t>
            </w:r>
          </w:p>
        </w:tc>
        <w:tc>
          <w:tcPr>
            <w:tcW w:w="896"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金额</w:t>
            </w:r>
          </w:p>
        </w:tc>
        <w:tc>
          <w:tcPr>
            <w:tcW w:w="796"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黑体" w:hAnsi="黑体" w:eastAsia="黑体" w:cs="黑体"/>
                <w:sz w:val="18"/>
                <w:szCs w:val="18"/>
                <w:highlight w:val="none"/>
                <w:vertAlign w:val="baseline"/>
                <w:lang w:eastAsia="zh-CN"/>
              </w:rPr>
            </w:pPr>
            <w:r>
              <w:rPr>
                <w:rFonts w:hint="eastAsia" w:ascii="黑体" w:hAnsi="黑体" w:eastAsia="黑体" w:cs="黑体"/>
                <w:sz w:val="18"/>
                <w:szCs w:val="18"/>
                <w:highlight w:val="none"/>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5"/>
                <w:szCs w:val="15"/>
                <w:highlight w:val="none"/>
                <w:vertAlign w:val="baseline"/>
                <w:lang w:val="en-US" w:eastAsia="zh-CN"/>
              </w:rPr>
              <w:t>1</w:t>
            </w:r>
          </w:p>
        </w:tc>
        <w:tc>
          <w:tcPr>
            <w:tcW w:w="2037"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5"/>
                <w:szCs w:val="15"/>
                <w:highlight w:val="none"/>
                <w:vertAlign w:val="baseline"/>
                <w:lang w:val="en-US" w:eastAsia="zh-CN"/>
              </w:rPr>
              <w:t>政协十三届二次全委会</w:t>
            </w:r>
          </w:p>
        </w:tc>
        <w:tc>
          <w:tcPr>
            <w:tcW w:w="2438"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default"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1"/>
                <w:szCs w:val="11"/>
                <w:highlight w:val="none"/>
                <w:vertAlign w:val="baseline"/>
                <w:lang w:val="en-US" w:eastAsia="zh-CN"/>
              </w:rPr>
              <w:t>2023年2月18至2月21日</w:t>
            </w:r>
          </w:p>
        </w:tc>
        <w:tc>
          <w:tcPr>
            <w:tcW w:w="787"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default"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5"/>
                <w:szCs w:val="15"/>
                <w:highlight w:val="none"/>
                <w:vertAlign w:val="baseline"/>
                <w:lang w:val="en-US" w:eastAsia="zh-CN"/>
              </w:rPr>
              <w:t>297人</w:t>
            </w:r>
          </w:p>
        </w:tc>
        <w:tc>
          <w:tcPr>
            <w:tcW w:w="896"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仿宋_GB2312" w:hAnsi="仿宋_GB2312" w:eastAsia="仿宋_GB2312" w:cs="仿宋_GB2312"/>
                <w:sz w:val="15"/>
                <w:szCs w:val="15"/>
                <w:highlight w:val="none"/>
                <w:vertAlign w:val="baseline"/>
                <w:lang w:val="en-US" w:eastAsia="zh-CN"/>
              </w:rPr>
            </w:pPr>
            <w:r>
              <w:rPr>
                <w:rFonts w:hint="eastAsia" w:ascii="仿宋_GB2312" w:hAnsi="仿宋_GB2312" w:eastAsia="仿宋_GB2312" w:cs="仿宋_GB2312"/>
                <w:sz w:val="15"/>
                <w:szCs w:val="15"/>
                <w:highlight w:val="none"/>
                <w:vertAlign w:val="baseline"/>
                <w:lang w:val="en-US" w:eastAsia="zh-CN"/>
              </w:rPr>
              <w:t>45</w:t>
            </w:r>
          </w:p>
        </w:tc>
        <w:tc>
          <w:tcPr>
            <w:tcW w:w="796"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761" w:type="dxa"/>
            <w:vAlign w:val="top"/>
          </w:tcPr>
          <w:p>
            <w:pPr>
              <w:keepNext w:val="0"/>
              <w:keepLines w:val="0"/>
              <w:pageBreakBefore w:val="0"/>
              <w:kinsoku/>
              <w:wordWrap/>
              <w:overflowPunct/>
              <w:topLinePunct w:val="0"/>
              <w:autoSpaceDE/>
              <w:autoSpaceDN/>
              <w:bidi w:val="0"/>
              <w:snapToGrid w:val="0"/>
              <w:spacing w:line="336" w:lineRule="auto"/>
              <w:jc w:val="center"/>
              <w:textAlignment w:val="auto"/>
              <w:rPr>
                <w:rFonts w:hint="eastAsia" w:ascii="仿宋_GB2312" w:hAnsi="仿宋_GB2312" w:eastAsia="仿宋_GB2312" w:cs="仿宋_GB2312"/>
                <w:sz w:val="15"/>
                <w:szCs w:val="15"/>
                <w:highlight w:val="none"/>
                <w:vertAlign w:val="baseline"/>
                <w:lang w:val="en-US" w:eastAsia="zh-CN"/>
              </w:rPr>
            </w:pPr>
          </w:p>
        </w:tc>
        <w:tc>
          <w:tcPr>
            <w:tcW w:w="2037"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c>
          <w:tcPr>
            <w:tcW w:w="2438"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c>
          <w:tcPr>
            <w:tcW w:w="787"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c>
          <w:tcPr>
            <w:tcW w:w="896"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c>
          <w:tcPr>
            <w:tcW w:w="796" w:type="dxa"/>
            <w:vAlign w:val="top"/>
          </w:tcPr>
          <w:p>
            <w:pPr>
              <w:keepNext w:val="0"/>
              <w:keepLines w:val="0"/>
              <w:pageBreakBefore w:val="0"/>
              <w:kinsoku/>
              <w:wordWrap/>
              <w:overflowPunct/>
              <w:topLinePunct w:val="0"/>
              <w:autoSpaceDE/>
              <w:autoSpaceDN/>
              <w:bidi w:val="0"/>
              <w:snapToGrid w:val="0"/>
              <w:spacing w:line="336" w:lineRule="auto"/>
              <w:textAlignment w:val="auto"/>
              <w:rPr>
                <w:rFonts w:hint="eastAsia" w:ascii="仿宋_GB2312" w:hAnsi="仿宋_GB2312" w:eastAsia="仿宋_GB2312" w:cs="仿宋_GB2312"/>
                <w:sz w:val="15"/>
                <w:szCs w:val="15"/>
                <w:highlight w:val="none"/>
                <w:vertAlign w:val="baseline"/>
                <w:lang w:eastAsia="zh-CN"/>
              </w:rPr>
            </w:pPr>
          </w:p>
        </w:tc>
      </w:tr>
    </w:tbl>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textAlignment w:val="auto"/>
        <w:outlineLvl w:val="9"/>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结转的财政拨款‘三公’经费</w:t>
      </w:r>
      <w:r>
        <w:rPr>
          <w:rFonts w:hint="eastAsia" w:ascii="仿宋" w:hAnsi="仿宋" w:eastAsia="仿宋" w:cs="仿宋"/>
          <w:sz w:val="32"/>
          <w:szCs w:val="32"/>
          <w:lang w:eastAsia="zh-CN"/>
        </w:rPr>
        <w:t>和会议费、培训费</w:t>
      </w:r>
      <w:r>
        <w:rPr>
          <w:rFonts w:hint="eastAsia" w:ascii="仿宋" w:hAnsi="仿宋" w:eastAsia="仿宋" w:cs="仿宋"/>
          <w:sz w:val="32"/>
          <w:szCs w:val="32"/>
        </w:rPr>
        <w:t>支出。</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底，本部门所属预算单位共有车辆</w:t>
      </w:r>
      <w:r>
        <w:rPr>
          <w:rFonts w:hint="eastAsia" w:ascii="仿宋" w:hAnsi="仿宋" w:eastAsia="仿宋" w:cs="仿宋"/>
          <w:sz w:val="32"/>
          <w:szCs w:val="32"/>
          <w:lang w:val="en-US" w:eastAsia="zh-CN"/>
        </w:rPr>
        <w:t>3</w:t>
      </w:r>
      <w:r>
        <w:rPr>
          <w:rFonts w:hint="eastAsia" w:ascii="仿宋" w:hAnsi="仿宋" w:eastAsia="仿宋" w:cs="仿宋"/>
          <w:sz w:val="32"/>
          <w:szCs w:val="32"/>
        </w:rPr>
        <w:t>辆，单价</w:t>
      </w:r>
      <w:r>
        <w:rPr>
          <w:rFonts w:hint="eastAsia" w:ascii="仿宋" w:hAnsi="仿宋" w:eastAsia="仿宋" w:cs="仿宋"/>
          <w:sz w:val="32"/>
          <w:szCs w:val="32"/>
          <w:lang w:val="en-US" w:eastAsia="zh-CN"/>
        </w:rPr>
        <w:t>20</w:t>
      </w:r>
      <w:r>
        <w:rPr>
          <w:rFonts w:hint="eastAsia" w:ascii="仿宋" w:hAnsi="仿宋" w:eastAsia="仿宋" w:cs="仿宋"/>
          <w:sz w:val="32"/>
          <w:szCs w:val="32"/>
        </w:rPr>
        <w:t>万元以上的设备</w:t>
      </w:r>
      <w:r>
        <w:rPr>
          <w:rFonts w:hint="eastAsia" w:ascii="仿宋" w:hAnsi="仿宋" w:eastAsia="仿宋" w:cs="仿宋"/>
          <w:sz w:val="32"/>
          <w:szCs w:val="32"/>
          <w:lang w:val="en-US" w:eastAsia="zh-CN"/>
        </w:rPr>
        <w:t>1</w:t>
      </w:r>
      <w:r>
        <w:rPr>
          <w:rFonts w:hint="eastAsia" w:ascii="仿宋" w:hAnsi="仿宋" w:eastAsia="仿宋" w:cs="仿宋"/>
          <w:sz w:val="32"/>
          <w:szCs w:val="32"/>
        </w:rPr>
        <w:t>台（套）。</w:t>
      </w:r>
      <w:r>
        <w:rPr>
          <w:rFonts w:hint="eastAsia" w:ascii="仿宋" w:hAnsi="仿宋" w:eastAsia="仿宋" w:cs="仿宋"/>
          <w:sz w:val="32"/>
          <w:szCs w:val="32"/>
          <w:lang w:eastAsia="zh-CN"/>
        </w:rPr>
        <w:t>2023年</w:t>
      </w:r>
      <w:r>
        <w:rPr>
          <w:rFonts w:hint="eastAsia" w:ascii="仿宋" w:hAnsi="仿宋" w:eastAsia="仿宋" w:cs="仿宋"/>
          <w:sz w:val="32"/>
          <w:szCs w:val="32"/>
        </w:rPr>
        <w:t>当年部门预算安排购置车辆</w:t>
      </w:r>
      <w:r>
        <w:rPr>
          <w:rFonts w:hint="eastAsia" w:ascii="仿宋" w:hAnsi="仿宋" w:eastAsia="仿宋" w:cs="仿宋"/>
          <w:sz w:val="32"/>
          <w:szCs w:val="32"/>
          <w:lang w:val="en-US" w:eastAsia="zh-CN"/>
        </w:rPr>
        <w:t>0</w:t>
      </w:r>
      <w:r>
        <w:rPr>
          <w:rFonts w:hint="eastAsia" w:ascii="仿宋" w:hAnsi="仿宋" w:eastAsia="仿宋" w:cs="仿宋"/>
          <w:sz w:val="32"/>
          <w:szCs w:val="32"/>
        </w:rPr>
        <w:t>辆；安排购置单价20万元以上的设备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rPr>
        <w:t>本部门无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r>
        <w:rPr>
          <w:rFonts w:hint="eastAsia" w:ascii="仿宋" w:hAnsi="仿宋" w:eastAsia="仿宋" w:cs="仿宋"/>
          <w:sz w:val="32"/>
          <w:szCs w:val="32"/>
        </w:rPr>
        <w:t>。</w:t>
      </w:r>
    </w:p>
    <w:p>
      <w:pPr>
        <w:keepNext w:val="0"/>
        <w:keepLines w:val="0"/>
        <w:pageBreakBefore w:val="0"/>
        <w:widowControl w:val="0"/>
        <w:numPr>
          <w:ilvl w:val="0"/>
          <w:numId w:val="6"/>
        </w:numPr>
        <w:kinsoku/>
        <w:wordWrap/>
        <w:overflowPunct/>
        <w:topLinePunct w:val="0"/>
        <w:autoSpaceDE/>
        <w:autoSpaceDN/>
        <w:bidi w:val="0"/>
        <w:adjustRightInd/>
        <w:snapToGrid w:val="0"/>
        <w:spacing w:line="336" w:lineRule="auto"/>
        <w:ind w:left="317" w:leftChars="0" w:firstLine="480" w:firstLine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当年本部门政府采购预算共</w:t>
      </w:r>
      <w:r>
        <w:rPr>
          <w:rFonts w:hint="eastAsia" w:ascii="仿宋" w:hAnsi="仿宋" w:eastAsia="仿宋" w:cs="仿宋"/>
          <w:sz w:val="32"/>
          <w:szCs w:val="32"/>
          <w:lang w:val="en-US" w:eastAsia="zh-CN"/>
        </w:rPr>
        <w:t>6.00</w:t>
      </w:r>
      <w:r>
        <w:rPr>
          <w:rFonts w:hint="eastAsia" w:ascii="仿宋" w:hAnsi="仿宋" w:eastAsia="仿宋" w:cs="仿宋"/>
          <w:sz w:val="32"/>
          <w:szCs w:val="32"/>
        </w:rPr>
        <w:t>万元，其中政府采购货物类预算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万元、政府采购服务类预算</w:t>
      </w:r>
      <w:r>
        <w:rPr>
          <w:rFonts w:hint="eastAsia" w:ascii="仿宋" w:hAnsi="仿宋" w:eastAsia="仿宋" w:cs="仿宋"/>
          <w:sz w:val="32"/>
          <w:szCs w:val="32"/>
          <w:lang w:val="en-US" w:eastAsia="zh-CN"/>
        </w:rPr>
        <w:t>6.00</w:t>
      </w:r>
      <w:r>
        <w:rPr>
          <w:rFonts w:hint="eastAsia" w:ascii="仿宋" w:hAnsi="仿宋" w:eastAsia="仿宋" w:cs="仿宋"/>
          <w:sz w:val="32"/>
          <w:szCs w:val="32"/>
        </w:rPr>
        <w:t>万元、政府采购工程类预算</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万元（详见公开报表中的政府采购表）。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结转的政府采购资金支出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本部门绩效目标管理全覆盖，涉及当年一般公共预算拨款</w:t>
      </w:r>
      <w:r>
        <w:rPr>
          <w:rFonts w:hint="eastAsia" w:ascii="仿宋" w:hAnsi="仿宋" w:eastAsia="仿宋" w:cs="仿宋"/>
          <w:sz w:val="32"/>
          <w:szCs w:val="32"/>
          <w:lang w:val="en-US" w:eastAsia="zh-CN"/>
        </w:rPr>
        <w:t>640.49</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万元，当年国有资本经营预算拨款</w:t>
      </w:r>
      <w:r>
        <w:rPr>
          <w:rFonts w:hint="eastAsia" w:ascii="仿宋" w:hAnsi="仿宋" w:eastAsia="仿宋" w:cs="仿宋"/>
          <w:sz w:val="32"/>
          <w:szCs w:val="32"/>
          <w:lang w:val="en-US" w:eastAsia="zh-CN"/>
        </w:rPr>
        <w:t>0.00</w:t>
      </w:r>
      <w:r>
        <w:rPr>
          <w:rFonts w:hint="eastAsia" w:ascii="仿宋" w:hAnsi="仿宋" w:eastAsia="仿宋" w:cs="仿宋"/>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highlight w:val="red"/>
          <w:lang w:eastAsia="zh-CN"/>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本部门当年机关运行经费预算安排</w:t>
      </w:r>
      <w:r>
        <w:rPr>
          <w:rFonts w:hint="eastAsia" w:ascii="仿宋" w:hAnsi="仿宋" w:eastAsia="仿宋" w:cs="仿宋"/>
          <w:sz w:val="32"/>
          <w:szCs w:val="32"/>
          <w:lang w:val="en-US" w:eastAsia="zh-CN"/>
        </w:rPr>
        <w:t>124.98</w:t>
      </w:r>
      <w:r>
        <w:rPr>
          <w:rFonts w:hint="eastAsia" w:ascii="仿宋" w:hAnsi="仿宋" w:eastAsia="仿宋" w:cs="仿宋"/>
          <w:sz w:val="32"/>
          <w:szCs w:val="32"/>
        </w:rPr>
        <w:t>万元，较上年减少</w:t>
      </w:r>
      <w:r>
        <w:rPr>
          <w:rFonts w:hint="eastAsia" w:ascii="仿宋" w:hAnsi="仿宋" w:eastAsia="仿宋" w:cs="仿宋"/>
          <w:sz w:val="32"/>
          <w:szCs w:val="32"/>
          <w:lang w:val="en-US" w:eastAsia="zh-CN"/>
        </w:rPr>
        <w:t>23.7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日常公用经费和专项业务经费下降</w:t>
      </w:r>
      <w:r>
        <w:rPr>
          <w:rFonts w:hint="eastAsia" w:ascii="仿宋" w:hAnsi="仿宋" w:eastAsia="仿宋" w:cs="仿宋"/>
          <w:sz w:val="32"/>
          <w:szCs w:val="32"/>
          <w:lang w:val="en-US" w:eastAsia="zh-CN"/>
        </w:rPr>
        <w:t>10%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本部门无</w:t>
      </w:r>
      <w:r>
        <w:rPr>
          <w:rFonts w:hint="eastAsia" w:ascii="仿宋" w:hAnsi="仿宋" w:eastAsia="仿宋" w:cs="仿宋"/>
          <w:sz w:val="32"/>
          <w:szCs w:val="32"/>
          <w:lang w:eastAsia="zh-CN"/>
        </w:rPr>
        <w:t>2022年</w:t>
      </w:r>
      <w:r>
        <w:rPr>
          <w:rFonts w:hint="eastAsia" w:ascii="仿宋" w:hAnsi="仿宋" w:eastAsia="仿宋" w:cs="仿宋"/>
          <w:sz w:val="32"/>
          <w:szCs w:val="32"/>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960" w:leftChars="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pStyle w:val="6"/>
        <w:keepNext w:val="0"/>
        <w:keepLines w:val="0"/>
        <w:pageBreakBefore w:val="0"/>
        <w:kinsoku/>
        <w:wordWrap/>
        <w:overflowPunct/>
        <w:topLinePunct w:val="0"/>
        <w:autoSpaceDE/>
        <w:autoSpaceDN/>
        <w:bidi w:val="0"/>
        <w:snapToGrid w:val="0"/>
        <w:spacing w:line="336" w:lineRule="auto"/>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2.“三公”经费</w:t>
      </w:r>
      <w:r>
        <w:rPr>
          <w:rFonts w:hint="eastAsia" w:ascii="仿宋" w:hAnsi="仿宋" w:eastAsia="仿宋" w:cs="仿宋"/>
          <w:sz w:val="32"/>
          <w:szCs w:val="32"/>
          <w:lang w:eastAsia="zh-CN"/>
        </w:rPr>
        <w:t>：</w:t>
      </w:r>
      <w:r>
        <w:rPr>
          <w:rFonts w:hint="eastAsia" w:ascii="仿宋" w:hAnsi="仿宋" w:eastAsia="仿宋" w:cs="仿宋"/>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sectPr>
      <w:pgSz w:w="11906" w:h="16838"/>
      <w:pgMar w:top="2098" w:right="1474" w:bottom="1984" w:left="1587" w:header="851" w:footer="992" w:gutter="0"/>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6C2D042"/>
    <w:multiLevelType w:val="singleLevel"/>
    <w:tmpl w:val="06C2D042"/>
    <w:lvl w:ilvl="0" w:tentative="0">
      <w:start w:val="4"/>
      <w:numFmt w:val="chineseCounting"/>
      <w:suff w:val="nothing"/>
      <w:lvlText w:val="%1、"/>
      <w:lvlJc w:val="left"/>
      <w:rPr>
        <w:rFonts w:hint="eastAsia"/>
      </w:rPr>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D70262"/>
    <w:rsid w:val="018F2D13"/>
    <w:rsid w:val="02953D9A"/>
    <w:rsid w:val="03791D26"/>
    <w:rsid w:val="0466605A"/>
    <w:rsid w:val="049B2314"/>
    <w:rsid w:val="04F35073"/>
    <w:rsid w:val="04F3782B"/>
    <w:rsid w:val="0520626C"/>
    <w:rsid w:val="061D2748"/>
    <w:rsid w:val="06D7231D"/>
    <w:rsid w:val="06DB5A1D"/>
    <w:rsid w:val="07075CEB"/>
    <w:rsid w:val="075D6C6A"/>
    <w:rsid w:val="0773304F"/>
    <w:rsid w:val="089D1D43"/>
    <w:rsid w:val="097166E6"/>
    <w:rsid w:val="0A653AEA"/>
    <w:rsid w:val="0AAB1747"/>
    <w:rsid w:val="0B1546FC"/>
    <w:rsid w:val="0B473936"/>
    <w:rsid w:val="0B820553"/>
    <w:rsid w:val="0B8A1B09"/>
    <w:rsid w:val="0BF42B32"/>
    <w:rsid w:val="0C805687"/>
    <w:rsid w:val="0D053BAB"/>
    <w:rsid w:val="0D594F94"/>
    <w:rsid w:val="0D7E0AE9"/>
    <w:rsid w:val="0E1F698E"/>
    <w:rsid w:val="0F942D54"/>
    <w:rsid w:val="0FA9052D"/>
    <w:rsid w:val="0FF512FB"/>
    <w:rsid w:val="10163FB4"/>
    <w:rsid w:val="10A536CA"/>
    <w:rsid w:val="125025B4"/>
    <w:rsid w:val="12B55B02"/>
    <w:rsid w:val="12F01393"/>
    <w:rsid w:val="13DD192D"/>
    <w:rsid w:val="147F7E6C"/>
    <w:rsid w:val="14C85364"/>
    <w:rsid w:val="14FA613E"/>
    <w:rsid w:val="15053ED9"/>
    <w:rsid w:val="15BA67E3"/>
    <w:rsid w:val="15EB6487"/>
    <w:rsid w:val="166245F2"/>
    <w:rsid w:val="166918D6"/>
    <w:rsid w:val="176724C1"/>
    <w:rsid w:val="18AF7F70"/>
    <w:rsid w:val="1A431FF4"/>
    <w:rsid w:val="1B746107"/>
    <w:rsid w:val="1CD64124"/>
    <w:rsid w:val="1D400A5F"/>
    <w:rsid w:val="1E0072C5"/>
    <w:rsid w:val="1E1E7AD2"/>
    <w:rsid w:val="1ED0381D"/>
    <w:rsid w:val="1FFF0CD4"/>
    <w:rsid w:val="20FE50B8"/>
    <w:rsid w:val="210F400E"/>
    <w:rsid w:val="21F600D0"/>
    <w:rsid w:val="229A281A"/>
    <w:rsid w:val="2383657E"/>
    <w:rsid w:val="23F45765"/>
    <w:rsid w:val="242E73FF"/>
    <w:rsid w:val="246C5345"/>
    <w:rsid w:val="24AB40AF"/>
    <w:rsid w:val="24D670A4"/>
    <w:rsid w:val="24FC6952"/>
    <w:rsid w:val="255A5EEC"/>
    <w:rsid w:val="2660666F"/>
    <w:rsid w:val="26CC76FD"/>
    <w:rsid w:val="272308AF"/>
    <w:rsid w:val="278E5C78"/>
    <w:rsid w:val="27EE6F09"/>
    <w:rsid w:val="28064C78"/>
    <w:rsid w:val="2864072E"/>
    <w:rsid w:val="29B454D3"/>
    <w:rsid w:val="2A3E38E1"/>
    <w:rsid w:val="2B4D6C37"/>
    <w:rsid w:val="2BD972FE"/>
    <w:rsid w:val="2BF2458F"/>
    <w:rsid w:val="2C905DEC"/>
    <w:rsid w:val="2E8C2FF1"/>
    <w:rsid w:val="2F3B562F"/>
    <w:rsid w:val="2FC8494E"/>
    <w:rsid w:val="314B37FB"/>
    <w:rsid w:val="31B733F7"/>
    <w:rsid w:val="320C3762"/>
    <w:rsid w:val="324A5122"/>
    <w:rsid w:val="35243708"/>
    <w:rsid w:val="367B1E4E"/>
    <w:rsid w:val="37B5313F"/>
    <w:rsid w:val="385D1A98"/>
    <w:rsid w:val="38F70388"/>
    <w:rsid w:val="3A4434B4"/>
    <w:rsid w:val="3B055E9C"/>
    <w:rsid w:val="3D28036F"/>
    <w:rsid w:val="3D8407DF"/>
    <w:rsid w:val="3DC5520A"/>
    <w:rsid w:val="3DFF32ED"/>
    <w:rsid w:val="3F4F4695"/>
    <w:rsid w:val="3F503091"/>
    <w:rsid w:val="4008265B"/>
    <w:rsid w:val="4029670B"/>
    <w:rsid w:val="41851E44"/>
    <w:rsid w:val="420B5D06"/>
    <w:rsid w:val="4248700C"/>
    <w:rsid w:val="439C69F4"/>
    <w:rsid w:val="449C463E"/>
    <w:rsid w:val="4521683A"/>
    <w:rsid w:val="458509FE"/>
    <w:rsid w:val="465670F7"/>
    <w:rsid w:val="471D22FA"/>
    <w:rsid w:val="472B48D8"/>
    <w:rsid w:val="4741375D"/>
    <w:rsid w:val="47C702DF"/>
    <w:rsid w:val="47E175CD"/>
    <w:rsid w:val="48422B9F"/>
    <w:rsid w:val="48643836"/>
    <w:rsid w:val="488947B6"/>
    <w:rsid w:val="4E5728C1"/>
    <w:rsid w:val="4E856DB8"/>
    <w:rsid w:val="4F300ED1"/>
    <w:rsid w:val="4FB64197"/>
    <w:rsid w:val="50572E30"/>
    <w:rsid w:val="505F252F"/>
    <w:rsid w:val="5105068A"/>
    <w:rsid w:val="51AA26CF"/>
    <w:rsid w:val="51AA5E26"/>
    <w:rsid w:val="522F345F"/>
    <w:rsid w:val="52324C02"/>
    <w:rsid w:val="52C93A96"/>
    <w:rsid w:val="531A3416"/>
    <w:rsid w:val="538C5F53"/>
    <w:rsid w:val="54474AB6"/>
    <w:rsid w:val="548338B4"/>
    <w:rsid w:val="5582405A"/>
    <w:rsid w:val="55C00B4C"/>
    <w:rsid w:val="56051C6B"/>
    <w:rsid w:val="563F4648"/>
    <w:rsid w:val="565D7CAE"/>
    <w:rsid w:val="57C07DEE"/>
    <w:rsid w:val="58FE3115"/>
    <w:rsid w:val="592D7B67"/>
    <w:rsid w:val="593527A0"/>
    <w:rsid w:val="59D947AF"/>
    <w:rsid w:val="59F96CB8"/>
    <w:rsid w:val="5A8911BD"/>
    <w:rsid w:val="5BD23E00"/>
    <w:rsid w:val="5BF47018"/>
    <w:rsid w:val="5BF871F6"/>
    <w:rsid w:val="5C653576"/>
    <w:rsid w:val="5E5C14C1"/>
    <w:rsid w:val="5F635E4B"/>
    <w:rsid w:val="5FC358A7"/>
    <w:rsid w:val="60404B5F"/>
    <w:rsid w:val="6134696F"/>
    <w:rsid w:val="61EE3D1B"/>
    <w:rsid w:val="62294114"/>
    <w:rsid w:val="62460F4D"/>
    <w:rsid w:val="62A365B5"/>
    <w:rsid w:val="63026A47"/>
    <w:rsid w:val="64D110EA"/>
    <w:rsid w:val="65B7439B"/>
    <w:rsid w:val="65F87702"/>
    <w:rsid w:val="66607F61"/>
    <w:rsid w:val="67606C1C"/>
    <w:rsid w:val="67612126"/>
    <w:rsid w:val="676942F4"/>
    <w:rsid w:val="67FF0342"/>
    <w:rsid w:val="68362F66"/>
    <w:rsid w:val="68EA113C"/>
    <w:rsid w:val="699E67D8"/>
    <w:rsid w:val="69B23FEC"/>
    <w:rsid w:val="69BC2DA4"/>
    <w:rsid w:val="69E141D5"/>
    <w:rsid w:val="69F87A79"/>
    <w:rsid w:val="6B987971"/>
    <w:rsid w:val="6C540332"/>
    <w:rsid w:val="6DBE3A60"/>
    <w:rsid w:val="6E8A04A9"/>
    <w:rsid w:val="6F3075D5"/>
    <w:rsid w:val="6F5403ED"/>
    <w:rsid w:val="6FB45544"/>
    <w:rsid w:val="70CE1336"/>
    <w:rsid w:val="71A236EE"/>
    <w:rsid w:val="72345B80"/>
    <w:rsid w:val="737C7FB3"/>
    <w:rsid w:val="73843559"/>
    <w:rsid w:val="748F1A6E"/>
    <w:rsid w:val="75AC088F"/>
    <w:rsid w:val="75ED09FF"/>
    <w:rsid w:val="76590D5F"/>
    <w:rsid w:val="774E79DD"/>
    <w:rsid w:val="77AD3FB4"/>
    <w:rsid w:val="781B6398"/>
    <w:rsid w:val="7839395D"/>
    <w:rsid w:val="788B613B"/>
    <w:rsid w:val="78935A62"/>
    <w:rsid w:val="7920167B"/>
    <w:rsid w:val="7A3E4F09"/>
    <w:rsid w:val="7BF11232"/>
    <w:rsid w:val="7CE442E1"/>
    <w:rsid w:val="7CEE0D2E"/>
    <w:rsid w:val="7CF76871"/>
    <w:rsid w:val="7D804F3A"/>
    <w:rsid w:val="7E2B2CA4"/>
    <w:rsid w:val="7E791462"/>
    <w:rsid w:val="7EAF3258"/>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pPr>
    <w:rPr>
      <w:sz w:val="16"/>
      <w:szCs w:val="16"/>
    </w:rPr>
  </w:style>
  <w:style w:type="paragraph" w:styleId="3">
    <w:name w:val="Body Text"/>
    <w:basedOn w:val="1"/>
    <w:next w:val="4"/>
    <w:qFormat/>
    <w:uiPriority w:val="1"/>
    <w:rPr>
      <w:rFonts w:ascii="方正仿宋简体" w:hAnsi="方正仿宋简体" w:eastAsia="方正仿宋简体" w:cs="方正仿宋简体"/>
      <w:sz w:val="31"/>
      <w:szCs w:val="31"/>
      <w:lang w:val="zh-CN" w:eastAsia="zh-CN" w:bidi="zh-CN"/>
    </w:rPr>
  </w:style>
  <w:style w:type="paragraph" w:styleId="4">
    <w:name w:val="Title"/>
    <w:basedOn w:val="1"/>
    <w:next w:val="5"/>
    <w:qFormat/>
    <w:uiPriority w:val="0"/>
    <w:pPr>
      <w:spacing w:before="240" w:beforeLines="0" w:after="60" w:afterLines="0"/>
      <w:jc w:val="center"/>
      <w:textAlignment w:val="baseline"/>
    </w:pPr>
    <w:rPr>
      <w:rFonts w:ascii="Arial" w:hAnsi="Arial" w:eastAsia="宋体" w:cs="Arial"/>
      <w:b/>
      <w:bCs/>
    </w:rPr>
  </w:style>
  <w:style w:type="paragraph" w:styleId="5">
    <w:name w:val="Body Text Indent"/>
    <w:basedOn w:val="1"/>
    <w:next w:val="1"/>
    <w:qFormat/>
    <w:uiPriority w:val="0"/>
    <w:pPr>
      <w:spacing w:after="120" w:afterLines="0" w:afterAutospacing="0"/>
      <w:ind w:left="420" w:leftChars="200"/>
    </w:pPr>
  </w:style>
  <w:style w:type="paragraph" w:styleId="6">
    <w:name w:val="table of authorities"/>
    <w:basedOn w:val="1"/>
    <w:next w:val="1"/>
    <w:qFormat/>
    <w:uiPriority w:val="0"/>
    <w:pPr>
      <w:ind w:left="420" w:leftChars="200"/>
    </w:pPr>
  </w:style>
  <w:style w:type="paragraph" w:styleId="7">
    <w:name w:val="Normal Indent"/>
    <w:basedOn w:val="1"/>
    <w:qFormat/>
    <w:uiPriority w:val="99"/>
    <w:pPr>
      <w:ind w:firstLine="420" w:firstLineChars="200"/>
    </w:pPr>
  </w:style>
  <w:style w:type="paragraph" w:styleId="8">
    <w:name w:val="Body Text Indent 2"/>
    <w:basedOn w:val="1"/>
    <w:qFormat/>
    <w:uiPriority w:val="0"/>
    <w:pPr>
      <w:spacing w:line="600" w:lineRule="exact"/>
      <w:ind w:firstLine="600"/>
    </w:pPr>
    <w:rPr>
      <w:rFonts w:ascii="Times New Roman" w:hAnsi="Times New Roman" w:eastAsia="仿宋" w:cs="Times New Roman"/>
      <w:color w:val="000000"/>
      <w:kern w:val="1"/>
      <w:sz w:val="30"/>
    </w:rPr>
  </w:style>
  <w:style w:type="paragraph" w:styleId="9">
    <w:name w:val="footer"/>
    <w:basedOn w:val="1"/>
    <w:qFormat/>
    <w:uiPriority w:val="0"/>
    <w:pPr>
      <w:tabs>
        <w:tab w:val="center" w:pos="4153"/>
        <w:tab w:val="right" w:pos="8306"/>
      </w:tabs>
      <w:snapToGrid w:val="0"/>
      <w:jc w:val="left"/>
    </w:pPr>
    <w:rPr>
      <w:sz w:val="18"/>
    </w:rPr>
  </w:style>
  <w:style w:type="paragraph" w:styleId="10">
    <w:name w:val="Body Text First Indent"/>
    <w:basedOn w:val="3"/>
    <w:qFormat/>
    <w:uiPriority w:val="0"/>
    <w:pPr>
      <w:spacing w:after="0" w:line="600" w:lineRule="exact"/>
      <w:ind w:firstLine="640" w:firstLineChars="200"/>
    </w:pPr>
    <w:rPr>
      <w:sz w:val="20"/>
      <w:szCs w:val="20"/>
    </w:rPr>
  </w:style>
  <w:style w:type="paragraph" w:styleId="11">
    <w:name w:val="Body Text First Indent 2"/>
    <w:basedOn w:val="5"/>
    <w:next w:val="10"/>
    <w:qFormat/>
    <w:uiPriority w:val="0"/>
    <w:pPr>
      <w:ind w:firstLine="420" w:firstLineChars="200"/>
    </w:pPr>
  </w:style>
  <w:style w:type="paragraph" w:customStyle="1" w:styleId="14">
    <w:name w:val="UserStyle_0"/>
    <w:basedOn w:val="1"/>
    <w:qFormat/>
    <w:uiPriority w:val="0"/>
    <w:pPr>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部门人员情况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行政编制</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Sheet1!$B$2</c:f>
              <c:numCache>
                <c:formatCode>General</c:formatCode>
                <c:ptCount val="1"/>
                <c:pt idx="0">
                  <c:v>15</c:v>
                </c:pt>
              </c:numCache>
            </c:numRef>
          </c:val>
        </c:ser>
        <c:ser>
          <c:idx val="1"/>
          <c:order val="1"/>
          <c:tx>
            <c:strRef>
              <c:f>Sheet1!$C$1</c:f>
              <c:strCache>
                <c:ptCount val="1"/>
                <c:pt idx="0">
                  <c:v>事业编制</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Sheet1!$C$2</c:f>
              <c:numCache>
                <c:formatCode>General</c:formatCode>
                <c:ptCount val="1"/>
                <c:pt idx="0">
                  <c:v>5</c:v>
                </c:pt>
              </c:numCache>
            </c:numRef>
          </c:val>
        </c:ser>
        <c:ser>
          <c:idx val="2"/>
          <c:order val="2"/>
          <c:tx>
            <c:strRef>
              <c:f>Sheet1!$D$1</c:f>
              <c:strCache>
                <c:ptCount val="1"/>
                <c:pt idx="0">
                  <c:v>工勤</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Sheet1!$D$2</c:f>
              <c:numCache>
                <c:formatCode>General</c:formatCode>
                <c:ptCount val="1"/>
                <c:pt idx="0">
                  <c:v>2</c:v>
                </c:pt>
              </c:numCache>
            </c:numRef>
          </c:val>
        </c:ser>
        <c:ser>
          <c:idx val="3"/>
          <c:order val="3"/>
          <c:tx>
            <c:strRef>
              <c:f>Sheet1!$E$1</c:f>
              <c:strCache>
                <c:ptCount val="1"/>
                <c:pt idx="0">
                  <c:v>离岗</c:v>
                </c:pt>
              </c:strCache>
            </c:strRef>
          </c:tx>
          <c:spPr>
            <a:solidFill>
              <a:schemeClr val="accent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Sheet1!$E$2</c:f>
              <c:numCache>
                <c:formatCode>General</c:formatCode>
                <c:ptCount val="1"/>
                <c:pt idx="0">
                  <c:v>1</c:v>
                </c:pt>
              </c:numCache>
            </c:numRef>
          </c:val>
        </c:ser>
        <c:ser>
          <c:idx val="4"/>
          <c:order val="4"/>
          <c:tx>
            <c:strRef>
              <c:f>Sheet1!$F$1</c:f>
              <c:strCache>
                <c:ptCount val="1"/>
                <c:pt idx="0">
                  <c:v>遗属</c:v>
                </c:pt>
              </c:strCache>
            </c:strRef>
          </c:tx>
          <c:spPr>
            <a:solidFill>
              <a:schemeClr val="accent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Sheet1!$F$2</c:f>
              <c:numCache>
                <c:formatCode>General</c:formatCode>
                <c:ptCount val="1"/>
                <c:pt idx="0">
                  <c:v>1</c:v>
                </c:pt>
              </c:numCache>
            </c:numRef>
          </c:val>
        </c:ser>
        <c:ser>
          <c:idx val="5"/>
          <c:order val="5"/>
          <c:tx>
            <c:strRef>
              <c:f>Sheet1!$G$1</c:f>
              <c:strCache>
                <c:ptCount val="1"/>
                <c:pt idx="0">
                  <c:v>借调</c:v>
                </c:pt>
              </c:strCache>
            </c:strRef>
          </c:tx>
          <c:spPr>
            <a:solidFill>
              <a:schemeClr val="accent6"/>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Sheet1!$G$2</c:f>
              <c:numCache>
                <c:formatCode>General</c:formatCode>
                <c:ptCount val="1"/>
                <c:pt idx="0">
                  <c:v>2</c:v>
                </c:pt>
              </c:numCache>
            </c:numRef>
          </c:val>
        </c:ser>
        <c:ser>
          <c:idx val="6"/>
          <c:order val="6"/>
          <c:tx>
            <c:strRef>
              <c:f>Sheet1!$H$1</c:f>
              <c:strCache>
                <c:ptCount val="1"/>
                <c:pt idx="0">
                  <c:v>临聘</c:v>
                </c:pt>
              </c:strCache>
            </c:strRef>
          </c:tx>
          <c:spPr>
            <a:solidFill>
              <a:schemeClr val="accent1">
                <a:lumMod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Sheet1!$H$2</c:f>
              <c:numCache>
                <c:formatCode>General</c:formatCode>
                <c:ptCount val="1"/>
                <c:pt idx="0">
                  <c:v>1</c:v>
                </c:pt>
              </c:numCache>
            </c:numRef>
          </c:val>
        </c:ser>
        <c:ser>
          <c:idx val="7"/>
          <c:order val="7"/>
          <c:tx>
            <c:strRef>
              <c:f>Sheet1!$I$1</c:f>
              <c:strCache>
                <c:ptCount val="1"/>
                <c:pt idx="0">
                  <c:v>离退休人员</c:v>
                </c:pt>
              </c:strCache>
            </c:strRef>
          </c:tx>
          <c:spPr>
            <a:solidFill>
              <a:schemeClr val="accent2">
                <a:lumMod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2023年</c:v>
                </c:pt>
              </c:strCache>
            </c:strRef>
          </c:cat>
          <c:val>
            <c:numRef>
              <c:f>Sheet1!$I$2</c:f>
              <c:numCache>
                <c:formatCode>General</c:formatCode>
                <c:ptCount val="1"/>
                <c:pt idx="0">
                  <c:v>21</c:v>
                </c:pt>
              </c:numCache>
            </c:numRef>
          </c:val>
        </c:ser>
        <c:dLbls>
          <c:showLegendKey val="0"/>
          <c:showVal val="1"/>
          <c:showCatName val="0"/>
          <c:showSerName val="0"/>
          <c:showPercent val="0"/>
          <c:showBubbleSize val="0"/>
        </c:dLbls>
        <c:gapWidth val="219"/>
        <c:overlap val="-27"/>
        <c:axId val="514915731"/>
        <c:axId val="249263326"/>
      </c:barChart>
      <c:catAx>
        <c:axId val="51491573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9263326"/>
        <c:crosses val="autoZero"/>
        <c:auto val="1"/>
        <c:lblAlgn val="ctr"/>
        <c:lblOffset val="100"/>
        <c:noMultiLvlLbl val="0"/>
      </c:catAx>
      <c:valAx>
        <c:axId val="24926332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491573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6066</Words>
  <Characters>6469</Characters>
  <Lines>0</Lines>
  <Paragraphs>0</Paragraphs>
  <TotalTime>17</TotalTime>
  <ScaleCrop>false</ScaleCrop>
  <LinksUpToDate>false</LinksUpToDate>
  <CharactersWithSpaces>6501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2023-05-04T02:35:37Z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