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中国共产党紫阳县委员会组织部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2023年</w:t>
      </w:r>
      <w:r>
        <w:rPr>
          <w:rFonts w:hint="eastAsia" w:ascii="黑体" w:hAnsi="黑体" w:eastAsia="黑体" w:cs="黑体"/>
          <w:sz w:val="32"/>
          <w:szCs w:val="32"/>
        </w:rPr>
        <w:t>部门综合预算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年度部门工作任务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六、部门预算“三公”经费等情况说明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十一、专业名词解释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（具体部门预算公开报表）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部门概况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一、部门主要职责及机构设置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（一）部门主要职责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因本部门主要职责涉密，故不予公开。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（二）机构设置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部门现设有政办股、组织股、干部股（人才股）、干部监督股（举报中心）、干部教育股、党建调研室、公务员管理股、干部信息管理股、考核股、非公有制经济组织和社会组织股十个股室，另有中共紫阳县委农村基层组织建设领导小组办公室（参公）、紫阳县党员电化教育中心、紫阳县老干部活动中心（紫阳县老年大学）三个下属事业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度部门工作任务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以更高站位抓牢政治建设。始终把党的政治建设摆在首位。一是深入学习贯彻党的二十大精神。严格按照习近平总书记全面学习、全面把握、全面落实的总要求，分层分级推动党员干部学习贯彻党的二十大精神教育培训全覆盖，持续推进习近平新时代中国特色社会主义思想“大学习、大宣讲、大培训、大落实”行动，引导基层党组织和广大党员干部原原本本学、融会贯通悟、联系实际干，深刻领悟“两个确立”的决定性意义，树牢“四个意识”，增强“四个自信”，坚决做到“两个维护”，全面提升围绕中心、服务大局的组织保障能力，确保党的二十大精神落地见效。二是分层开展教育培训。聚焦全面推进乡村振兴、加强党建引领基层治理，办好党政领导干部培训班、青年干部培训班、农村（社区）党组织书记（一肩挑）示范培训班等主体班次，促进优质培训资源向基层延伸，高质高效完成培训任务。拓宽学习载体，丰富学习方式，持续学习贯彻《中国共产党组织工作条例》《中国共产党组织处理规定(试行)》等条例规章，不断提高党员干部“七种能力”，增强“八种本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以更大力度抓实组织建设。对标乡村振兴重点任务，压紧压实组织建设工作责任，凝聚工作合力，推动乡村振兴任务落实。一是持续提升各领域党建工作质效。抓好巡视反馈问题整改，持续抓好全域示范镇、标准化示范村、行业示范点创建，引领基层党组织全面过硬。加强驻村帮扶队伍管理，动态选优配强村级班子，组织村干部全员培训。抓好搬迁社区“六好双优”五星级党组织创建，推进村级活动场所“提档升级”，规范中小学校党组织设置，理顺隶属关系，明确职责定位。修订完善公立医院党委议事规则，促进国企党建工作与生产经营深度融合。持续抓覆盖、强服务，推动两新组织在高质量发展中唱主角、展担当、做贡献。落实“五同”城市基层党建引领基层治理模式，构建区域统筹、条块协同、上下联动、共建共享的城市基层党建新格局。严格抓党建月清单提醒、季督导检查、年考核评议制度，常态化开展基层党建工作“集体会诊”专项调研、调度部署，确保重点任务高效落实。二是持续抓好人才工作助力乡村振兴。继续开展“双招双引”活动，创优引才环境。推进茶产业人才调度中心、新华茶叶专业合作社科技小院和高桥镇“陕西省农民田间学校”运行见效。积极与常州市第一人民医院、西安交通大学附属中学等院校对接，建立长期“组团式”帮扶机制。积极配合国家乡村振兴重点帮扶县科技特派团、省科技特派员产业技术服务团等专家团队做好驻点帮扶工作。加大免费技能培训力度，组织开展好农业技能、农村青年创业、乡村工匠等专题培训，壮大乡土人才队伍。继续推行县级领导联系人才和组织部门分片服务人才制度，搭建“一站式”服务平台，大力开展人才走访慰问、创新创业、表彰奖励、主题宣传等活动，进一步优化人才生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三）以更实举措抓活干部队伍建设。紧抓干部培养、选拔、使用、管理等环节，切实加强干部队伍建设。一是加强干部队伍建设。抓实选人用人巡视整改，持续做好科级领导班子日常研判，落实《紫阳县县属国有企业领导人员选派管理暂行办法》《关于在干部教育培训中识别了解干部的十二条措施（试行）》等措施办法。加大优秀干部培养选用力度，分类建立后备干部储备库，落实结对培养、选派一线、跟班学习、挂职锻炼等制度。认真贯彻执行新《公务员法》及系列规定，按时做好2022年新招录公务员试用期满考核、任职定级及公务员登记工作。做好2023年公务员招录工作。按照“三双三定”工作机制，常态化做好公务员职级、事业单位管理岗位职员等级晋升工作。二是强化干部管理监督。坚持不懈改进干部作风，落实《强化激励约束推动作风建设十五条措施》《推进领导干部能上能下规定》和提醒、函询、诫勉、谈心谈话等制度，加强干部八小时以外生活圈、社交圈的监督。完善事前报告、事中督查、事后评议、离任检查、违规失责追究的监督链条，强化对“关键少数”的监督。坚决清理整顿党政领导干部和公职人员违规在企业任（兼、挂）职的问题，规范领导干部因私出国（境）管理工作。完善干部关爱机制，严格执行干部年休假、健康体检、意外伤害保险等制度，充分调动干部干事创业积极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三、部门预算单位构成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从预算单位构成看，中共紫阳县委组织部属于行政机构，下设中共紫阳县委农村基层组织建设领导小组办公室（参公）、紫阳县党员电化教育中心、紫阳县老干部活动中心（紫阳县老年大学）三个事业单位，经费属于财政全额拨款，由组织部机关统一核算。</w:t>
      </w:r>
    </w:p>
    <w:tbl>
      <w:tblPr>
        <w:tblStyle w:val="5"/>
        <w:tblW w:w="87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5"/>
        <w:gridCol w:w="5505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5505" w:type="dxa"/>
            <w:noWrap w:val="0"/>
            <w:vAlign w:val="top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单位名称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拟变动情况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550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中国共产党紫阳县委员会组织部（机关）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550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中共紫阳县委农村基层组织建设领导小组办公室（参公）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5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550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紫阳县党员电化教育中心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8" w:hRule="atLeast"/>
          <w:jc w:val="center"/>
        </w:trPr>
        <w:tc>
          <w:tcPr>
            <w:tcW w:w="106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5505" w:type="dxa"/>
            <w:noWrap w:val="0"/>
            <w:vAlign w:val="top"/>
          </w:tcPr>
          <w:p>
            <w:pPr>
              <w:bidi w:val="0"/>
              <w:ind w:left="0" w:leftChars="0" w:firstLine="0" w:firstLineChars="0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32"/>
                <w:szCs w:val="32"/>
                <w:lang w:val="en-US" w:eastAsia="zh-CN"/>
              </w:rPr>
              <w:t>紫阳县老干部活动中心（紫阳县老年大学）</w:t>
            </w:r>
          </w:p>
        </w:tc>
        <w:tc>
          <w:tcPr>
            <w:tcW w:w="2170" w:type="dxa"/>
            <w:noWrap w:val="0"/>
            <w:vAlign w:val="top"/>
          </w:tcPr>
          <w:p>
            <w:pPr>
              <w:bidi w:val="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四、部门人员情况说明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截止2022年底，本部门人员编制42人，其中行政编制25人、事业编制17人；实有人员34人，其中行政18人、事业16人。单位管理的离退休人员22人。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080000" cy="3810000"/>
            <wp:effectExtent l="144145" t="125095" r="147955" b="16065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</w:t>
      </w: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部门预算收支说明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按照综合预算的原则，本部门所有收入和支出均纳入部门预算管理。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万元、上级补助收入0.00万元、事业收入0.00万元、事业单位经营收入0.00万元、对附属单位上缴收入0.00万元、其他收入0.00万元，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70.22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人员增加，人员工资及公用经费相应增加，村（社区）干部等保险费用列入部门预算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万元、上级补助收入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0.00万元、事业收入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0.00万元、事业单位经营收入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0.00万元、对附属单位上缴收入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0.00万元、其他收入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0.00万元，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本部门预算支出较上年增加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70.22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人员增加，人员工资及公用经费相应增加，村（社区）干部保险等费用列入部门预算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万元、政府性基金拨款收入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万元、国有资本经营预算收入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本部门财政拨款收入较上年增加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70.22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人员增加，人员工资及公用经费相应增加，村（社区）干部保险等费用列入部门预算</w:t>
      </w:r>
      <w:r>
        <w:rPr>
          <w:rFonts w:hint="eastAsia" w:ascii="仿宋" w:hAnsi="仿宋" w:eastAsia="仿宋" w:cs="仿宋"/>
          <w:sz w:val="32"/>
          <w:szCs w:val="32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023年</w:t>
      </w:r>
      <w:r>
        <w:rPr>
          <w:rFonts w:hint="eastAsia" w:ascii="仿宋" w:hAnsi="仿宋" w:eastAsia="仿宋" w:cs="仿宋"/>
          <w:sz w:val="32"/>
          <w:szCs w:val="32"/>
        </w:rPr>
        <w:t>本部门财政拨款支出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万元，其中一般公共预算拨款支出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万元、政府性基金拨款支出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万元、国有资本经营预算收入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支出0万元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本部门财政拨款支出较上年增加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70.22</w:t>
      </w:r>
      <w:r>
        <w:rPr>
          <w:rFonts w:hint="eastAsia" w:ascii="仿宋" w:hAnsi="仿宋" w:eastAsia="仿宋" w:cs="仿宋"/>
          <w:sz w:val="32"/>
          <w:szCs w:val="32"/>
        </w:rPr>
        <w:t>万元，主要原因是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人员增加，人员工资及公用经费相应增加，村（社区）干部保险等费用列入部门预算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1、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一般公共预算当年拨款规模变化情况。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本部门当年一般公共预算拨款支出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70.22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万元，主要原因是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人员增加，人员工资及公用经费相应增加，村（社区）干部保险等费用列入部门预算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支出按功能科目分类的明细情况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（1）行政运行（201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3201</w:t>
      </w:r>
      <w:r>
        <w:rPr>
          <w:rFonts w:hint="eastAsia" w:ascii="仿宋" w:hAnsi="仿宋" w:eastAsia="仿宋" w:cs="仿宋"/>
          <w:sz w:val="32"/>
          <w:szCs w:val="32"/>
        </w:rPr>
        <w:t>）438.87万元，较上年减少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44.87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压缩了公用经费及专项业务费金额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（2）事业运行（201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50）100.82万元，较上年增加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77.48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细化调整了预算科目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（3）机关事业单位基本养老保险缴费支出（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2080505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43.06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6.16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养老保险缴费基数上涨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（4）行政单位医疗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</w:t>
      </w: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2101101</w:t>
      </w:r>
      <w:r>
        <w:rPr>
          <w:rFonts w:hint="eastAsia" w:ascii="仿宋" w:hAnsi="仿宋" w:eastAsia="仿宋" w:cs="仿宋"/>
          <w:sz w:val="32"/>
          <w:szCs w:val="32"/>
        </w:rPr>
        <w:t>）21.17万元，较上年增加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3.12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原因是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医疗保险缴费基数上涨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）对村民委员会和村党支部的补助（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2130705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27.00万元，较上年增加27.00万元，原因是村（社区）干部保险费用新纳入部门预算；</w:t>
      </w:r>
    </w:p>
    <w:p>
      <w:pPr>
        <w:pStyle w:val="2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（6）住房公积金（2210201）32.36万元，较上年增加1.33万元，原因是住房公积金基数上调。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</w:rPr>
        <w:t>3、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支出按经济科目分类的</w:t>
      </w:r>
      <w:r>
        <w:rPr>
          <w:rFonts w:hint="eastAsia" w:ascii="仿宋" w:hAnsi="仿宋" w:eastAsia="仿宋" w:cs="仿宋"/>
          <w:sz w:val="32"/>
          <w:szCs w:val="32"/>
        </w:rPr>
        <w:t>明细情况。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（1）按照部门预算支出经</w:t>
      </w:r>
      <w:r>
        <w:rPr>
          <w:rFonts w:hint="eastAsia" w:ascii="仿宋" w:hAnsi="仿宋" w:eastAsia="仿宋" w:cs="仿宋"/>
          <w:sz w:val="32"/>
          <w:szCs w:val="32"/>
        </w:rPr>
        <w:t>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389.59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61.65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人员增加且工资标准调整，人员工资金额相应增加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168.30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3.24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厉行节约，预算金额调减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105.39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11.81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预算明细调整以及新增村（社区）干部保险费用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政府预算支</w:t>
      </w:r>
      <w:r>
        <w:rPr>
          <w:rFonts w:hint="eastAsia" w:ascii="仿宋" w:hAnsi="仿宋" w:eastAsia="仿宋" w:cs="仿宋"/>
          <w:sz w:val="32"/>
          <w:szCs w:val="32"/>
        </w:rPr>
        <w:t>出经济分类的类级科目说明。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万元，其中：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389.59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61.65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人员增加且工资标准调整，人员工资金额相应增加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机关商品和服务支出（502）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168.30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3.24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厉行节约，预算金额调减</w:t>
      </w:r>
      <w:r>
        <w:rPr>
          <w:rFonts w:hint="eastAsia" w:ascii="仿宋" w:hAnsi="仿宋" w:eastAsia="仿宋" w:cs="仿宋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105.39</w:t>
      </w:r>
      <w:r>
        <w:rPr>
          <w:rFonts w:hint="eastAsia" w:ascii="仿宋" w:hAnsi="仿宋" w:eastAsia="仿宋" w:cs="仿宋"/>
          <w:sz w:val="32"/>
          <w:szCs w:val="32"/>
        </w:rPr>
        <w:t>万元，较上年增加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11.81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预算明细调整以及新增村（社区）干部保险费用。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结转财政资金一般公共预算拨款支出情况。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结转的一般公共预算拨款资金支出。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当年政府性基金预算支出情况。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本部门无当年政府性基金预算收支，并已公开空表。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highlight w:val="none"/>
          <w:lang w:val="en-US" w:eastAsia="zh-CN"/>
        </w:rPr>
        <w:t>上年结转政府性基金预算支出情况。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>本部门无2022年结转的政府性基金预算拨款支出，</w:t>
      </w:r>
      <w:r>
        <w:rPr>
          <w:rFonts w:hint="eastAsia" w:ascii="仿宋" w:hAnsi="仿宋" w:eastAsia="仿宋" w:cs="仿宋"/>
          <w:sz w:val="32"/>
          <w:szCs w:val="32"/>
        </w:rPr>
        <w:t>并已公开空表。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本部门无当年国有资本经营预算拨款收支，并在财政拨款收支总体情况表中列示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结转的国有资本经营预算拨款支出。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六、部门预算“三公”经费等预算情况说明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本部门当年一般公共预算“三公”经费预算支出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0.65</w:t>
      </w:r>
      <w:r>
        <w:rPr>
          <w:rFonts w:hint="eastAsia" w:ascii="仿宋" w:hAnsi="仿宋" w:eastAsia="仿宋" w:cs="仿宋"/>
          <w:sz w:val="32"/>
          <w:szCs w:val="32"/>
        </w:rPr>
        <w:t>万元（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4.43</w:t>
      </w:r>
      <w:r>
        <w:rPr>
          <w:rFonts w:hint="eastAsia" w:ascii="仿宋" w:hAnsi="仿宋" w:eastAsia="仿宋" w:cs="仿宋"/>
          <w:sz w:val="32"/>
          <w:szCs w:val="32"/>
        </w:rPr>
        <w:t>%），减少的主要原因是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厉行节约，调整预算金额</w:t>
      </w:r>
      <w:r>
        <w:rPr>
          <w:rFonts w:hint="eastAsia" w:ascii="仿宋" w:hAnsi="仿宋" w:eastAsia="仿宋" w:cs="仿宋"/>
          <w:sz w:val="32"/>
          <w:szCs w:val="32"/>
        </w:rPr>
        <w:t>。其中：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因公出国（境）经费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；公务接待费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0.65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万元（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4.43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%），</w:t>
      </w:r>
      <w:r>
        <w:rPr>
          <w:rFonts w:hint="eastAsia" w:ascii="仿宋" w:hAnsi="仿宋" w:eastAsia="仿宋" w:cs="仿宋"/>
          <w:sz w:val="32"/>
          <w:szCs w:val="32"/>
        </w:rPr>
        <w:t>减少的主要原因是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厉行节约，调整预算金额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z w:val="32"/>
          <w:szCs w:val="32"/>
          <w:highlight w:val="none"/>
          <w:u w:val="none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；公务用车购置费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）2023年</w:t>
      </w:r>
      <w:r>
        <w:rPr>
          <w:rFonts w:hint="eastAsia" w:ascii="仿宋" w:hAnsi="仿宋" w:eastAsia="仿宋" w:cs="仿宋"/>
          <w:sz w:val="32"/>
          <w:szCs w:val="32"/>
        </w:rPr>
        <w:t>本部门当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会议费</w:t>
      </w:r>
      <w:r>
        <w:rPr>
          <w:rFonts w:hint="eastAsia" w:ascii="仿宋" w:hAnsi="仿宋" w:eastAsia="仿宋" w:cs="仿宋"/>
          <w:sz w:val="32"/>
          <w:szCs w:val="32"/>
        </w:rPr>
        <w:t>预算支出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</w:rPr>
        <w:t>。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培训费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与上年持平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u w:val="none"/>
          <w:lang w:val="en-US" w:eastAsia="zh-CN"/>
        </w:rPr>
        <w:t xml:space="preserve">会议费培训费明细 </w:t>
      </w:r>
    </w:p>
    <w:p>
      <w:pPr>
        <w:ind w:firstLine="640"/>
        <w:jc w:val="right"/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highlight w:val="none"/>
          <w:u w:val="none"/>
          <w:lang w:val="en-US" w:eastAsia="zh-CN"/>
        </w:rPr>
        <w:t>单位：万元</w:t>
      </w:r>
    </w:p>
    <w:tbl>
      <w:tblPr>
        <w:tblStyle w:val="5"/>
        <w:tblW w:w="8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1904"/>
        <w:gridCol w:w="2571"/>
        <w:gridCol w:w="1014"/>
        <w:gridCol w:w="990"/>
        <w:gridCol w:w="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会议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val="en-US" w:eastAsia="zh-CN"/>
              </w:rPr>
              <w:t>/培训</w:t>
            </w: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名称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时间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人数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金额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  <w:highlight w:val="none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1904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全县党建工作会议</w:t>
            </w:r>
          </w:p>
        </w:tc>
        <w:tc>
          <w:tcPr>
            <w:tcW w:w="2571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jc w:val="both"/>
              <w:rPr>
                <w:rFonts w:hint="default" w:ascii="仿宋_GB2312" w:hAnsi="仿宋_GB2312" w:eastAsia="仿宋_GB2312" w:cs="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highlight w:val="none"/>
                <w:vertAlign w:val="baseline"/>
                <w:lang w:val="en-US" w:eastAsia="zh-CN"/>
              </w:rPr>
              <w:t>2023年1月1日至2023年12月31日之间</w:t>
            </w: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200人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6"/>
                <w:szCs w:val="16"/>
                <w:highlight w:val="none"/>
                <w:vertAlign w:val="baseline"/>
                <w:lang w:val="en-US" w:eastAsia="zh-CN"/>
              </w:rPr>
              <w:t>5</w:t>
            </w: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61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904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default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571" w:type="dxa"/>
            <w:noWrap w:val="0"/>
            <w:vAlign w:val="top"/>
          </w:tcPr>
          <w:p>
            <w:pPr>
              <w:spacing w:line="360" w:lineRule="auto"/>
              <w:ind w:left="0" w:leftChars="0" w:firstLine="0" w:firstLineChars="0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14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75" w:type="dxa"/>
            <w:noWrap w:val="0"/>
            <w:vAlign w:val="top"/>
          </w:tcPr>
          <w:p>
            <w:pPr>
              <w:spacing w:line="360" w:lineRule="auto"/>
              <w:rPr>
                <w:rFonts w:hint="eastAsia" w:ascii="仿宋_GB2312" w:hAnsi="仿宋_GB2312" w:eastAsia="仿宋_GB2312" w:cs="仿宋_GB2312"/>
                <w:sz w:val="15"/>
                <w:szCs w:val="15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结转的财政拨款‘三公’经费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和会议费、培训费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支出。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七、部门国有资产占有使用及资产购置情况说明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截止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底，本部门所属预算单位共有车辆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辆，单价20万元以上的设备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台（套）。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当年部门预算安排购置车辆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辆；安排购置单价20万元以上的设备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台（套）。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</w:rPr>
        <w:t>结转的财政拨款支出资产购置。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317" w:leftChars="0" w:firstLine="480" w:firstLineChars="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部门政府采购情况说明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无政府采购预算，并已公开空表。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结转的政府采购资金支出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九、部门预算绩效目标说明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本部门绩效目标管理全覆盖，涉及当年一般公共预算拨款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663.28</w:t>
      </w:r>
      <w:r>
        <w:rPr>
          <w:rFonts w:hint="eastAsia" w:ascii="仿宋" w:hAnsi="仿宋" w:eastAsia="仿宋" w:cs="仿宋"/>
          <w:sz w:val="32"/>
          <w:szCs w:val="32"/>
        </w:rPr>
        <w:t>万元,当年政府性基金预算拨款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万元，当年国有资本经营预算拨款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万元（详见公开报表中的绩效目标表）。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red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本部门无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</w:rPr>
        <w:t>结转的财政拨款支出涉及的绩效目标管理。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机关运行经费安排说明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本部门当年机关运行经费预算安排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168.30</w:t>
      </w:r>
      <w:r>
        <w:rPr>
          <w:rFonts w:hint="eastAsia" w:ascii="仿宋" w:hAnsi="仿宋" w:eastAsia="仿宋" w:cs="仿宋"/>
          <w:sz w:val="32"/>
          <w:szCs w:val="32"/>
        </w:rPr>
        <w:t>万元，较上年减少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3.24</w:t>
      </w:r>
      <w:r>
        <w:rPr>
          <w:rFonts w:hint="eastAsia" w:ascii="仿宋" w:hAnsi="仿宋" w:eastAsia="仿宋" w:cs="仿宋"/>
          <w:sz w:val="32"/>
          <w:szCs w:val="32"/>
        </w:rPr>
        <w:t>万元，原因是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厉行节约，预算金额调减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本部门无</w:t>
      </w:r>
      <w:r>
        <w:rPr>
          <w:rFonts w:hint="eastAsia" w:ascii="仿宋" w:hAnsi="仿宋" w:eastAsia="仿宋" w:cs="仿宋"/>
          <w:sz w:val="32"/>
          <w:szCs w:val="32"/>
          <w:highlight w:val="none"/>
          <w:lang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结转的财政拨款机关运行经费支出。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十一、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专业名词解释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1.机关运行经费：指各部门的公用经费，包括办公及印刷费、邮电费、差旅费、会议费、福利费、日常维修费、专用材料及一般设备购置费、办公用房水电费、办公用房取暖费、办公用房物业管理费、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公务用车运行费</w:t>
      </w:r>
      <w:r>
        <w:rPr>
          <w:rFonts w:hint="eastAsia" w:ascii="仿宋" w:hAnsi="仿宋" w:eastAsia="仿宋" w:cs="仿宋"/>
          <w:sz w:val="32"/>
          <w:szCs w:val="32"/>
        </w:rPr>
        <w:t>以及其他费用。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“三公”经费: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详</w:t>
      </w:r>
      <w:r>
        <w:rPr>
          <w:rFonts w:hint="eastAsia" w:ascii="仿宋" w:hAnsi="仿宋" w:eastAsia="仿宋" w:cs="仿宋"/>
          <w:sz w:val="32"/>
          <w:szCs w:val="32"/>
        </w:rPr>
        <w:t>见附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表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0745B2B8"/>
    <w:multiLevelType w:val="singleLevel"/>
    <w:tmpl w:val="0745B2B8"/>
    <w:lvl w:ilvl="0" w:tentative="0">
      <w:start w:val="8"/>
      <w:numFmt w:val="chineseCounting"/>
      <w:suff w:val="nothing"/>
      <w:lvlText w:val="%1、"/>
      <w:lvlJc w:val="left"/>
      <w:pPr>
        <w:ind w:left="317"/>
      </w:pPr>
      <w:rPr>
        <w:rFonts w:hint="eastAsia"/>
      </w:r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wZGFjNWU4NWE5ZmU1YzE5MGM0OTczODRiNWYxNjUifQ=="/>
  </w:docVars>
  <w:rsids>
    <w:rsidRoot w:val="1ED0381D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DD192D"/>
    <w:rsid w:val="147F7E6C"/>
    <w:rsid w:val="14C85364"/>
    <w:rsid w:val="14FA613E"/>
    <w:rsid w:val="15053ED9"/>
    <w:rsid w:val="15BA67E3"/>
    <w:rsid w:val="15EB6487"/>
    <w:rsid w:val="166918D6"/>
    <w:rsid w:val="176724C1"/>
    <w:rsid w:val="18AF7F70"/>
    <w:rsid w:val="1A431FF4"/>
    <w:rsid w:val="1B746107"/>
    <w:rsid w:val="1CD64124"/>
    <w:rsid w:val="1E0072C5"/>
    <w:rsid w:val="1E1E7AD2"/>
    <w:rsid w:val="1ED0381D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A3E38E1"/>
    <w:rsid w:val="2BF2458F"/>
    <w:rsid w:val="2F3B562F"/>
    <w:rsid w:val="2FC8494E"/>
    <w:rsid w:val="314B37FB"/>
    <w:rsid w:val="31B733F7"/>
    <w:rsid w:val="385D1A98"/>
    <w:rsid w:val="38F70388"/>
    <w:rsid w:val="3A4434B4"/>
    <w:rsid w:val="3B055E9C"/>
    <w:rsid w:val="3D28036F"/>
    <w:rsid w:val="3D8407DF"/>
    <w:rsid w:val="3DFF32ED"/>
    <w:rsid w:val="3F503091"/>
    <w:rsid w:val="4008265B"/>
    <w:rsid w:val="41851E44"/>
    <w:rsid w:val="420B5D06"/>
    <w:rsid w:val="4248700C"/>
    <w:rsid w:val="465670F7"/>
    <w:rsid w:val="471D22FA"/>
    <w:rsid w:val="472B48D8"/>
    <w:rsid w:val="4741375D"/>
    <w:rsid w:val="47C702DF"/>
    <w:rsid w:val="48422B9F"/>
    <w:rsid w:val="488947B6"/>
    <w:rsid w:val="4AE442D6"/>
    <w:rsid w:val="4FB64197"/>
    <w:rsid w:val="50572E30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FE3115"/>
    <w:rsid w:val="592D7B67"/>
    <w:rsid w:val="59D947AF"/>
    <w:rsid w:val="59F96CB8"/>
    <w:rsid w:val="5BD23E00"/>
    <w:rsid w:val="5BF47018"/>
    <w:rsid w:val="5C653576"/>
    <w:rsid w:val="5E5C14C1"/>
    <w:rsid w:val="5F635E4B"/>
    <w:rsid w:val="60404B5F"/>
    <w:rsid w:val="6134696F"/>
    <w:rsid w:val="61EE3D1B"/>
    <w:rsid w:val="62460F4D"/>
    <w:rsid w:val="62A365B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EB72750"/>
    <w:rsid w:val="6F3075D5"/>
    <w:rsid w:val="6F5403ED"/>
    <w:rsid w:val="71A236EE"/>
    <w:rsid w:val="73843559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line="600" w:lineRule="exact"/>
      <w:ind w:left="0" w:leftChars="0" w:firstLine="420" w:firstLineChars="200"/>
    </w:pPr>
    <w:rPr>
      <w:kern w:val="0"/>
    </w:rPr>
  </w:style>
  <w:style w:type="paragraph" w:styleId="3">
    <w:name w:val="Body Text Indent"/>
    <w:basedOn w:val="1"/>
    <w:unhideWhenUsed/>
    <w:qFormat/>
    <w:uiPriority w:val="99"/>
    <w:pPr>
      <w:ind w:left="420" w:leftChars="200"/>
    </w:pPr>
  </w:style>
  <w:style w:type="paragraph" w:styleId="4">
    <w:name w:val="table of authorities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人员结构图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inEnd"/>
            <c:showLegendKey val="1"/>
            <c:showVal val="1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公务员</c:v>
                </c:pt>
                <c:pt idx="1">
                  <c:v>事业单位</c:v>
                </c:pt>
                <c:pt idx="2">
                  <c:v>离退休干部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18</c:v>
                </c:pt>
                <c:pt idx="1">
                  <c:v>16</c:v>
                </c:pt>
                <c:pt idx="2">
                  <c:v>22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31875"/>
          <c:y val="0.9395"/>
        </c:manualLayout>
      </c:layout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accent1">
        <a:lumMod val="40000"/>
        <a:lumOff val="60000"/>
      </a:schemeClr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>
      <a:glow rad="139700">
        <a:schemeClr val="accent2">
          <a:satMod val="175000"/>
          <a:alpha val="40000"/>
        </a:schemeClr>
      </a:glow>
      <a:innerShdw blurRad="63500" dist="50800" dir="16200000">
        <a:prstClr val="black">
          <a:alpha val="50000"/>
        </a:prstClr>
      </a:innerShdw>
      <a:softEdge rad="12700"/>
    </a:effectLst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5064</Words>
  <Characters>5476</Characters>
  <Lines>0</Lines>
  <Paragraphs>0</Paragraphs>
  <TotalTime>3</TotalTime>
  <ScaleCrop>false</ScaleCrop>
  <LinksUpToDate>false</LinksUpToDate>
  <CharactersWithSpaces>5506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星空</cp:lastModifiedBy>
  <cp:lastPrinted>2020-08-03T08:28:00Z</cp:lastPrinted>
  <dcterms:modified xsi:type="dcterms:W3CDTF">2023-04-06T06:11:23Z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