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hint="eastAsia" w:ascii="仿宋_GB2312" w:hAnsi="仿宋_GB2312" w:eastAsia="仿宋_GB2312" w:cs="仿宋_GB2312"/>
          <w:color w:val="000000" w:themeColor="text1"/>
          <w:kern w:val="0"/>
          <w:sz w:val="32"/>
          <w:szCs w:val="32"/>
          <w:highlight w:val="none"/>
          <w:lang w:eastAsia="zh-CN" w:bidi="ar"/>
          <w14:textFill>
            <w14:solidFill>
              <w14:schemeClr w14:val="tx1"/>
            </w14:solidFill>
          </w14:textFill>
        </w:rPr>
      </w:pPr>
    </w:p>
    <w:p>
      <w:pPr>
        <w:widowControl/>
        <w:ind w:left="0" w:leftChars="0" w:firstLine="0" w:firstLineChars="0"/>
        <w:jc w:val="center"/>
        <w:rPr>
          <w:rFonts w:ascii="黑体" w:hAnsi="黑体" w:eastAsia="黑体" w:cs="黑体"/>
          <w:b/>
          <w:bCs/>
          <w:color w:val="000000" w:themeColor="text1"/>
          <w:kern w:val="0"/>
          <w:sz w:val="44"/>
          <w:szCs w:val="44"/>
          <w:highlight w:val="none"/>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before="156" w:beforeLines="50" w:after="156" w:afterLines="50" w:line="240" w:lineRule="auto"/>
        <w:ind w:left="0" w:leftChars="0" w:firstLine="0" w:firstLineChars="0"/>
        <w:jc w:val="center"/>
        <w:textAlignment w:val="auto"/>
        <w:rPr>
          <w:rFonts w:hint="eastAsia" w:ascii="方正小标宋简体" w:hAnsi="方正小标宋简体" w:eastAsia="方正小标宋简体" w:cs="方正小标宋简体"/>
          <w:b w:val="0"/>
          <w:bCs w:val="0"/>
          <w:kern w:val="0"/>
          <w:sz w:val="48"/>
          <w:szCs w:val="48"/>
          <w:highlight w:val="none"/>
          <w:lang w:eastAsia="zh-CN" w:bidi="en-US"/>
        </w:rPr>
      </w:pPr>
      <w:r>
        <w:rPr>
          <w:rFonts w:hint="eastAsia" w:ascii="方正小标宋简体" w:hAnsi="方正小标宋简体" w:eastAsia="方正小标宋简体" w:cs="方正小标宋简体"/>
          <w:b w:val="0"/>
          <w:bCs w:val="0"/>
          <w:kern w:val="0"/>
          <w:sz w:val="48"/>
          <w:szCs w:val="48"/>
          <w:highlight w:val="none"/>
          <w:lang w:eastAsia="zh-CN" w:bidi="en-US"/>
        </w:rPr>
        <w:t>紫阳县“十四五”富硒产业发展规划</w:t>
      </w:r>
    </w:p>
    <w:p>
      <w:pPr>
        <w:widowControl/>
        <w:ind w:left="0" w:leftChars="0" w:firstLine="0" w:firstLineChars="0"/>
        <w:jc w:val="center"/>
        <w:rPr>
          <w:rFonts w:ascii="仿宋_GB2312" w:hAnsi="仿宋_GB2312" w:eastAsia="仿宋_GB2312" w:cs="仿宋_GB2312"/>
          <w:b w:val="0"/>
          <w:bCs w:val="0"/>
          <w:i w:val="0"/>
          <w:iCs w:val="0"/>
          <w:color w:val="auto"/>
          <w:kern w:val="0"/>
          <w:sz w:val="32"/>
          <w:szCs w:val="32"/>
          <w:highlight w:val="none"/>
          <w:lang w:bidi="ar"/>
        </w:rPr>
      </w:pPr>
      <w:r>
        <w:rPr>
          <w:rFonts w:hint="eastAsia" w:ascii="方正小标宋_GBK" w:hAnsi="方正小标宋_GBK" w:eastAsia="方正小标宋_GBK" w:cs="方正小标宋_GBK"/>
          <w:b w:val="0"/>
          <w:bCs w:val="0"/>
          <w:sz w:val="40"/>
          <w:szCs w:val="21"/>
          <w:highlight w:val="none"/>
          <w:lang w:eastAsia="zh-CN"/>
        </w:rPr>
        <w:t>（</w:t>
      </w:r>
      <w:r>
        <w:rPr>
          <w:rFonts w:hint="eastAsia" w:asciiTheme="majorEastAsia" w:hAnsiTheme="majorEastAsia" w:eastAsiaTheme="majorEastAsia" w:cstheme="majorEastAsia"/>
          <w:b w:val="0"/>
          <w:bCs w:val="0"/>
          <w:sz w:val="40"/>
          <w:szCs w:val="21"/>
          <w:highlight w:val="none"/>
          <w:lang w:eastAsia="zh-CN"/>
        </w:rPr>
        <w:t>2021--2025</w:t>
      </w:r>
      <w:r>
        <w:rPr>
          <w:rFonts w:hint="eastAsia" w:ascii="方正小标宋_GBK" w:hAnsi="方正小标宋_GBK" w:eastAsia="方正小标宋_GBK" w:cs="方正小标宋_GBK"/>
          <w:b w:val="0"/>
          <w:bCs w:val="0"/>
          <w:sz w:val="40"/>
          <w:szCs w:val="21"/>
          <w:highlight w:val="none"/>
          <w:lang w:eastAsia="zh-CN"/>
        </w:rPr>
        <w:t>）</w:t>
      </w:r>
    </w:p>
    <w:p>
      <w:pPr>
        <w:widowControl/>
        <w:jc w:val="center"/>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p>
    <w:p>
      <w:pPr>
        <w:widowControl/>
        <w:jc w:val="center"/>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p>
    <w:p>
      <w:pPr>
        <w:widowControl/>
        <w:jc w:val="center"/>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p>
    <w:p>
      <w:pPr>
        <w:widowControl/>
        <w:jc w:val="center"/>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p>
    <w:p>
      <w:pPr>
        <w:pStyle w:val="2"/>
        <w:rPr>
          <w:highlight w:val="none"/>
        </w:rPr>
      </w:pPr>
    </w:p>
    <w:p>
      <w:pPr>
        <w:widowControl/>
        <w:jc w:val="center"/>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p>
    <w:p>
      <w:pPr>
        <w:widowControl/>
        <w:jc w:val="center"/>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p>
    <w:p>
      <w:pPr>
        <w:pStyle w:val="2"/>
        <w:rPr>
          <w:color w:val="000000" w:themeColor="text1"/>
          <w:highlight w:val="none"/>
          <w:lang w:bidi="ar"/>
          <w14:textFill>
            <w14:solidFill>
              <w14:schemeClr w14:val="tx1"/>
            </w14:solidFill>
          </w14:textFill>
        </w:rPr>
      </w:pPr>
    </w:p>
    <w:p>
      <w:pPr>
        <w:pStyle w:val="7"/>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p>
    <w:p>
      <w:pPr>
        <w:pStyle w:val="8"/>
        <w:rPr>
          <w:highlight w:val="none"/>
        </w:rPr>
      </w:pPr>
    </w:p>
    <w:p>
      <w:pPr>
        <w:pStyle w:val="7"/>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p>
    <w:p>
      <w:pPr>
        <w:pStyle w:val="8"/>
        <w:rPr>
          <w:highlight w:val="none"/>
        </w:rPr>
      </w:pPr>
    </w:p>
    <w:p>
      <w:pPr>
        <w:widowControl/>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p>
    <w:p>
      <w:pPr>
        <w:widowControl/>
        <w:ind w:left="0" w:leftChars="0" w:firstLine="0" w:firstLineChars="0"/>
        <w:jc w:val="center"/>
        <w:rPr>
          <w:rFonts w:hint="eastAsia" w:ascii="黑体" w:hAnsi="黑体" w:eastAsia="黑体" w:cs="黑体"/>
          <w:b/>
          <w:bCs/>
          <w:color w:val="000000" w:themeColor="text1"/>
          <w:kern w:val="0"/>
          <w:sz w:val="32"/>
          <w:szCs w:val="32"/>
          <w:highlight w:val="none"/>
          <w:lang w:bidi="ar"/>
          <w14:textFill>
            <w14:solidFill>
              <w14:schemeClr w14:val="tx1"/>
            </w14:solidFill>
          </w14:textFill>
        </w:rPr>
      </w:pPr>
    </w:p>
    <w:p>
      <w:pPr>
        <w:widowControl/>
        <w:ind w:left="0" w:leftChars="0" w:firstLine="0" w:firstLineChars="0"/>
        <w:jc w:val="center"/>
        <w:rPr>
          <w:rFonts w:hint="default" w:ascii="Times New Roman" w:hAnsi="Times New Roman" w:eastAsia="楷体_GB2312" w:cs="Times New Roman"/>
          <w:b w:val="0"/>
          <w:bCs w:val="0"/>
          <w:color w:val="000000" w:themeColor="text1"/>
          <w:kern w:val="0"/>
          <w:sz w:val="32"/>
          <w:szCs w:val="32"/>
          <w:highlight w:val="none"/>
          <w:lang w:bidi="ar"/>
          <w14:textFill>
            <w14:solidFill>
              <w14:schemeClr w14:val="tx1"/>
            </w14:solidFill>
          </w14:textFill>
        </w:rPr>
      </w:pPr>
      <w:r>
        <w:rPr>
          <w:rFonts w:hint="default" w:ascii="Times New Roman" w:hAnsi="Times New Roman" w:eastAsia="楷体_GB2312" w:cs="Times New Roman"/>
          <w:b w:val="0"/>
          <w:bCs w:val="0"/>
          <w:color w:val="000000" w:themeColor="text1"/>
          <w:kern w:val="0"/>
          <w:sz w:val="32"/>
          <w:szCs w:val="32"/>
          <w:highlight w:val="none"/>
          <w:lang w:bidi="ar"/>
          <w14:textFill>
            <w14:solidFill>
              <w14:schemeClr w14:val="tx1"/>
            </w14:solidFill>
          </w14:textFill>
        </w:rPr>
        <w:t>紫阳县农业农村局</w:t>
      </w:r>
    </w:p>
    <w:p>
      <w:pPr>
        <w:widowControl/>
        <w:ind w:left="0" w:leftChars="0" w:firstLine="0" w:firstLineChars="0"/>
        <w:jc w:val="center"/>
        <w:rPr>
          <w:rFonts w:hint="default" w:ascii="Times New Roman" w:hAnsi="Times New Roman" w:eastAsia="楷体_GB2312" w:cs="Times New Roman"/>
          <w:b w:val="0"/>
          <w:bCs w:val="0"/>
          <w:color w:val="auto"/>
          <w:kern w:val="0"/>
          <w:sz w:val="32"/>
          <w:szCs w:val="32"/>
          <w:highlight w:val="none"/>
          <w:lang w:bidi="ar"/>
        </w:rPr>
      </w:pPr>
      <w:r>
        <w:rPr>
          <w:rFonts w:hint="default" w:ascii="Times New Roman" w:hAnsi="Times New Roman" w:eastAsia="楷体_GB2312" w:cs="Times New Roman"/>
          <w:b w:val="0"/>
          <w:bCs w:val="0"/>
          <w:color w:val="auto"/>
          <w:kern w:val="0"/>
          <w:sz w:val="32"/>
          <w:szCs w:val="32"/>
          <w:highlight w:val="none"/>
          <w:lang w:bidi="ar"/>
        </w:rPr>
        <w:t>202</w:t>
      </w:r>
      <w:r>
        <w:rPr>
          <w:rFonts w:hint="default" w:ascii="Times New Roman" w:hAnsi="Times New Roman" w:eastAsia="楷体_GB2312" w:cs="Times New Roman"/>
          <w:b w:val="0"/>
          <w:bCs w:val="0"/>
          <w:color w:val="auto"/>
          <w:kern w:val="0"/>
          <w:sz w:val="32"/>
          <w:szCs w:val="32"/>
          <w:highlight w:val="none"/>
          <w:lang w:val="en-US" w:eastAsia="zh-CN" w:bidi="ar"/>
        </w:rPr>
        <w:t>2</w:t>
      </w:r>
      <w:r>
        <w:rPr>
          <w:rFonts w:hint="default" w:ascii="Times New Roman" w:hAnsi="Times New Roman" w:eastAsia="楷体_GB2312" w:cs="Times New Roman"/>
          <w:b w:val="0"/>
          <w:bCs w:val="0"/>
          <w:color w:val="auto"/>
          <w:kern w:val="0"/>
          <w:sz w:val="32"/>
          <w:szCs w:val="32"/>
          <w:highlight w:val="none"/>
          <w:lang w:bidi="ar"/>
        </w:rPr>
        <w:t>年</w:t>
      </w:r>
      <w:r>
        <w:rPr>
          <w:rFonts w:hint="eastAsia" w:ascii="Times New Roman" w:hAnsi="Times New Roman" w:eastAsia="楷体_GB2312" w:cs="Times New Roman"/>
          <w:b w:val="0"/>
          <w:bCs w:val="0"/>
          <w:color w:val="auto"/>
          <w:kern w:val="0"/>
          <w:sz w:val="32"/>
          <w:szCs w:val="32"/>
          <w:highlight w:val="none"/>
          <w:lang w:val="en-US" w:eastAsia="zh-CN" w:bidi="ar"/>
        </w:rPr>
        <w:t>9</w:t>
      </w:r>
      <w:r>
        <w:rPr>
          <w:rFonts w:hint="default" w:ascii="Times New Roman" w:hAnsi="Times New Roman" w:eastAsia="楷体_GB2312" w:cs="Times New Roman"/>
          <w:b w:val="0"/>
          <w:bCs w:val="0"/>
          <w:color w:val="auto"/>
          <w:kern w:val="0"/>
          <w:sz w:val="32"/>
          <w:szCs w:val="32"/>
          <w:highlight w:val="none"/>
          <w:lang w:bidi="ar"/>
        </w:rPr>
        <w:t>月</w:t>
      </w:r>
    </w:p>
    <w:p>
      <w:pPr>
        <w:pStyle w:val="2"/>
        <w:rPr>
          <w:color w:val="auto"/>
          <w:highlight w:val="none"/>
        </w:rPr>
        <w:sectPr>
          <w:footerReference r:id="rId3" w:type="default"/>
          <w:pgSz w:w="11906" w:h="16838"/>
          <w:pgMar w:top="2098" w:right="1474" w:bottom="1984" w:left="1587" w:header="851" w:footer="992" w:gutter="0"/>
          <w:pgNumType w:fmt="upperRoman"/>
          <w:cols w:space="0" w:num="1"/>
          <w:rtlGutter w:val="0"/>
          <w:docGrid w:type="lines" w:linePitch="312" w:charSpace="0"/>
        </w:sectPr>
      </w:pPr>
    </w:p>
    <w:sdt>
      <w:sdtPr>
        <w:rPr>
          <w:rFonts w:hint="eastAsia" w:ascii="方正小标宋_GBK" w:hAnsi="方正小标宋_GBK" w:eastAsia="方正小标宋_GBK" w:cs="方正小标宋_GBK"/>
          <w:kern w:val="2"/>
          <w:sz w:val="40"/>
          <w:szCs w:val="40"/>
          <w:highlight w:val="none"/>
          <w:lang w:val="en-US" w:eastAsia="zh-CN" w:bidi="ar-SA"/>
        </w:rPr>
        <w:id w:val="147482133"/>
        <w15:color w:val="DBDBDB"/>
        <w:docPartObj>
          <w:docPartGallery w:val="Table of Contents"/>
          <w:docPartUnique/>
        </w:docPartObj>
      </w:sdtPr>
      <w:sdtEndPr>
        <w:rPr>
          <w:rFonts w:hint="eastAsia" w:ascii="仿宋_GB2312" w:hAnsi="仿宋_GB2312" w:eastAsia="仿宋_GB2312" w:cstheme="minorHAnsi"/>
          <w:color w:val="000000"/>
          <w:kern w:val="2"/>
          <w:sz w:val="32"/>
          <w:szCs w:val="32"/>
          <w:highlight w:val="none"/>
          <w:lang w:val="en-US" w:eastAsia="zh-CN" w:bidi="ar-SA"/>
        </w:rPr>
      </w:sdtEndPr>
      <w:sdtContent>
        <w:p>
          <w:pPr>
            <w:keepNext w:val="0"/>
            <w:keepLines w:val="0"/>
            <w:pageBreakBefore w:val="0"/>
            <w:kinsoku/>
            <w:wordWrap/>
            <w:overflowPunct/>
            <w:topLinePunct w:val="0"/>
            <w:autoSpaceDE/>
            <w:autoSpaceDN/>
            <w:bidi w:val="0"/>
            <w:adjustRightInd/>
            <w:spacing w:before="0" w:beforeLines="0" w:after="0" w:afterLines="0" w:line="600" w:lineRule="atLeast"/>
            <w:ind w:left="0" w:leftChars="0" w:right="0" w:rightChars="0" w:firstLine="0" w:firstLineChars="0"/>
            <w:jc w:val="center"/>
            <w:textAlignment w:val="auto"/>
            <w:rPr>
              <w:rFonts w:hint="eastAsia" w:ascii="仿宋_GB2312" w:hAnsi="仿宋_GB2312" w:eastAsia="方正小标宋_GBK" w:cs="方正小标宋_GBK"/>
              <w:sz w:val="40"/>
              <w:szCs w:val="40"/>
              <w:highlight w:val="none"/>
            </w:rPr>
          </w:pPr>
          <w:r>
            <w:rPr>
              <w:rFonts w:hint="eastAsia" w:ascii="仿宋_GB2312" w:hAnsi="仿宋_GB2312" w:eastAsia="方正小标宋_GBK" w:cs="方正小标宋_GBK"/>
              <w:sz w:val="40"/>
              <w:szCs w:val="40"/>
              <w:highlight w:val="none"/>
            </w:rPr>
            <w:t>目</w:t>
          </w:r>
          <w:r>
            <w:rPr>
              <w:rFonts w:hint="eastAsia" w:ascii="仿宋_GB2312" w:hAnsi="仿宋_GB2312" w:eastAsia="方正小标宋_GBK" w:cs="方正小标宋_GBK"/>
              <w:sz w:val="40"/>
              <w:szCs w:val="40"/>
              <w:highlight w:val="none"/>
              <w:lang w:val="en-US" w:eastAsia="zh-CN"/>
            </w:rPr>
            <w:t xml:space="preserve">  </w:t>
          </w:r>
          <w:r>
            <w:rPr>
              <w:rFonts w:hint="eastAsia" w:ascii="仿宋_GB2312" w:hAnsi="仿宋_GB2312" w:eastAsia="方正小标宋_GBK" w:cs="方正小标宋_GBK"/>
              <w:sz w:val="40"/>
              <w:szCs w:val="40"/>
              <w:highlight w:val="none"/>
            </w:rPr>
            <w:t>录</w:t>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ind w:left="0" w:leftChars="0" w:firstLine="0" w:firstLineChars="0"/>
            <w:textAlignment w:val="auto"/>
            <w:rPr>
              <w:rFonts w:hint="eastAsia" w:ascii="仿宋_GB2312" w:hAnsi="仿宋_GB2312" w:eastAsia="黑体" w:cs="黑体"/>
              <w:b w:val="0"/>
              <w:bCs w:val="0"/>
            </w:rPr>
          </w:pPr>
          <w:r>
            <w:rPr>
              <w:rFonts w:ascii="仿宋_GB2312" w:hAnsi="仿宋_GB2312"/>
              <w:sz w:val="32"/>
              <w:szCs w:val="32"/>
              <w:highlight w:val="none"/>
            </w:rPr>
            <w:fldChar w:fldCharType="begin"/>
          </w:r>
          <w:r>
            <w:rPr>
              <w:rFonts w:ascii="仿宋_GB2312" w:hAnsi="仿宋_GB2312"/>
              <w:sz w:val="32"/>
              <w:szCs w:val="32"/>
              <w:highlight w:val="none"/>
            </w:rPr>
            <w:instrText xml:space="preserve">TOC \o "1-1" \h \u </w:instrText>
          </w:r>
          <w:r>
            <w:rPr>
              <w:rFonts w:ascii="仿宋_GB2312" w:hAnsi="仿宋_GB2312"/>
              <w:sz w:val="32"/>
              <w:szCs w:val="32"/>
              <w:highlight w:val="none"/>
            </w:rPr>
            <w:fldChar w:fldCharType="separate"/>
          </w:r>
          <w:r>
            <w:rPr>
              <w:rFonts w:hint="eastAsia" w:ascii="仿宋_GB2312" w:hAnsi="仿宋_GB2312" w:eastAsia="黑体" w:cs="黑体"/>
              <w:b w:val="0"/>
              <w:bCs w:val="0"/>
              <w:szCs w:val="32"/>
              <w:highlight w:val="none"/>
            </w:rPr>
            <w:fldChar w:fldCharType="begin"/>
          </w:r>
          <w:r>
            <w:rPr>
              <w:rFonts w:hint="eastAsia" w:ascii="仿宋_GB2312" w:hAnsi="仿宋_GB2312" w:eastAsia="黑体" w:cs="黑体"/>
              <w:b w:val="0"/>
              <w:bCs w:val="0"/>
              <w:szCs w:val="32"/>
              <w:highlight w:val="none"/>
            </w:rPr>
            <w:instrText xml:space="preserve"> HYPERLINK \l _Toc13505 </w:instrText>
          </w:r>
          <w:r>
            <w:rPr>
              <w:rFonts w:hint="eastAsia" w:ascii="仿宋_GB2312" w:hAnsi="仿宋_GB2312" w:eastAsia="黑体" w:cs="黑体"/>
              <w:b w:val="0"/>
              <w:bCs w:val="0"/>
              <w:szCs w:val="32"/>
              <w:highlight w:val="none"/>
            </w:rPr>
            <w:fldChar w:fldCharType="separate"/>
          </w:r>
          <w:r>
            <w:rPr>
              <w:rFonts w:hint="eastAsia" w:ascii="仿宋_GB2312" w:hAnsi="仿宋_GB2312" w:eastAsia="黑体" w:cs="黑体"/>
              <w:b w:val="0"/>
              <w:bCs w:val="0"/>
              <w:highlight w:val="none"/>
            </w:rPr>
            <w:t>第一</w:t>
          </w:r>
          <w:r>
            <w:rPr>
              <w:rFonts w:hint="eastAsia" w:ascii="仿宋_GB2312" w:hAnsi="仿宋_GB2312" w:eastAsia="黑体" w:cs="黑体"/>
              <w:b w:val="0"/>
              <w:bCs w:val="0"/>
              <w:highlight w:val="none"/>
              <w:lang w:eastAsia="zh-CN"/>
            </w:rPr>
            <w:t>章　</w:t>
          </w:r>
          <w:r>
            <w:rPr>
              <w:rFonts w:hint="eastAsia" w:ascii="仿宋_GB2312" w:hAnsi="仿宋_GB2312" w:eastAsia="黑体" w:cs="黑体"/>
              <w:b w:val="0"/>
              <w:bCs w:val="0"/>
              <w:highlight w:val="none"/>
            </w:rPr>
            <w:t>发展环境</w:t>
          </w:r>
          <w:r>
            <w:rPr>
              <w:rFonts w:hint="eastAsia" w:ascii="仿宋_GB2312" w:hAnsi="仿宋_GB2312" w:eastAsia="黑体" w:cs="黑体"/>
              <w:b w:val="0"/>
              <w:bCs w:val="0"/>
            </w:rPr>
            <w:tab/>
          </w:r>
          <w:r>
            <w:rPr>
              <w:rFonts w:hint="eastAsia" w:ascii="仿宋_GB2312" w:hAnsi="仿宋_GB2312" w:eastAsia="黑体" w:cs="黑体"/>
              <w:b w:val="0"/>
              <w:bCs w:val="0"/>
            </w:rPr>
            <w:fldChar w:fldCharType="begin"/>
          </w:r>
          <w:r>
            <w:rPr>
              <w:rFonts w:hint="eastAsia" w:ascii="仿宋_GB2312" w:hAnsi="仿宋_GB2312" w:eastAsia="黑体" w:cs="黑体"/>
              <w:b w:val="0"/>
              <w:bCs w:val="0"/>
            </w:rPr>
            <w:instrText xml:space="preserve"> PAGEREF _Toc13505 \h </w:instrText>
          </w:r>
          <w:r>
            <w:rPr>
              <w:rFonts w:hint="eastAsia" w:ascii="仿宋_GB2312" w:hAnsi="仿宋_GB2312" w:eastAsia="黑体" w:cs="黑体"/>
              <w:b w:val="0"/>
              <w:bCs w:val="0"/>
            </w:rPr>
            <w:fldChar w:fldCharType="separate"/>
          </w:r>
          <w:r>
            <w:rPr>
              <w:rFonts w:hint="eastAsia" w:ascii="仿宋_GB2312" w:hAnsi="仿宋_GB2312" w:eastAsia="黑体" w:cs="黑体"/>
              <w:b w:val="0"/>
              <w:bCs w:val="0"/>
            </w:rPr>
            <w:t>- 2 -</w:t>
          </w:r>
          <w:r>
            <w:rPr>
              <w:rFonts w:hint="eastAsia" w:ascii="仿宋_GB2312" w:hAnsi="仿宋_GB2312" w:eastAsia="黑体" w:cs="黑体"/>
              <w:b w:val="0"/>
              <w:bCs w:val="0"/>
            </w:rPr>
            <w:fldChar w:fldCharType="end"/>
          </w:r>
          <w:r>
            <w:rPr>
              <w:rFonts w:hint="eastAsia" w:ascii="仿宋_GB2312" w:hAnsi="仿宋_GB2312" w:eastAsia="黑体" w:cs="黑体"/>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_Toc4890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highlight w:val="none"/>
            </w:rPr>
            <w:t>第一节</w:t>
          </w:r>
          <w:r>
            <w:rPr>
              <w:rFonts w:hint="eastAsia" w:ascii="仿宋_GB2312" w:hAnsi="仿宋_GB2312" w:eastAsia="楷体_GB2312" w:cs="楷体_GB2312"/>
              <w:b w:val="0"/>
              <w:bCs w:val="0"/>
              <w:highlight w:val="none"/>
              <w:lang w:eastAsia="zh-CN"/>
            </w:rPr>
            <w:t>　</w:t>
          </w:r>
          <w:r>
            <w:rPr>
              <w:rFonts w:hint="eastAsia" w:ascii="仿宋_GB2312" w:hAnsi="仿宋_GB2312" w:eastAsia="楷体_GB2312" w:cs="楷体_GB2312"/>
              <w:b w:val="0"/>
              <w:bCs w:val="0"/>
              <w:highlight w:val="none"/>
            </w:rPr>
            <w:t>发展方向</w:t>
          </w:r>
          <w:r>
            <w:rPr>
              <w:rFonts w:hint="eastAsia" w:ascii="仿宋_GB2312" w:hAnsi="仿宋_GB2312" w:eastAsia="楷体_GB2312" w:cs="楷体_GB2312"/>
              <w:b w:val="0"/>
              <w:bCs w:val="0"/>
              <w:highlight w:val="none"/>
              <w:lang w:eastAsia="zh-CN"/>
            </w:rPr>
            <w:t>清晰</w:t>
          </w:r>
          <w:r>
            <w:rPr>
              <w:rFonts w:hint="eastAsia" w:ascii="仿宋_GB2312" w:hAnsi="仿宋_GB2312" w:eastAsia="楷体_GB2312" w:cs="楷体_GB2312"/>
              <w:b w:val="0"/>
              <w:bCs w:val="0"/>
            </w:rPr>
            <w:tab/>
          </w:r>
          <w:r>
            <w:rPr>
              <w:rFonts w:hint="eastAsia" w:ascii="仿宋_GB2312" w:hAnsi="仿宋_GB2312" w:eastAsia="楷体_GB2312" w:cs="楷体_GB2312"/>
              <w:b w:val="0"/>
              <w:bCs w:val="0"/>
            </w:rPr>
            <w:fldChar w:fldCharType="begin"/>
          </w:r>
          <w:r>
            <w:rPr>
              <w:rFonts w:hint="eastAsia" w:ascii="仿宋_GB2312" w:hAnsi="仿宋_GB2312" w:eastAsia="楷体_GB2312" w:cs="楷体_GB2312"/>
              <w:b w:val="0"/>
              <w:bCs w:val="0"/>
            </w:rPr>
            <w:instrText xml:space="preserve"> PAGEREF _Toc4890 \h </w:instrText>
          </w:r>
          <w:r>
            <w:rPr>
              <w:rFonts w:hint="eastAsia" w:ascii="仿宋_GB2312" w:hAnsi="仿宋_GB2312" w:eastAsia="楷体_GB2312" w:cs="楷体_GB2312"/>
              <w:b w:val="0"/>
              <w:bCs w:val="0"/>
            </w:rPr>
            <w:fldChar w:fldCharType="separate"/>
          </w:r>
          <w:r>
            <w:rPr>
              <w:rFonts w:hint="eastAsia" w:ascii="仿宋_GB2312" w:hAnsi="仿宋_GB2312" w:eastAsia="楷体_GB2312" w:cs="楷体_GB2312"/>
              <w:b w:val="0"/>
              <w:bCs w:val="0"/>
            </w:rPr>
            <w:t>- 2 -</w:t>
          </w:r>
          <w:r>
            <w:rPr>
              <w:rFonts w:hint="eastAsia" w:ascii="仿宋_GB2312" w:hAnsi="仿宋_GB2312" w:eastAsia="楷体_GB2312" w:cs="楷体_GB2312"/>
              <w:b w:val="0"/>
              <w:bCs w:val="0"/>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_Toc25427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highlight w:val="none"/>
            </w:rPr>
            <w:t>第二节  战略需求紧迫</w:t>
          </w:r>
          <w:r>
            <w:rPr>
              <w:rFonts w:hint="eastAsia" w:ascii="仿宋_GB2312" w:hAnsi="仿宋_GB2312" w:eastAsia="楷体_GB2312" w:cs="楷体_GB2312"/>
              <w:b w:val="0"/>
              <w:bCs w:val="0"/>
            </w:rPr>
            <w:tab/>
          </w:r>
          <w:r>
            <w:rPr>
              <w:rFonts w:hint="eastAsia" w:ascii="仿宋_GB2312" w:hAnsi="仿宋_GB2312" w:eastAsia="楷体_GB2312" w:cs="楷体_GB2312"/>
              <w:b w:val="0"/>
              <w:bCs w:val="0"/>
            </w:rPr>
            <w:fldChar w:fldCharType="begin"/>
          </w:r>
          <w:r>
            <w:rPr>
              <w:rFonts w:hint="eastAsia" w:ascii="仿宋_GB2312" w:hAnsi="仿宋_GB2312" w:eastAsia="楷体_GB2312" w:cs="楷体_GB2312"/>
              <w:b w:val="0"/>
              <w:bCs w:val="0"/>
            </w:rPr>
            <w:instrText xml:space="preserve"> PAGEREF _Toc25427 \h </w:instrText>
          </w:r>
          <w:r>
            <w:rPr>
              <w:rFonts w:hint="eastAsia" w:ascii="仿宋_GB2312" w:hAnsi="仿宋_GB2312" w:eastAsia="楷体_GB2312" w:cs="楷体_GB2312"/>
              <w:b w:val="0"/>
              <w:bCs w:val="0"/>
            </w:rPr>
            <w:fldChar w:fldCharType="separate"/>
          </w:r>
          <w:r>
            <w:rPr>
              <w:rFonts w:hint="eastAsia" w:ascii="仿宋_GB2312" w:hAnsi="仿宋_GB2312" w:eastAsia="楷体_GB2312" w:cs="楷体_GB2312"/>
              <w:b w:val="0"/>
              <w:bCs w:val="0"/>
            </w:rPr>
            <w:t>- 3 -</w:t>
          </w:r>
          <w:r>
            <w:rPr>
              <w:rFonts w:hint="eastAsia" w:ascii="仿宋_GB2312" w:hAnsi="仿宋_GB2312" w:eastAsia="楷体_GB2312" w:cs="楷体_GB2312"/>
              <w:b w:val="0"/>
              <w:bCs w:val="0"/>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_Toc5201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highlight w:val="none"/>
            </w:rPr>
            <w:t>第三节  市场空间广阔</w:t>
          </w:r>
          <w:r>
            <w:rPr>
              <w:rFonts w:hint="eastAsia" w:ascii="仿宋_GB2312" w:hAnsi="仿宋_GB2312" w:eastAsia="楷体_GB2312" w:cs="楷体_GB2312"/>
              <w:b w:val="0"/>
              <w:bCs w:val="0"/>
            </w:rPr>
            <w:tab/>
          </w:r>
          <w:r>
            <w:rPr>
              <w:rFonts w:hint="eastAsia" w:ascii="仿宋_GB2312" w:hAnsi="仿宋_GB2312" w:eastAsia="楷体_GB2312" w:cs="楷体_GB2312"/>
              <w:b w:val="0"/>
              <w:bCs w:val="0"/>
            </w:rPr>
            <w:fldChar w:fldCharType="begin"/>
          </w:r>
          <w:r>
            <w:rPr>
              <w:rFonts w:hint="eastAsia" w:ascii="仿宋_GB2312" w:hAnsi="仿宋_GB2312" w:eastAsia="楷体_GB2312" w:cs="楷体_GB2312"/>
              <w:b w:val="0"/>
              <w:bCs w:val="0"/>
            </w:rPr>
            <w:instrText xml:space="preserve"> PAGEREF _Toc5201 \h </w:instrText>
          </w:r>
          <w:r>
            <w:rPr>
              <w:rFonts w:hint="eastAsia" w:ascii="仿宋_GB2312" w:hAnsi="仿宋_GB2312" w:eastAsia="楷体_GB2312" w:cs="楷体_GB2312"/>
              <w:b w:val="0"/>
              <w:bCs w:val="0"/>
            </w:rPr>
            <w:fldChar w:fldCharType="separate"/>
          </w:r>
          <w:r>
            <w:rPr>
              <w:rFonts w:hint="eastAsia" w:ascii="仿宋_GB2312" w:hAnsi="仿宋_GB2312" w:eastAsia="楷体_GB2312" w:cs="楷体_GB2312"/>
              <w:b w:val="0"/>
              <w:bCs w:val="0"/>
            </w:rPr>
            <w:t>- 4 -</w:t>
          </w:r>
          <w:r>
            <w:rPr>
              <w:rFonts w:hint="eastAsia" w:ascii="仿宋_GB2312" w:hAnsi="仿宋_GB2312" w:eastAsia="楷体_GB2312" w:cs="楷体_GB2312"/>
              <w:b w:val="0"/>
              <w:bCs w:val="0"/>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ascii="仿宋_GB2312" w:hAnsi="仿宋_GB2312"/>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_Toc12809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highlight w:val="none"/>
            </w:rPr>
            <w:t>第四节  产业氛围浓厚</w:t>
          </w:r>
          <w:r>
            <w:rPr>
              <w:rFonts w:hint="eastAsia" w:ascii="仿宋_GB2312" w:hAnsi="仿宋_GB2312" w:eastAsia="楷体_GB2312" w:cs="楷体_GB2312"/>
              <w:b w:val="0"/>
              <w:bCs w:val="0"/>
            </w:rPr>
            <w:tab/>
          </w:r>
          <w:r>
            <w:rPr>
              <w:rFonts w:hint="eastAsia" w:ascii="仿宋_GB2312" w:hAnsi="仿宋_GB2312" w:eastAsia="楷体_GB2312" w:cs="楷体_GB2312"/>
              <w:b w:val="0"/>
              <w:bCs w:val="0"/>
            </w:rPr>
            <w:fldChar w:fldCharType="begin"/>
          </w:r>
          <w:r>
            <w:rPr>
              <w:rFonts w:hint="eastAsia" w:ascii="仿宋_GB2312" w:hAnsi="仿宋_GB2312" w:eastAsia="楷体_GB2312" w:cs="楷体_GB2312"/>
              <w:b w:val="0"/>
              <w:bCs w:val="0"/>
            </w:rPr>
            <w:instrText xml:space="preserve"> PAGEREF _Toc12809 \h </w:instrText>
          </w:r>
          <w:r>
            <w:rPr>
              <w:rFonts w:hint="eastAsia" w:ascii="仿宋_GB2312" w:hAnsi="仿宋_GB2312" w:eastAsia="楷体_GB2312" w:cs="楷体_GB2312"/>
              <w:b w:val="0"/>
              <w:bCs w:val="0"/>
            </w:rPr>
            <w:fldChar w:fldCharType="separate"/>
          </w:r>
          <w:r>
            <w:rPr>
              <w:rFonts w:hint="eastAsia" w:ascii="仿宋_GB2312" w:hAnsi="仿宋_GB2312" w:eastAsia="楷体_GB2312" w:cs="楷体_GB2312"/>
              <w:b w:val="0"/>
              <w:bCs w:val="0"/>
            </w:rPr>
            <w:t>- 5 -</w:t>
          </w:r>
          <w:r>
            <w:rPr>
              <w:rFonts w:hint="eastAsia" w:ascii="仿宋_GB2312" w:hAnsi="仿宋_GB2312" w:eastAsia="楷体_GB2312" w:cs="楷体_GB2312"/>
              <w:b w:val="0"/>
              <w:bCs w:val="0"/>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ind w:left="0" w:leftChars="0" w:firstLine="0" w:firstLineChars="0"/>
            <w:textAlignment w:val="auto"/>
            <w:rPr>
              <w:rFonts w:ascii="仿宋_GB2312" w:hAnsi="仿宋_GB2312"/>
            </w:rPr>
          </w:pPr>
          <w:r>
            <w:rPr>
              <w:rFonts w:hint="eastAsia" w:ascii="仿宋_GB2312" w:hAnsi="仿宋_GB2312" w:eastAsia="黑体" w:cs="黑体"/>
              <w:b w:val="0"/>
              <w:bCs w:val="0"/>
              <w:szCs w:val="32"/>
              <w:highlight w:val="none"/>
            </w:rPr>
            <w:fldChar w:fldCharType="begin"/>
          </w:r>
          <w:r>
            <w:rPr>
              <w:rFonts w:hint="eastAsia" w:ascii="仿宋_GB2312" w:hAnsi="仿宋_GB2312" w:eastAsia="黑体" w:cs="黑体"/>
              <w:b w:val="0"/>
              <w:bCs w:val="0"/>
              <w:szCs w:val="32"/>
              <w:highlight w:val="none"/>
            </w:rPr>
            <w:instrText xml:space="preserve"> HYPERLINK \l _Toc17847 </w:instrText>
          </w:r>
          <w:r>
            <w:rPr>
              <w:rFonts w:hint="eastAsia" w:ascii="仿宋_GB2312" w:hAnsi="仿宋_GB2312" w:eastAsia="黑体" w:cs="黑体"/>
              <w:b w:val="0"/>
              <w:bCs w:val="0"/>
              <w:szCs w:val="32"/>
              <w:highlight w:val="none"/>
            </w:rPr>
            <w:fldChar w:fldCharType="separate"/>
          </w:r>
          <w:r>
            <w:rPr>
              <w:rFonts w:hint="eastAsia" w:ascii="仿宋_GB2312" w:hAnsi="仿宋_GB2312" w:eastAsia="黑体" w:cs="黑体"/>
              <w:b w:val="0"/>
              <w:bCs w:val="0"/>
              <w:szCs w:val="32"/>
              <w:highlight w:val="none"/>
            </w:rPr>
            <w:t>第二章</w:t>
          </w:r>
          <w:r>
            <w:rPr>
              <w:rFonts w:hint="eastAsia" w:ascii="仿宋_GB2312" w:hAnsi="仿宋_GB2312" w:eastAsia="黑体" w:cs="黑体"/>
              <w:b w:val="0"/>
              <w:bCs w:val="0"/>
              <w:szCs w:val="32"/>
              <w:highlight w:val="none"/>
              <w:lang w:eastAsia="zh-CN"/>
            </w:rPr>
            <w:t>　</w:t>
          </w:r>
          <w:r>
            <w:rPr>
              <w:rFonts w:hint="eastAsia" w:ascii="仿宋_GB2312" w:hAnsi="仿宋_GB2312" w:eastAsia="黑体" w:cs="黑体"/>
              <w:b w:val="0"/>
              <w:bCs w:val="0"/>
              <w:szCs w:val="32"/>
              <w:highlight w:val="none"/>
            </w:rPr>
            <w:t>发展基础</w:t>
          </w:r>
          <w:r>
            <w:rPr>
              <w:rFonts w:hint="eastAsia" w:ascii="仿宋_GB2312" w:hAnsi="仿宋_GB2312" w:eastAsia="黑体" w:cs="黑体"/>
              <w:b w:val="0"/>
              <w:bCs w:val="0"/>
              <w:szCs w:val="32"/>
              <w:highlight w:val="none"/>
            </w:rPr>
            <w:tab/>
          </w:r>
          <w:r>
            <w:rPr>
              <w:rFonts w:hint="eastAsia" w:ascii="仿宋_GB2312" w:hAnsi="仿宋_GB2312" w:eastAsia="黑体" w:cs="黑体"/>
              <w:b w:val="0"/>
              <w:bCs w:val="0"/>
              <w:szCs w:val="32"/>
              <w:highlight w:val="none"/>
            </w:rPr>
            <w:fldChar w:fldCharType="begin"/>
          </w:r>
          <w:r>
            <w:rPr>
              <w:rFonts w:hint="eastAsia" w:ascii="仿宋_GB2312" w:hAnsi="仿宋_GB2312" w:eastAsia="黑体" w:cs="黑体"/>
              <w:b w:val="0"/>
              <w:bCs w:val="0"/>
              <w:szCs w:val="32"/>
              <w:highlight w:val="none"/>
            </w:rPr>
            <w:instrText xml:space="preserve"> PAGEREF _Toc17847 \h </w:instrText>
          </w:r>
          <w:r>
            <w:rPr>
              <w:rFonts w:hint="eastAsia" w:ascii="仿宋_GB2312" w:hAnsi="仿宋_GB2312" w:eastAsia="黑体" w:cs="黑体"/>
              <w:b w:val="0"/>
              <w:bCs w:val="0"/>
              <w:szCs w:val="32"/>
              <w:highlight w:val="none"/>
            </w:rPr>
            <w:fldChar w:fldCharType="separate"/>
          </w:r>
          <w:r>
            <w:rPr>
              <w:rFonts w:hint="eastAsia" w:ascii="仿宋_GB2312" w:hAnsi="仿宋_GB2312" w:eastAsia="黑体" w:cs="黑体"/>
              <w:b w:val="0"/>
              <w:bCs w:val="0"/>
              <w:szCs w:val="32"/>
              <w:highlight w:val="none"/>
            </w:rPr>
            <w:t>- 6 -</w:t>
          </w:r>
          <w:r>
            <w:rPr>
              <w:rFonts w:hint="eastAsia" w:ascii="仿宋_GB2312" w:hAnsi="仿宋_GB2312" w:eastAsia="黑体" w:cs="黑体"/>
              <w:b w:val="0"/>
              <w:bCs w:val="0"/>
              <w:szCs w:val="32"/>
              <w:highlight w:val="none"/>
            </w:rPr>
            <w:fldChar w:fldCharType="end"/>
          </w:r>
          <w:r>
            <w:rPr>
              <w:rFonts w:hint="eastAsia" w:ascii="仿宋_GB2312" w:hAnsi="仿宋_GB2312" w:eastAsia="黑体" w:cs="黑体"/>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_Toc1880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五</w:t>
          </w:r>
          <w:r>
            <w:rPr>
              <w:rFonts w:hint="eastAsia" w:ascii="仿宋_GB2312" w:hAnsi="仿宋_GB2312" w:eastAsia="楷体_GB2312" w:cs="楷体_GB2312"/>
              <w:b w:val="0"/>
              <w:bCs w:val="0"/>
              <w:szCs w:val="32"/>
              <w:highlight w:val="none"/>
            </w:rPr>
            <w:t>节</w:t>
          </w:r>
          <w:r>
            <w:rPr>
              <w:rFonts w:hint="eastAsia" w:ascii="仿宋_GB2312" w:hAnsi="仿宋_GB2312" w:eastAsia="楷体_GB2312" w:cs="楷体_GB2312"/>
              <w:b w:val="0"/>
              <w:bCs w:val="0"/>
              <w:szCs w:val="32"/>
              <w:highlight w:val="none"/>
              <w:lang w:eastAsia="zh-CN"/>
            </w:rPr>
            <w:t>　</w:t>
          </w:r>
          <w:r>
            <w:rPr>
              <w:rFonts w:hint="eastAsia" w:ascii="仿宋_GB2312" w:hAnsi="仿宋_GB2312" w:eastAsia="楷体_GB2312" w:cs="楷体_GB2312"/>
              <w:b w:val="0"/>
              <w:bCs w:val="0"/>
              <w:szCs w:val="32"/>
              <w:highlight w:val="none"/>
            </w:rPr>
            <w:t>资源禀赋良好</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_Toc1880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- 6 -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_Toc17126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六</w:t>
          </w:r>
          <w:r>
            <w:rPr>
              <w:rFonts w:hint="eastAsia" w:ascii="仿宋_GB2312" w:hAnsi="仿宋_GB2312" w:eastAsia="楷体_GB2312" w:cs="楷体_GB2312"/>
              <w:b w:val="0"/>
              <w:bCs w:val="0"/>
              <w:szCs w:val="32"/>
              <w:highlight w:val="none"/>
            </w:rPr>
            <w:t>节　产业基础雄厚</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_Toc17126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- 6 -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_Toc27551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七</w:t>
          </w:r>
          <w:r>
            <w:rPr>
              <w:rFonts w:hint="eastAsia" w:ascii="仿宋_GB2312" w:hAnsi="仿宋_GB2312" w:eastAsia="楷体_GB2312" w:cs="楷体_GB2312"/>
              <w:b w:val="0"/>
              <w:bCs w:val="0"/>
              <w:szCs w:val="32"/>
              <w:highlight w:val="none"/>
            </w:rPr>
            <w:t>节  科技支撑强劲</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_Toc27551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- 7 -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ascii="仿宋_GB2312" w:hAnsi="仿宋_GB2312"/>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_Toc2366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八</w:t>
          </w:r>
          <w:r>
            <w:rPr>
              <w:rFonts w:hint="eastAsia" w:ascii="仿宋_GB2312" w:hAnsi="仿宋_GB2312" w:eastAsia="楷体_GB2312" w:cs="楷体_GB2312"/>
              <w:b w:val="0"/>
              <w:bCs w:val="0"/>
              <w:szCs w:val="32"/>
              <w:highlight w:val="none"/>
            </w:rPr>
            <w:t>节  品牌打造响亮</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_Toc2366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- 8 -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ind w:left="0" w:leftChars="0" w:firstLine="0" w:firstLineChars="0"/>
            <w:textAlignment w:val="auto"/>
            <w:rPr>
              <w:rFonts w:hint="eastAsia" w:ascii="仿宋_GB2312" w:hAnsi="仿宋_GB2312" w:eastAsia="黑体" w:cs="黑体"/>
              <w:b w:val="0"/>
              <w:bCs w:val="0"/>
              <w:szCs w:val="32"/>
              <w:highlight w:val="none"/>
            </w:rPr>
          </w:pPr>
          <w:r>
            <w:rPr>
              <w:rFonts w:hint="eastAsia" w:ascii="仿宋_GB2312" w:hAnsi="仿宋_GB2312" w:eastAsia="黑体" w:cs="黑体"/>
              <w:b w:val="0"/>
              <w:bCs w:val="0"/>
              <w:szCs w:val="32"/>
              <w:highlight w:val="none"/>
            </w:rPr>
            <w:fldChar w:fldCharType="begin"/>
          </w:r>
          <w:r>
            <w:rPr>
              <w:rFonts w:hint="eastAsia" w:ascii="仿宋_GB2312" w:hAnsi="仿宋_GB2312" w:eastAsia="黑体" w:cs="黑体"/>
              <w:b w:val="0"/>
              <w:bCs w:val="0"/>
              <w:szCs w:val="32"/>
              <w:highlight w:val="none"/>
            </w:rPr>
            <w:instrText xml:space="preserve"> HYPERLINK \l _Toc11054 </w:instrText>
          </w:r>
          <w:r>
            <w:rPr>
              <w:rFonts w:hint="eastAsia" w:ascii="仿宋_GB2312" w:hAnsi="仿宋_GB2312" w:eastAsia="黑体" w:cs="黑体"/>
              <w:b w:val="0"/>
              <w:bCs w:val="0"/>
              <w:szCs w:val="32"/>
              <w:highlight w:val="none"/>
            </w:rPr>
            <w:fldChar w:fldCharType="separate"/>
          </w:r>
          <w:r>
            <w:rPr>
              <w:rFonts w:hint="eastAsia" w:ascii="仿宋_GB2312" w:hAnsi="仿宋_GB2312" w:eastAsia="黑体" w:cs="黑体"/>
              <w:b w:val="0"/>
              <w:bCs w:val="0"/>
              <w:szCs w:val="32"/>
              <w:highlight w:val="none"/>
            </w:rPr>
            <w:t>第三章</w:t>
          </w:r>
          <w:r>
            <w:rPr>
              <w:rFonts w:hint="eastAsia" w:ascii="仿宋_GB2312" w:hAnsi="仿宋_GB2312" w:eastAsia="黑体" w:cs="黑体"/>
              <w:b w:val="0"/>
              <w:bCs w:val="0"/>
              <w:szCs w:val="32"/>
              <w:highlight w:val="none"/>
              <w:lang w:eastAsia="zh-CN"/>
            </w:rPr>
            <w:t>　</w:t>
          </w:r>
          <w:r>
            <w:rPr>
              <w:rFonts w:hint="eastAsia" w:ascii="仿宋_GB2312" w:hAnsi="仿宋_GB2312" w:eastAsia="黑体" w:cs="黑体"/>
              <w:b w:val="0"/>
              <w:bCs w:val="0"/>
              <w:szCs w:val="32"/>
              <w:highlight w:val="none"/>
            </w:rPr>
            <w:t>面临形势</w:t>
          </w:r>
          <w:r>
            <w:rPr>
              <w:rFonts w:hint="eastAsia" w:ascii="仿宋_GB2312" w:hAnsi="仿宋_GB2312" w:eastAsia="黑体" w:cs="黑体"/>
              <w:b w:val="0"/>
              <w:bCs w:val="0"/>
              <w:szCs w:val="32"/>
              <w:highlight w:val="none"/>
            </w:rPr>
            <w:tab/>
          </w:r>
          <w:r>
            <w:rPr>
              <w:rFonts w:hint="eastAsia" w:ascii="仿宋_GB2312" w:hAnsi="仿宋_GB2312" w:eastAsia="黑体" w:cs="黑体"/>
              <w:b w:val="0"/>
              <w:bCs w:val="0"/>
              <w:szCs w:val="32"/>
              <w:highlight w:val="none"/>
            </w:rPr>
            <w:fldChar w:fldCharType="begin"/>
          </w:r>
          <w:r>
            <w:rPr>
              <w:rFonts w:hint="eastAsia" w:ascii="仿宋_GB2312" w:hAnsi="仿宋_GB2312" w:eastAsia="黑体" w:cs="黑体"/>
              <w:b w:val="0"/>
              <w:bCs w:val="0"/>
              <w:szCs w:val="32"/>
              <w:highlight w:val="none"/>
            </w:rPr>
            <w:instrText xml:space="preserve"> PAGEREF _Toc11054 \h </w:instrText>
          </w:r>
          <w:r>
            <w:rPr>
              <w:rFonts w:hint="eastAsia" w:ascii="仿宋_GB2312" w:hAnsi="仿宋_GB2312" w:eastAsia="黑体" w:cs="黑体"/>
              <w:b w:val="0"/>
              <w:bCs w:val="0"/>
              <w:szCs w:val="32"/>
              <w:highlight w:val="none"/>
            </w:rPr>
            <w:fldChar w:fldCharType="separate"/>
          </w:r>
          <w:r>
            <w:rPr>
              <w:rFonts w:hint="eastAsia" w:ascii="仿宋_GB2312" w:hAnsi="仿宋_GB2312" w:eastAsia="黑体" w:cs="黑体"/>
              <w:b w:val="0"/>
              <w:bCs w:val="0"/>
              <w:szCs w:val="32"/>
              <w:highlight w:val="none"/>
            </w:rPr>
            <w:t>- 9 -</w:t>
          </w:r>
          <w:r>
            <w:rPr>
              <w:rFonts w:hint="eastAsia" w:ascii="仿宋_GB2312" w:hAnsi="仿宋_GB2312" w:eastAsia="黑体" w:cs="黑体"/>
              <w:b w:val="0"/>
              <w:bCs w:val="0"/>
              <w:szCs w:val="32"/>
              <w:highlight w:val="none"/>
            </w:rPr>
            <w:fldChar w:fldCharType="end"/>
          </w:r>
          <w:r>
            <w:rPr>
              <w:rFonts w:hint="eastAsia" w:ascii="仿宋_GB2312" w:hAnsi="仿宋_GB2312" w:eastAsia="黑体" w:cs="黑体"/>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_Toc20063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lang w:eastAsia="zh-CN"/>
            </w:rPr>
            <w:t>第九</w:t>
          </w:r>
          <w:r>
            <w:rPr>
              <w:rFonts w:hint="eastAsia" w:ascii="仿宋_GB2312" w:hAnsi="仿宋_GB2312" w:eastAsia="楷体_GB2312" w:cs="楷体_GB2312"/>
              <w:b w:val="0"/>
              <w:bCs w:val="0"/>
              <w:szCs w:val="32"/>
              <w:highlight w:val="none"/>
              <w:lang w:val="en-US" w:eastAsia="zh-CN"/>
            </w:rPr>
            <w:t>节</w:t>
          </w:r>
          <w:r>
            <w:rPr>
              <w:rFonts w:hint="eastAsia" w:ascii="仿宋_GB2312" w:hAnsi="仿宋_GB2312" w:eastAsia="楷体_GB2312" w:cs="楷体_GB2312"/>
              <w:b w:val="0"/>
              <w:bCs w:val="0"/>
              <w:szCs w:val="32"/>
              <w:highlight w:val="none"/>
              <w:lang w:eastAsia="zh-CN"/>
            </w:rPr>
            <w:t>　</w:t>
          </w:r>
          <w:r>
            <w:rPr>
              <w:rFonts w:hint="eastAsia" w:ascii="仿宋_GB2312" w:hAnsi="仿宋_GB2312" w:eastAsia="楷体_GB2312" w:cs="楷体_GB2312"/>
              <w:b w:val="0"/>
              <w:bCs w:val="0"/>
              <w:szCs w:val="32"/>
              <w:highlight w:val="none"/>
            </w:rPr>
            <w:t>发展机遇</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_Toc20063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- 9 -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ascii="仿宋_GB2312" w:hAnsi="仿宋_GB2312"/>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_Toc7545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十</w:t>
          </w:r>
          <w:r>
            <w:rPr>
              <w:rFonts w:hint="eastAsia" w:ascii="仿宋_GB2312" w:hAnsi="仿宋_GB2312" w:eastAsia="楷体_GB2312" w:cs="楷体_GB2312"/>
              <w:b w:val="0"/>
              <w:bCs w:val="0"/>
              <w:szCs w:val="32"/>
              <w:highlight w:val="none"/>
            </w:rPr>
            <w:t>节　</w:t>
          </w:r>
          <w:r>
            <w:rPr>
              <w:rFonts w:hint="eastAsia" w:ascii="仿宋_GB2312" w:hAnsi="仿宋_GB2312" w:eastAsia="楷体_GB2312" w:cs="楷体_GB2312"/>
              <w:b w:val="0"/>
              <w:bCs w:val="0"/>
              <w:szCs w:val="32"/>
              <w:highlight w:val="none"/>
              <w:lang w:eastAsia="zh-CN"/>
            </w:rPr>
            <w:t>面临挑战</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_Toc7545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- 12 -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ind w:left="0" w:leftChars="0" w:firstLine="0" w:firstLineChars="0"/>
            <w:textAlignment w:val="auto"/>
            <w:rPr>
              <w:rFonts w:hint="eastAsia" w:ascii="仿宋_GB2312" w:hAnsi="仿宋_GB2312" w:eastAsia="黑体" w:cs="黑体"/>
              <w:b w:val="0"/>
              <w:bCs w:val="0"/>
              <w:szCs w:val="32"/>
              <w:highlight w:val="none"/>
            </w:rPr>
          </w:pPr>
          <w:r>
            <w:rPr>
              <w:rFonts w:hint="eastAsia" w:ascii="仿宋_GB2312" w:hAnsi="仿宋_GB2312" w:eastAsia="黑体" w:cs="黑体"/>
              <w:b w:val="0"/>
              <w:bCs w:val="0"/>
              <w:szCs w:val="32"/>
              <w:highlight w:val="none"/>
            </w:rPr>
            <w:fldChar w:fldCharType="begin"/>
          </w:r>
          <w:r>
            <w:rPr>
              <w:rFonts w:hint="eastAsia" w:ascii="仿宋_GB2312" w:hAnsi="仿宋_GB2312" w:eastAsia="黑体" w:cs="黑体"/>
              <w:b w:val="0"/>
              <w:bCs w:val="0"/>
              <w:szCs w:val="32"/>
              <w:highlight w:val="none"/>
            </w:rPr>
            <w:instrText xml:space="preserve"> HYPERLINK \l _Toc19222 </w:instrText>
          </w:r>
          <w:r>
            <w:rPr>
              <w:rFonts w:hint="eastAsia" w:ascii="仿宋_GB2312" w:hAnsi="仿宋_GB2312" w:eastAsia="黑体" w:cs="黑体"/>
              <w:b w:val="0"/>
              <w:bCs w:val="0"/>
              <w:szCs w:val="32"/>
              <w:highlight w:val="none"/>
            </w:rPr>
            <w:fldChar w:fldCharType="separate"/>
          </w:r>
          <w:r>
            <w:rPr>
              <w:rFonts w:hint="eastAsia" w:ascii="仿宋_GB2312" w:hAnsi="仿宋_GB2312" w:eastAsia="黑体" w:cs="黑体"/>
              <w:b w:val="0"/>
              <w:bCs w:val="0"/>
              <w:szCs w:val="32"/>
              <w:highlight w:val="none"/>
            </w:rPr>
            <w:t>第四章</w:t>
          </w:r>
          <w:r>
            <w:rPr>
              <w:rFonts w:hint="eastAsia" w:ascii="仿宋_GB2312" w:hAnsi="仿宋_GB2312" w:eastAsia="黑体" w:cs="黑体"/>
              <w:b w:val="0"/>
              <w:bCs w:val="0"/>
              <w:szCs w:val="32"/>
              <w:highlight w:val="none"/>
              <w:lang w:eastAsia="zh-CN"/>
            </w:rPr>
            <w:t>　</w:t>
          </w:r>
          <w:r>
            <w:rPr>
              <w:rFonts w:hint="eastAsia" w:ascii="仿宋_GB2312" w:hAnsi="仿宋_GB2312" w:eastAsia="黑体" w:cs="黑体"/>
              <w:b w:val="0"/>
              <w:bCs w:val="0"/>
              <w:szCs w:val="32"/>
              <w:highlight w:val="none"/>
            </w:rPr>
            <w:t>总体要求</w:t>
          </w:r>
          <w:r>
            <w:rPr>
              <w:rFonts w:hint="eastAsia" w:ascii="仿宋_GB2312" w:hAnsi="仿宋_GB2312" w:eastAsia="黑体" w:cs="黑体"/>
              <w:b w:val="0"/>
              <w:bCs w:val="0"/>
              <w:szCs w:val="32"/>
              <w:highlight w:val="none"/>
            </w:rPr>
            <w:tab/>
          </w:r>
          <w:r>
            <w:rPr>
              <w:rFonts w:hint="eastAsia" w:ascii="仿宋_GB2312" w:hAnsi="仿宋_GB2312" w:eastAsia="黑体" w:cs="黑体"/>
              <w:b w:val="0"/>
              <w:bCs w:val="0"/>
              <w:szCs w:val="32"/>
              <w:highlight w:val="none"/>
            </w:rPr>
            <w:fldChar w:fldCharType="begin"/>
          </w:r>
          <w:r>
            <w:rPr>
              <w:rFonts w:hint="eastAsia" w:ascii="仿宋_GB2312" w:hAnsi="仿宋_GB2312" w:eastAsia="黑体" w:cs="黑体"/>
              <w:b w:val="0"/>
              <w:bCs w:val="0"/>
              <w:szCs w:val="32"/>
              <w:highlight w:val="none"/>
            </w:rPr>
            <w:instrText xml:space="preserve"> PAGEREF _Toc19222 \h </w:instrText>
          </w:r>
          <w:r>
            <w:rPr>
              <w:rFonts w:hint="eastAsia" w:ascii="仿宋_GB2312" w:hAnsi="仿宋_GB2312" w:eastAsia="黑体" w:cs="黑体"/>
              <w:b w:val="0"/>
              <w:bCs w:val="0"/>
              <w:szCs w:val="32"/>
              <w:highlight w:val="none"/>
            </w:rPr>
            <w:fldChar w:fldCharType="separate"/>
          </w:r>
          <w:r>
            <w:rPr>
              <w:rFonts w:hint="eastAsia" w:ascii="仿宋_GB2312" w:hAnsi="仿宋_GB2312" w:eastAsia="黑体" w:cs="黑体"/>
              <w:b w:val="0"/>
              <w:bCs w:val="0"/>
              <w:szCs w:val="32"/>
              <w:highlight w:val="none"/>
            </w:rPr>
            <w:t>- 15 -</w:t>
          </w:r>
          <w:r>
            <w:rPr>
              <w:rFonts w:hint="eastAsia" w:ascii="仿宋_GB2312" w:hAnsi="仿宋_GB2312" w:eastAsia="黑体" w:cs="黑体"/>
              <w:b w:val="0"/>
              <w:bCs w:val="0"/>
              <w:szCs w:val="32"/>
              <w:highlight w:val="none"/>
            </w:rPr>
            <w:fldChar w:fldCharType="end"/>
          </w:r>
          <w:r>
            <w:rPr>
              <w:rFonts w:hint="eastAsia" w:ascii="仿宋_GB2312" w:hAnsi="仿宋_GB2312" w:eastAsia="黑体" w:cs="黑体"/>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_Toc25263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十</w:t>
          </w:r>
          <w:r>
            <w:rPr>
              <w:rFonts w:hint="eastAsia" w:ascii="仿宋_GB2312" w:hAnsi="仿宋_GB2312" w:eastAsia="楷体_GB2312" w:cs="楷体_GB2312"/>
              <w:b w:val="0"/>
              <w:bCs w:val="0"/>
              <w:szCs w:val="32"/>
              <w:highlight w:val="none"/>
            </w:rPr>
            <w:t>一节</w:t>
          </w:r>
          <w:r>
            <w:rPr>
              <w:rFonts w:hint="eastAsia" w:ascii="仿宋_GB2312" w:hAnsi="仿宋_GB2312" w:eastAsia="楷体_GB2312" w:cs="楷体_GB2312"/>
              <w:b w:val="0"/>
              <w:bCs w:val="0"/>
              <w:szCs w:val="32"/>
              <w:highlight w:val="none"/>
              <w:lang w:eastAsia="zh-CN"/>
            </w:rPr>
            <w:t>　</w:t>
          </w:r>
          <w:r>
            <w:rPr>
              <w:rFonts w:hint="eastAsia" w:ascii="仿宋_GB2312" w:hAnsi="仿宋_GB2312" w:eastAsia="楷体_GB2312" w:cs="楷体_GB2312"/>
              <w:b w:val="0"/>
              <w:bCs w:val="0"/>
              <w:szCs w:val="32"/>
              <w:highlight w:val="none"/>
            </w:rPr>
            <w:t>指导思想</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_Toc25263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- 15 -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_Toc9988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十</w:t>
          </w:r>
          <w:r>
            <w:rPr>
              <w:rFonts w:hint="eastAsia" w:ascii="仿宋_GB2312" w:hAnsi="仿宋_GB2312" w:eastAsia="楷体_GB2312" w:cs="楷体_GB2312"/>
              <w:b w:val="0"/>
              <w:bCs w:val="0"/>
              <w:szCs w:val="32"/>
              <w:highlight w:val="none"/>
            </w:rPr>
            <w:t>二节　基本原则</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_Toc9988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- 15 -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_Toc13143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十</w:t>
          </w:r>
          <w:r>
            <w:rPr>
              <w:rFonts w:hint="eastAsia" w:ascii="仿宋_GB2312" w:hAnsi="仿宋_GB2312" w:eastAsia="楷体_GB2312" w:cs="楷体_GB2312"/>
              <w:b w:val="0"/>
              <w:bCs w:val="0"/>
              <w:szCs w:val="32"/>
              <w:highlight w:val="none"/>
            </w:rPr>
            <w:t>三节  发展定位</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_Toc13143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- 17 -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ascii="仿宋_GB2312" w:hAnsi="仿宋_GB2312"/>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_Toc21076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十</w:t>
          </w:r>
          <w:r>
            <w:rPr>
              <w:rFonts w:hint="eastAsia" w:ascii="仿宋_GB2312" w:hAnsi="仿宋_GB2312" w:eastAsia="楷体_GB2312" w:cs="楷体_GB2312"/>
              <w:b w:val="0"/>
              <w:bCs w:val="0"/>
              <w:szCs w:val="32"/>
              <w:highlight w:val="none"/>
            </w:rPr>
            <w:t>四节　预期目标</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_Toc21076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- 17 -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ind w:left="0" w:leftChars="0" w:firstLine="0" w:firstLineChars="0"/>
            <w:textAlignment w:val="auto"/>
            <w:rPr>
              <w:rFonts w:hint="eastAsia" w:ascii="仿宋_GB2312" w:hAnsi="仿宋_GB2312" w:eastAsia="黑体" w:cs="黑体"/>
              <w:b w:val="0"/>
              <w:bCs w:val="0"/>
              <w:szCs w:val="32"/>
              <w:highlight w:val="none"/>
            </w:rPr>
          </w:pPr>
          <w:r>
            <w:rPr>
              <w:rFonts w:hint="eastAsia" w:ascii="仿宋_GB2312" w:hAnsi="仿宋_GB2312" w:eastAsia="黑体" w:cs="黑体"/>
              <w:b w:val="0"/>
              <w:bCs w:val="0"/>
              <w:szCs w:val="32"/>
              <w:highlight w:val="none"/>
            </w:rPr>
            <w:fldChar w:fldCharType="begin"/>
          </w:r>
          <w:r>
            <w:rPr>
              <w:rFonts w:hint="eastAsia" w:ascii="仿宋_GB2312" w:hAnsi="仿宋_GB2312" w:eastAsia="黑体" w:cs="黑体"/>
              <w:b w:val="0"/>
              <w:bCs w:val="0"/>
              <w:szCs w:val="32"/>
              <w:highlight w:val="none"/>
            </w:rPr>
            <w:instrText xml:space="preserve"> HYPERLINK \l _Toc31146 </w:instrText>
          </w:r>
          <w:r>
            <w:rPr>
              <w:rFonts w:hint="eastAsia" w:ascii="仿宋_GB2312" w:hAnsi="仿宋_GB2312" w:eastAsia="黑体" w:cs="黑体"/>
              <w:b w:val="0"/>
              <w:bCs w:val="0"/>
              <w:szCs w:val="32"/>
              <w:highlight w:val="none"/>
            </w:rPr>
            <w:fldChar w:fldCharType="separate"/>
          </w:r>
          <w:r>
            <w:rPr>
              <w:rFonts w:hint="eastAsia" w:ascii="仿宋_GB2312" w:hAnsi="仿宋_GB2312" w:eastAsia="黑体" w:cs="黑体"/>
              <w:b w:val="0"/>
              <w:bCs w:val="0"/>
              <w:szCs w:val="32"/>
              <w:highlight w:val="none"/>
            </w:rPr>
            <w:t>第五章</w:t>
          </w:r>
          <w:r>
            <w:rPr>
              <w:rFonts w:hint="eastAsia" w:ascii="仿宋_GB2312" w:hAnsi="仿宋_GB2312" w:eastAsia="黑体" w:cs="黑体"/>
              <w:b w:val="0"/>
              <w:bCs w:val="0"/>
              <w:szCs w:val="32"/>
              <w:highlight w:val="none"/>
              <w:lang w:eastAsia="zh-CN"/>
            </w:rPr>
            <w:t>　</w:t>
          </w:r>
          <w:r>
            <w:rPr>
              <w:rFonts w:hint="eastAsia" w:ascii="仿宋_GB2312" w:hAnsi="仿宋_GB2312" w:eastAsia="黑体" w:cs="黑体"/>
              <w:b w:val="0"/>
              <w:bCs w:val="0"/>
              <w:szCs w:val="32"/>
              <w:highlight w:val="none"/>
            </w:rPr>
            <w:t>产业布局</w:t>
          </w:r>
          <w:r>
            <w:rPr>
              <w:rFonts w:hint="eastAsia" w:ascii="仿宋_GB2312" w:hAnsi="仿宋_GB2312" w:eastAsia="黑体" w:cs="黑体"/>
              <w:b w:val="0"/>
              <w:bCs w:val="0"/>
              <w:szCs w:val="32"/>
              <w:highlight w:val="none"/>
            </w:rPr>
            <w:tab/>
          </w:r>
          <w:r>
            <w:rPr>
              <w:rFonts w:hint="eastAsia" w:ascii="仿宋_GB2312" w:hAnsi="仿宋_GB2312" w:eastAsia="黑体" w:cs="黑体"/>
              <w:b w:val="0"/>
              <w:bCs w:val="0"/>
              <w:szCs w:val="32"/>
              <w:highlight w:val="none"/>
            </w:rPr>
            <w:fldChar w:fldCharType="begin"/>
          </w:r>
          <w:r>
            <w:rPr>
              <w:rFonts w:hint="eastAsia" w:ascii="仿宋_GB2312" w:hAnsi="仿宋_GB2312" w:eastAsia="黑体" w:cs="黑体"/>
              <w:b w:val="0"/>
              <w:bCs w:val="0"/>
              <w:szCs w:val="32"/>
              <w:highlight w:val="none"/>
            </w:rPr>
            <w:instrText xml:space="preserve"> PAGEREF _Toc31146 \h </w:instrText>
          </w:r>
          <w:r>
            <w:rPr>
              <w:rFonts w:hint="eastAsia" w:ascii="仿宋_GB2312" w:hAnsi="仿宋_GB2312" w:eastAsia="黑体" w:cs="黑体"/>
              <w:b w:val="0"/>
              <w:bCs w:val="0"/>
              <w:szCs w:val="32"/>
              <w:highlight w:val="none"/>
            </w:rPr>
            <w:fldChar w:fldCharType="separate"/>
          </w:r>
          <w:r>
            <w:rPr>
              <w:rFonts w:hint="eastAsia" w:ascii="仿宋_GB2312" w:hAnsi="仿宋_GB2312" w:eastAsia="黑体" w:cs="黑体"/>
              <w:b w:val="0"/>
              <w:bCs w:val="0"/>
              <w:szCs w:val="32"/>
              <w:highlight w:val="none"/>
            </w:rPr>
            <w:t>- 20 -</w:t>
          </w:r>
          <w:r>
            <w:rPr>
              <w:rFonts w:hint="eastAsia" w:ascii="仿宋_GB2312" w:hAnsi="仿宋_GB2312" w:eastAsia="黑体" w:cs="黑体"/>
              <w:b w:val="0"/>
              <w:bCs w:val="0"/>
              <w:szCs w:val="32"/>
              <w:highlight w:val="none"/>
            </w:rPr>
            <w:fldChar w:fldCharType="end"/>
          </w:r>
          <w:r>
            <w:rPr>
              <w:rFonts w:hint="eastAsia" w:ascii="仿宋_GB2312" w:hAnsi="仿宋_GB2312" w:eastAsia="黑体" w:cs="黑体"/>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_Toc17969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十五</w:t>
          </w:r>
          <w:r>
            <w:rPr>
              <w:rFonts w:hint="eastAsia" w:ascii="仿宋_GB2312" w:hAnsi="仿宋_GB2312" w:eastAsia="楷体_GB2312" w:cs="楷体_GB2312"/>
              <w:b w:val="0"/>
              <w:bCs w:val="0"/>
              <w:szCs w:val="32"/>
              <w:highlight w:val="none"/>
            </w:rPr>
            <w:t>节</w:t>
          </w:r>
          <w:r>
            <w:rPr>
              <w:rFonts w:hint="eastAsia" w:ascii="仿宋_GB2312" w:hAnsi="仿宋_GB2312" w:eastAsia="楷体_GB2312" w:cs="楷体_GB2312"/>
              <w:b w:val="0"/>
              <w:bCs w:val="0"/>
              <w:szCs w:val="32"/>
              <w:highlight w:val="none"/>
              <w:lang w:eastAsia="zh-CN"/>
            </w:rPr>
            <w:t>　</w:t>
          </w:r>
          <w:r>
            <w:rPr>
              <w:rFonts w:hint="eastAsia" w:ascii="仿宋_GB2312" w:hAnsi="仿宋_GB2312" w:eastAsia="楷体_GB2312" w:cs="楷体_GB2312"/>
              <w:b w:val="0"/>
              <w:bCs w:val="0"/>
              <w:szCs w:val="32"/>
              <w:highlight w:val="none"/>
            </w:rPr>
            <w:t>空间布局</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_Toc17969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- 20 -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_Toc27314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十六</w:t>
          </w:r>
          <w:r>
            <w:rPr>
              <w:rFonts w:hint="eastAsia" w:ascii="仿宋_GB2312" w:hAnsi="仿宋_GB2312" w:eastAsia="楷体_GB2312" w:cs="楷体_GB2312"/>
              <w:b w:val="0"/>
              <w:bCs w:val="0"/>
              <w:szCs w:val="32"/>
              <w:highlight w:val="none"/>
            </w:rPr>
            <w:t>节</w:t>
          </w:r>
          <w:r>
            <w:rPr>
              <w:rFonts w:hint="eastAsia" w:ascii="仿宋_GB2312" w:hAnsi="仿宋_GB2312" w:eastAsia="楷体_GB2312" w:cs="楷体_GB2312"/>
              <w:b w:val="0"/>
              <w:bCs w:val="0"/>
              <w:szCs w:val="32"/>
              <w:highlight w:val="none"/>
              <w:lang w:eastAsia="zh-CN"/>
            </w:rPr>
            <w:t>　</w:t>
          </w:r>
          <w:r>
            <w:rPr>
              <w:rFonts w:hint="eastAsia" w:ascii="仿宋_GB2312" w:hAnsi="仿宋_GB2312" w:eastAsia="楷体_GB2312" w:cs="楷体_GB2312"/>
              <w:b w:val="0"/>
              <w:bCs w:val="0"/>
              <w:szCs w:val="32"/>
              <w:highlight w:val="none"/>
            </w:rPr>
            <w:t>基地建设</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_Toc27314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- 21 -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_Toc10719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十七</w:t>
          </w:r>
          <w:r>
            <w:rPr>
              <w:rFonts w:hint="eastAsia" w:ascii="仿宋_GB2312" w:hAnsi="仿宋_GB2312" w:eastAsia="楷体_GB2312" w:cs="楷体_GB2312"/>
              <w:b w:val="0"/>
              <w:bCs w:val="0"/>
              <w:szCs w:val="32"/>
              <w:highlight w:val="none"/>
            </w:rPr>
            <w:t>节</w:t>
          </w:r>
          <w:r>
            <w:rPr>
              <w:rFonts w:hint="eastAsia" w:ascii="仿宋_GB2312" w:hAnsi="仿宋_GB2312" w:eastAsia="楷体_GB2312" w:cs="楷体_GB2312"/>
              <w:b w:val="0"/>
              <w:bCs w:val="0"/>
              <w:szCs w:val="32"/>
              <w:highlight w:val="none"/>
              <w:lang w:eastAsia="zh-CN"/>
            </w:rPr>
            <w:t>　</w:t>
          </w:r>
          <w:r>
            <w:rPr>
              <w:rFonts w:hint="eastAsia" w:ascii="仿宋_GB2312" w:hAnsi="仿宋_GB2312" w:eastAsia="楷体_GB2312" w:cs="楷体_GB2312"/>
              <w:b w:val="0"/>
              <w:bCs w:val="0"/>
              <w:szCs w:val="32"/>
              <w:highlight w:val="none"/>
            </w:rPr>
            <w:t>重点产业</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_Toc10719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- 22 -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ind w:left="0" w:leftChars="0" w:firstLine="0" w:firstLineChars="0"/>
            <w:textAlignment w:val="auto"/>
            <w:rPr>
              <w:rFonts w:ascii="仿宋_GB2312" w:hAnsi="仿宋_GB2312"/>
            </w:rPr>
          </w:pPr>
          <w:r>
            <w:rPr>
              <w:rFonts w:hint="eastAsia" w:ascii="仿宋_GB2312" w:hAnsi="仿宋_GB2312" w:eastAsia="黑体" w:cs="黑体"/>
              <w:b w:val="0"/>
              <w:bCs w:val="0"/>
              <w:szCs w:val="32"/>
              <w:highlight w:val="none"/>
            </w:rPr>
            <w:fldChar w:fldCharType="begin"/>
          </w:r>
          <w:r>
            <w:rPr>
              <w:rFonts w:hint="eastAsia" w:ascii="仿宋_GB2312" w:hAnsi="仿宋_GB2312" w:eastAsia="黑体" w:cs="黑体"/>
              <w:b w:val="0"/>
              <w:bCs w:val="0"/>
              <w:szCs w:val="32"/>
              <w:highlight w:val="none"/>
            </w:rPr>
            <w:instrText xml:space="preserve"> HYPERLINK \l _Toc17790 </w:instrText>
          </w:r>
          <w:r>
            <w:rPr>
              <w:rFonts w:hint="eastAsia" w:ascii="仿宋_GB2312" w:hAnsi="仿宋_GB2312" w:eastAsia="黑体" w:cs="黑体"/>
              <w:b w:val="0"/>
              <w:bCs w:val="0"/>
              <w:szCs w:val="32"/>
              <w:highlight w:val="none"/>
            </w:rPr>
            <w:fldChar w:fldCharType="separate"/>
          </w:r>
          <w:r>
            <w:rPr>
              <w:rFonts w:hint="eastAsia" w:ascii="仿宋_GB2312" w:hAnsi="仿宋_GB2312" w:eastAsia="黑体" w:cs="黑体"/>
              <w:b w:val="0"/>
              <w:bCs w:val="0"/>
              <w:szCs w:val="32"/>
              <w:highlight w:val="none"/>
            </w:rPr>
            <w:t>第六章</w:t>
          </w:r>
          <w:r>
            <w:rPr>
              <w:rFonts w:hint="eastAsia" w:ascii="仿宋_GB2312" w:hAnsi="仿宋_GB2312" w:eastAsia="黑体" w:cs="黑体"/>
              <w:b w:val="0"/>
              <w:bCs w:val="0"/>
              <w:szCs w:val="32"/>
              <w:highlight w:val="none"/>
              <w:lang w:eastAsia="zh-CN"/>
            </w:rPr>
            <w:t>　</w:t>
          </w:r>
          <w:r>
            <w:rPr>
              <w:rFonts w:hint="eastAsia" w:ascii="仿宋_GB2312" w:hAnsi="仿宋_GB2312" w:eastAsia="黑体" w:cs="黑体"/>
              <w:b w:val="0"/>
              <w:bCs w:val="0"/>
              <w:szCs w:val="32"/>
              <w:highlight w:val="none"/>
            </w:rPr>
            <w:t>重</w:t>
          </w:r>
          <w:r>
            <w:rPr>
              <w:rFonts w:hint="eastAsia" w:ascii="仿宋_GB2312" w:hAnsi="仿宋_GB2312" w:eastAsia="黑体" w:cs="黑体"/>
              <w:b w:val="0"/>
              <w:bCs w:val="0"/>
              <w:szCs w:val="32"/>
              <w:highlight w:val="none"/>
              <w:lang w:eastAsia="zh-CN"/>
            </w:rPr>
            <w:t>大</w:t>
          </w:r>
          <w:r>
            <w:rPr>
              <w:rFonts w:hint="eastAsia" w:ascii="仿宋_GB2312" w:hAnsi="仿宋_GB2312" w:eastAsia="黑体" w:cs="黑体"/>
              <w:b w:val="0"/>
              <w:bCs w:val="0"/>
              <w:szCs w:val="32"/>
              <w:highlight w:val="none"/>
            </w:rPr>
            <w:t>工程</w:t>
          </w:r>
          <w:r>
            <w:rPr>
              <w:rFonts w:hint="eastAsia" w:ascii="仿宋_GB2312" w:hAnsi="仿宋_GB2312" w:eastAsia="黑体" w:cs="黑体"/>
              <w:b w:val="0"/>
              <w:bCs w:val="0"/>
              <w:szCs w:val="32"/>
              <w:highlight w:val="none"/>
            </w:rPr>
            <w:tab/>
          </w:r>
          <w:r>
            <w:rPr>
              <w:rFonts w:hint="eastAsia" w:ascii="仿宋_GB2312" w:hAnsi="仿宋_GB2312" w:eastAsia="黑体" w:cs="黑体"/>
              <w:b w:val="0"/>
              <w:bCs w:val="0"/>
              <w:szCs w:val="32"/>
              <w:highlight w:val="none"/>
            </w:rPr>
            <w:fldChar w:fldCharType="begin"/>
          </w:r>
          <w:r>
            <w:rPr>
              <w:rFonts w:hint="eastAsia" w:ascii="仿宋_GB2312" w:hAnsi="仿宋_GB2312" w:eastAsia="黑体" w:cs="黑体"/>
              <w:b w:val="0"/>
              <w:bCs w:val="0"/>
              <w:szCs w:val="32"/>
              <w:highlight w:val="none"/>
            </w:rPr>
            <w:instrText xml:space="preserve"> PAGEREF _Toc17790 \h </w:instrText>
          </w:r>
          <w:r>
            <w:rPr>
              <w:rFonts w:hint="eastAsia" w:ascii="仿宋_GB2312" w:hAnsi="仿宋_GB2312" w:eastAsia="黑体" w:cs="黑体"/>
              <w:b w:val="0"/>
              <w:bCs w:val="0"/>
              <w:szCs w:val="32"/>
              <w:highlight w:val="none"/>
            </w:rPr>
            <w:fldChar w:fldCharType="separate"/>
          </w:r>
          <w:r>
            <w:rPr>
              <w:rFonts w:hint="eastAsia" w:ascii="仿宋_GB2312" w:hAnsi="仿宋_GB2312" w:eastAsia="黑体" w:cs="黑体"/>
              <w:b w:val="0"/>
              <w:bCs w:val="0"/>
              <w:szCs w:val="32"/>
              <w:highlight w:val="none"/>
            </w:rPr>
            <w:t>- 24 -</w:t>
          </w:r>
          <w:r>
            <w:rPr>
              <w:rFonts w:hint="eastAsia" w:ascii="仿宋_GB2312" w:hAnsi="仿宋_GB2312" w:eastAsia="黑体" w:cs="黑体"/>
              <w:b w:val="0"/>
              <w:bCs w:val="0"/>
              <w:szCs w:val="32"/>
              <w:highlight w:val="none"/>
            </w:rPr>
            <w:fldChar w:fldCharType="end"/>
          </w:r>
          <w:r>
            <w:rPr>
              <w:rFonts w:hint="eastAsia" w:ascii="仿宋_GB2312" w:hAnsi="仿宋_GB2312" w:eastAsia="黑体" w:cs="黑体"/>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_Toc2463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十八</w:t>
          </w:r>
          <w:r>
            <w:rPr>
              <w:rFonts w:hint="eastAsia" w:ascii="仿宋_GB2312" w:hAnsi="仿宋_GB2312" w:eastAsia="楷体_GB2312" w:cs="楷体_GB2312"/>
              <w:b w:val="0"/>
              <w:bCs w:val="0"/>
              <w:szCs w:val="32"/>
              <w:highlight w:val="none"/>
            </w:rPr>
            <w:t>节</w:t>
          </w:r>
          <w:r>
            <w:rPr>
              <w:rFonts w:hint="eastAsia" w:ascii="仿宋_GB2312" w:hAnsi="仿宋_GB2312" w:eastAsia="楷体_GB2312" w:cs="楷体_GB2312"/>
              <w:b w:val="0"/>
              <w:bCs w:val="0"/>
              <w:szCs w:val="32"/>
              <w:highlight w:val="none"/>
              <w:lang w:eastAsia="zh-CN"/>
            </w:rPr>
            <w:t>　</w:t>
          </w:r>
          <w:r>
            <w:rPr>
              <w:rFonts w:hint="eastAsia" w:ascii="仿宋_GB2312" w:hAnsi="仿宋_GB2312" w:eastAsia="楷体_GB2312" w:cs="楷体_GB2312"/>
              <w:b w:val="0"/>
              <w:bCs w:val="0"/>
              <w:szCs w:val="32"/>
              <w:highlight w:val="none"/>
            </w:rPr>
            <w:t>富硒茶主导工程</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_Toc2463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- 24 -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color w:val="FF0000"/>
              <w:szCs w:val="32"/>
              <w:highlight w:val="none"/>
            </w:rPr>
          </w:pPr>
          <w:r>
            <w:rPr>
              <w:rFonts w:hint="eastAsia" w:ascii="仿宋_GB2312" w:hAnsi="仿宋_GB2312" w:eastAsia="楷体_GB2312" w:cs="楷体_GB2312"/>
              <w:b w:val="0"/>
              <w:bCs w:val="0"/>
              <w:color w:val="000000" w:themeColor="text1"/>
              <w:szCs w:val="32"/>
              <w:highlight w:val="none"/>
              <w14:textFill>
                <w14:solidFill>
                  <w14:schemeClr w14:val="tx1"/>
                </w14:solidFill>
              </w14:textFill>
            </w:rPr>
            <w:fldChar w:fldCharType="begin"/>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instrText xml:space="preserve"> HYPERLINK \l _Toc20719 </w:instrText>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fldChar w:fldCharType="separate"/>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t>第</w:t>
          </w:r>
          <w:r>
            <w:rPr>
              <w:rFonts w:hint="eastAsia" w:ascii="仿宋_GB2312" w:hAnsi="仿宋_GB2312" w:eastAsia="楷体_GB2312" w:cs="楷体_GB2312"/>
              <w:b w:val="0"/>
              <w:bCs w:val="0"/>
              <w:color w:val="000000" w:themeColor="text1"/>
              <w:szCs w:val="32"/>
              <w:highlight w:val="none"/>
              <w:lang w:eastAsia="zh-CN"/>
              <w14:textFill>
                <w14:solidFill>
                  <w14:schemeClr w14:val="tx1"/>
                </w14:solidFill>
              </w14:textFill>
            </w:rPr>
            <w:t>十九</w:t>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t>节　富硒粮油提升工程</w:t>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tab/>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fldChar w:fldCharType="begin"/>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instrText xml:space="preserve"> PAGEREF _Toc20719 \h </w:instrText>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fldChar w:fldCharType="separate"/>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t>- 26 -</w:t>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fldChar w:fldCharType="end"/>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_Toc30161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二十</w:t>
          </w:r>
          <w:r>
            <w:rPr>
              <w:rFonts w:hint="eastAsia" w:ascii="仿宋_GB2312" w:hAnsi="仿宋_GB2312" w:eastAsia="楷体_GB2312" w:cs="楷体_GB2312"/>
              <w:b w:val="0"/>
              <w:bCs w:val="0"/>
              <w:szCs w:val="32"/>
              <w:highlight w:val="none"/>
            </w:rPr>
            <w:t>节　富硒水开发工程</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_Toc30161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- 28 -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_Toc13543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二十一</w:t>
          </w:r>
          <w:r>
            <w:rPr>
              <w:rFonts w:hint="eastAsia" w:ascii="仿宋_GB2312" w:hAnsi="仿宋_GB2312" w:eastAsia="楷体_GB2312" w:cs="楷体_GB2312"/>
              <w:b w:val="0"/>
              <w:bCs w:val="0"/>
              <w:szCs w:val="32"/>
              <w:highlight w:val="none"/>
            </w:rPr>
            <w:t>节　富硒园区建设工程</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_Toc13543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- 29 -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_Toc21477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二十二</w:t>
          </w:r>
          <w:r>
            <w:rPr>
              <w:rFonts w:hint="eastAsia" w:ascii="仿宋_GB2312" w:hAnsi="仿宋_GB2312" w:eastAsia="楷体_GB2312" w:cs="楷体_GB2312"/>
              <w:b w:val="0"/>
              <w:bCs w:val="0"/>
              <w:szCs w:val="32"/>
              <w:highlight w:val="none"/>
            </w:rPr>
            <w:t>节　龙头企业培育工程</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_Toc21477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- 30 -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_Toc29145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二十三</w:t>
          </w:r>
          <w:r>
            <w:rPr>
              <w:rFonts w:hint="eastAsia" w:ascii="仿宋_GB2312" w:hAnsi="仿宋_GB2312" w:eastAsia="楷体_GB2312" w:cs="楷体_GB2312"/>
              <w:b w:val="0"/>
              <w:bCs w:val="0"/>
              <w:szCs w:val="32"/>
              <w:highlight w:val="none"/>
            </w:rPr>
            <w:t>节　产业融合发展工程</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_Toc29145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- 32 -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_Toc14368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二十四</w:t>
          </w:r>
          <w:r>
            <w:rPr>
              <w:rFonts w:hint="eastAsia" w:ascii="仿宋_GB2312" w:hAnsi="仿宋_GB2312" w:eastAsia="楷体_GB2312" w:cs="楷体_GB2312"/>
              <w:b w:val="0"/>
              <w:bCs w:val="0"/>
              <w:szCs w:val="32"/>
              <w:highlight w:val="none"/>
            </w:rPr>
            <w:t>节　科技创新支撑工程</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_Toc14368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- 33 -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ascii="仿宋_GB2312" w:hAnsi="仿宋_GB2312"/>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_Toc4631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二十五</w:t>
          </w:r>
          <w:r>
            <w:rPr>
              <w:rFonts w:hint="eastAsia" w:ascii="仿宋_GB2312" w:hAnsi="仿宋_GB2312" w:eastAsia="楷体_GB2312" w:cs="楷体_GB2312"/>
              <w:b w:val="0"/>
              <w:bCs w:val="0"/>
              <w:szCs w:val="32"/>
              <w:highlight w:val="none"/>
            </w:rPr>
            <w:t>节  产业服务构建工程</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_Toc4631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- 35 -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ind w:left="0" w:leftChars="0" w:firstLine="0" w:firstLineChars="0"/>
            <w:textAlignment w:val="auto"/>
            <w:rPr>
              <w:rFonts w:ascii="仿宋_GB2312" w:hAnsi="仿宋_GB2312"/>
            </w:rPr>
          </w:pPr>
          <w:r>
            <w:rPr>
              <w:rFonts w:hint="eastAsia" w:ascii="仿宋_GB2312" w:hAnsi="仿宋_GB2312" w:eastAsia="黑体" w:cs="黑体"/>
              <w:b w:val="0"/>
              <w:bCs w:val="0"/>
              <w:szCs w:val="32"/>
              <w:highlight w:val="none"/>
            </w:rPr>
            <w:fldChar w:fldCharType="begin"/>
          </w:r>
          <w:r>
            <w:rPr>
              <w:rFonts w:hint="eastAsia" w:ascii="仿宋_GB2312" w:hAnsi="仿宋_GB2312" w:eastAsia="黑体" w:cs="黑体"/>
              <w:b w:val="0"/>
              <w:bCs w:val="0"/>
              <w:szCs w:val="32"/>
              <w:highlight w:val="none"/>
            </w:rPr>
            <w:instrText xml:space="preserve"> HYPERLINK \l _Toc5695 </w:instrText>
          </w:r>
          <w:r>
            <w:rPr>
              <w:rFonts w:hint="eastAsia" w:ascii="仿宋_GB2312" w:hAnsi="仿宋_GB2312" w:eastAsia="黑体" w:cs="黑体"/>
              <w:b w:val="0"/>
              <w:bCs w:val="0"/>
              <w:szCs w:val="32"/>
              <w:highlight w:val="none"/>
            </w:rPr>
            <w:fldChar w:fldCharType="separate"/>
          </w:r>
          <w:r>
            <w:rPr>
              <w:rFonts w:hint="eastAsia" w:ascii="仿宋_GB2312" w:hAnsi="仿宋_GB2312" w:eastAsia="黑体" w:cs="黑体"/>
              <w:b w:val="0"/>
              <w:bCs w:val="0"/>
              <w:szCs w:val="32"/>
              <w:highlight w:val="none"/>
            </w:rPr>
            <w:t>第七章</w:t>
          </w:r>
          <w:r>
            <w:rPr>
              <w:rFonts w:hint="eastAsia" w:ascii="仿宋_GB2312" w:hAnsi="仿宋_GB2312" w:eastAsia="黑体" w:cs="黑体"/>
              <w:b w:val="0"/>
              <w:bCs w:val="0"/>
              <w:szCs w:val="32"/>
              <w:highlight w:val="none"/>
              <w:lang w:eastAsia="zh-CN"/>
            </w:rPr>
            <w:t>　</w:t>
          </w:r>
          <w:r>
            <w:rPr>
              <w:rFonts w:hint="eastAsia" w:ascii="仿宋_GB2312" w:hAnsi="仿宋_GB2312" w:eastAsia="黑体" w:cs="黑体"/>
              <w:b w:val="0"/>
              <w:bCs w:val="0"/>
              <w:szCs w:val="32"/>
              <w:highlight w:val="none"/>
            </w:rPr>
            <w:t>保障措施</w:t>
          </w:r>
          <w:r>
            <w:rPr>
              <w:rFonts w:hint="eastAsia" w:ascii="仿宋_GB2312" w:hAnsi="仿宋_GB2312" w:eastAsia="黑体" w:cs="黑体"/>
              <w:b w:val="0"/>
              <w:bCs w:val="0"/>
              <w:szCs w:val="32"/>
              <w:highlight w:val="none"/>
            </w:rPr>
            <w:tab/>
          </w:r>
          <w:r>
            <w:rPr>
              <w:rFonts w:hint="eastAsia" w:ascii="仿宋_GB2312" w:hAnsi="仿宋_GB2312" w:eastAsia="黑体" w:cs="黑体"/>
              <w:b w:val="0"/>
              <w:bCs w:val="0"/>
              <w:szCs w:val="32"/>
              <w:highlight w:val="none"/>
            </w:rPr>
            <w:fldChar w:fldCharType="begin"/>
          </w:r>
          <w:r>
            <w:rPr>
              <w:rFonts w:hint="eastAsia" w:ascii="仿宋_GB2312" w:hAnsi="仿宋_GB2312" w:eastAsia="黑体" w:cs="黑体"/>
              <w:b w:val="0"/>
              <w:bCs w:val="0"/>
              <w:szCs w:val="32"/>
              <w:highlight w:val="none"/>
            </w:rPr>
            <w:instrText xml:space="preserve"> PAGEREF _Toc5695 \h </w:instrText>
          </w:r>
          <w:r>
            <w:rPr>
              <w:rFonts w:hint="eastAsia" w:ascii="仿宋_GB2312" w:hAnsi="仿宋_GB2312" w:eastAsia="黑体" w:cs="黑体"/>
              <w:b w:val="0"/>
              <w:bCs w:val="0"/>
              <w:szCs w:val="32"/>
              <w:highlight w:val="none"/>
            </w:rPr>
            <w:fldChar w:fldCharType="separate"/>
          </w:r>
          <w:r>
            <w:rPr>
              <w:rFonts w:hint="eastAsia" w:ascii="仿宋_GB2312" w:hAnsi="仿宋_GB2312" w:eastAsia="黑体" w:cs="黑体"/>
              <w:b w:val="0"/>
              <w:bCs w:val="0"/>
              <w:szCs w:val="32"/>
              <w:highlight w:val="none"/>
            </w:rPr>
            <w:t>- 37 -</w:t>
          </w:r>
          <w:r>
            <w:rPr>
              <w:rFonts w:hint="eastAsia" w:ascii="仿宋_GB2312" w:hAnsi="仿宋_GB2312" w:eastAsia="黑体" w:cs="黑体"/>
              <w:b w:val="0"/>
              <w:bCs w:val="0"/>
              <w:szCs w:val="32"/>
              <w:highlight w:val="none"/>
            </w:rPr>
            <w:fldChar w:fldCharType="end"/>
          </w:r>
          <w:r>
            <w:rPr>
              <w:rFonts w:hint="eastAsia" w:ascii="仿宋_GB2312" w:hAnsi="仿宋_GB2312" w:eastAsia="黑体" w:cs="黑体"/>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_Toc19022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二十六</w:t>
          </w:r>
          <w:r>
            <w:rPr>
              <w:rFonts w:hint="eastAsia" w:ascii="仿宋_GB2312" w:hAnsi="仿宋_GB2312" w:eastAsia="楷体_GB2312" w:cs="楷体_GB2312"/>
              <w:b w:val="0"/>
              <w:bCs w:val="0"/>
              <w:szCs w:val="32"/>
              <w:highlight w:val="none"/>
            </w:rPr>
            <w:t>节</w:t>
          </w:r>
          <w:r>
            <w:rPr>
              <w:rFonts w:hint="eastAsia" w:ascii="仿宋_GB2312" w:hAnsi="仿宋_GB2312" w:eastAsia="楷体_GB2312" w:cs="楷体_GB2312"/>
              <w:b w:val="0"/>
              <w:bCs w:val="0"/>
              <w:szCs w:val="32"/>
              <w:highlight w:val="none"/>
              <w:lang w:eastAsia="zh-CN"/>
            </w:rPr>
            <w:t>　</w:t>
          </w:r>
          <w:r>
            <w:rPr>
              <w:rFonts w:hint="eastAsia" w:ascii="仿宋_GB2312" w:hAnsi="仿宋_GB2312" w:eastAsia="楷体_GB2312" w:cs="楷体_GB2312"/>
              <w:b w:val="0"/>
              <w:bCs w:val="0"/>
              <w:szCs w:val="32"/>
              <w:highlight w:val="none"/>
            </w:rPr>
            <w:t>加强组织领导</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_Toc19022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- 37 -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_Toc18557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第二</w:t>
          </w:r>
          <w:r>
            <w:rPr>
              <w:rFonts w:hint="eastAsia" w:ascii="仿宋_GB2312" w:hAnsi="仿宋_GB2312" w:eastAsia="楷体_GB2312" w:cs="楷体_GB2312"/>
              <w:b w:val="0"/>
              <w:bCs w:val="0"/>
              <w:szCs w:val="32"/>
              <w:highlight w:val="none"/>
              <w:lang w:eastAsia="zh-CN"/>
            </w:rPr>
            <w:t>十七</w:t>
          </w:r>
          <w:r>
            <w:rPr>
              <w:rFonts w:hint="eastAsia" w:ascii="仿宋_GB2312" w:hAnsi="仿宋_GB2312" w:eastAsia="楷体_GB2312" w:cs="楷体_GB2312"/>
              <w:b w:val="0"/>
              <w:bCs w:val="0"/>
              <w:szCs w:val="32"/>
              <w:highlight w:val="none"/>
            </w:rPr>
            <w:t xml:space="preserve">节  </w:t>
          </w:r>
          <w:r>
            <w:rPr>
              <w:rFonts w:hint="eastAsia" w:ascii="仿宋_GB2312" w:hAnsi="仿宋_GB2312" w:eastAsia="楷体_GB2312" w:cs="楷体_GB2312"/>
              <w:b w:val="0"/>
              <w:bCs w:val="0"/>
              <w:szCs w:val="32"/>
              <w:highlight w:val="none"/>
              <w:lang w:eastAsia="zh-CN"/>
            </w:rPr>
            <w:t>重视生态保护</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_Toc18557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- 38 -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_Toc11017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二十八</w:t>
          </w:r>
          <w:r>
            <w:rPr>
              <w:rFonts w:hint="eastAsia" w:ascii="仿宋_GB2312" w:hAnsi="仿宋_GB2312" w:eastAsia="楷体_GB2312" w:cs="楷体_GB2312"/>
              <w:b w:val="0"/>
              <w:bCs w:val="0"/>
              <w:szCs w:val="32"/>
              <w:highlight w:val="none"/>
            </w:rPr>
            <w:t>节</w:t>
          </w:r>
          <w:r>
            <w:rPr>
              <w:rFonts w:hint="eastAsia" w:ascii="仿宋_GB2312" w:hAnsi="仿宋_GB2312" w:eastAsia="楷体_GB2312" w:cs="楷体_GB2312"/>
              <w:b w:val="0"/>
              <w:bCs w:val="0"/>
              <w:szCs w:val="32"/>
              <w:highlight w:val="none"/>
              <w:lang w:eastAsia="zh-CN"/>
            </w:rPr>
            <w:t>　加大资金投入</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_Toc11017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- 38 -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color w:val="000000" w:themeColor="text1"/>
              <w:szCs w:val="32"/>
              <w:highlight w:val="none"/>
              <w14:textFill>
                <w14:solidFill>
                  <w14:schemeClr w14:val="tx1"/>
                </w14:solidFill>
              </w14:textFill>
            </w:rPr>
          </w:pPr>
          <w:r>
            <w:rPr>
              <w:rFonts w:hint="eastAsia" w:ascii="仿宋_GB2312" w:hAnsi="仿宋_GB2312" w:eastAsia="楷体_GB2312" w:cs="楷体_GB2312"/>
              <w:b w:val="0"/>
              <w:bCs w:val="0"/>
              <w:color w:val="000000" w:themeColor="text1"/>
              <w:szCs w:val="32"/>
              <w:highlight w:val="none"/>
              <w14:textFill>
                <w14:solidFill>
                  <w14:schemeClr w14:val="tx1"/>
                </w14:solidFill>
              </w14:textFill>
            </w:rPr>
            <w:fldChar w:fldCharType="begin"/>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instrText xml:space="preserve"> HYPERLINK \l _Toc10125 </w:instrText>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fldChar w:fldCharType="separate"/>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t>第</w:t>
          </w:r>
          <w:r>
            <w:rPr>
              <w:rFonts w:hint="eastAsia" w:ascii="仿宋_GB2312" w:hAnsi="仿宋_GB2312" w:eastAsia="楷体_GB2312" w:cs="楷体_GB2312"/>
              <w:b w:val="0"/>
              <w:bCs w:val="0"/>
              <w:color w:val="000000" w:themeColor="text1"/>
              <w:szCs w:val="32"/>
              <w:highlight w:val="none"/>
              <w:lang w:eastAsia="zh-CN"/>
              <w14:textFill>
                <w14:solidFill>
                  <w14:schemeClr w14:val="tx1"/>
                </w14:solidFill>
              </w14:textFill>
            </w:rPr>
            <w:t>二十九</w:t>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t>节</w:t>
          </w:r>
          <w:r>
            <w:rPr>
              <w:rFonts w:hint="eastAsia" w:ascii="仿宋_GB2312" w:hAnsi="仿宋_GB2312" w:eastAsia="楷体_GB2312" w:cs="楷体_GB2312"/>
              <w:b w:val="0"/>
              <w:bCs w:val="0"/>
              <w:color w:val="000000" w:themeColor="text1"/>
              <w:szCs w:val="32"/>
              <w:highlight w:val="none"/>
              <w:lang w:eastAsia="zh-CN"/>
              <w14:textFill>
                <w14:solidFill>
                  <w14:schemeClr w14:val="tx1"/>
                </w14:solidFill>
              </w14:textFill>
            </w:rPr>
            <w:t>　实施精准招商</w:t>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tab/>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fldChar w:fldCharType="begin"/>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instrText xml:space="preserve"> PAGEREF _Toc10125 \h </w:instrText>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fldChar w:fldCharType="separate"/>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t>- 39 -</w:t>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fldChar w:fldCharType="end"/>
          </w:r>
          <w:r>
            <w:rPr>
              <w:rFonts w:hint="eastAsia" w:ascii="仿宋_GB2312" w:hAnsi="仿宋_GB2312" w:eastAsia="楷体_GB2312" w:cs="楷体_GB2312"/>
              <w:b w:val="0"/>
              <w:bCs w:val="0"/>
              <w:color w:val="000000" w:themeColor="text1"/>
              <w:szCs w:val="32"/>
              <w:highlight w:val="none"/>
              <w14:textFill>
                <w14:solidFill>
                  <w14:schemeClr w14:val="tx1"/>
                </w14:solidFill>
              </w14:textFill>
            </w:rPr>
            <w:fldChar w:fldCharType="end"/>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textAlignment w:val="auto"/>
            <w:rPr>
              <w:rFonts w:hint="eastAsia" w:ascii="仿宋_GB2312" w:hAnsi="仿宋_GB2312" w:eastAsia="楷体_GB2312" w:cs="楷体_GB2312"/>
              <w:b w:val="0"/>
              <w:bCs w:val="0"/>
              <w:szCs w:val="32"/>
              <w:highlight w:val="none"/>
            </w:rPr>
          </w:pP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HYPERLINK \l _Toc21304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第</w:t>
          </w:r>
          <w:r>
            <w:rPr>
              <w:rFonts w:hint="eastAsia" w:ascii="仿宋_GB2312" w:hAnsi="仿宋_GB2312" w:eastAsia="楷体_GB2312" w:cs="楷体_GB2312"/>
              <w:b w:val="0"/>
              <w:bCs w:val="0"/>
              <w:szCs w:val="32"/>
              <w:highlight w:val="none"/>
              <w:lang w:eastAsia="zh-CN"/>
            </w:rPr>
            <w:t>三十</w:t>
          </w:r>
          <w:r>
            <w:rPr>
              <w:rFonts w:hint="eastAsia" w:ascii="仿宋_GB2312" w:hAnsi="仿宋_GB2312" w:eastAsia="楷体_GB2312" w:cs="楷体_GB2312"/>
              <w:b w:val="0"/>
              <w:bCs w:val="0"/>
              <w:szCs w:val="32"/>
              <w:highlight w:val="none"/>
            </w:rPr>
            <w:t>节</w:t>
          </w:r>
          <w:r>
            <w:rPr>
              <w:rFonts w:hint="eastAsia" w:ascii="仿宋_GB2312" w:hAnsi="仿宋_GB2312" w:eastAsia="楷体_GB2312" w:cs="楷体_GB2312"/>
              <w:b w:val="0"/>
              <w:bCs w:val="0"/>
              <w:szCs w:val="32"/>
              <w:highlight w:val="none"/>
              <w:lang w:eastAsia="zh-CN"/>
            </w:rPr>
            <w:t>　健全</w:t>
          </w:r>
          <w:r>
            <w:rPr>
              <w:rFonts w:hint="eastAsia" w:ascii="仿宋_GB2312" w:hAnsi="仿宋_GB2312" w:eastAsia="楷体_GB2312" w:cs="楷体_GB2312"/>
              <w:b w:val="0"/>
              <w:bCs w:val="0"/>
              <w:szCs w:val="32"/>
              <w:highlight w:val="none"/>
            </w:rPr>
            <w:t>考核</w:t>
          </w:r>
          <w:r>
            <w:rPr>
              <w:rFonts w:hint="eastAsia" w:ascii="仿宋_GB2312" w:hAnsi="仿宋_GB2312" w:eastAsia="楷体_GB2312" w:cs="楷体_GB2312"/>
              <w:b w:val="0"/>
              <w:bCs w:val="0"/>
              <w:szCs w:val="32"/>
              <w:highlight w:val="none"/>
              <w:lang w:eastAsia="zh-CN"/>
            </w:rPr>
            <w:t>机制</w:t>
          </w:r>
          <w:r>
            <w:rPr>
              <w:rFonts w:hint="eastAsia" w:ascii="仿宋_GB2312" w:hAnsi="仿宋_GB2312" w:eastAsia="楷体_GB2312" w:cs="楷体_GB2312"/>
              <w:b w:val="0"/>
              <w:bCs w:val="0"/>
              <w:szCs w:val="32"/>
              <w:highlight w:val="none"/>
            </w:rPr>
            <w:tab/>
          </w:r>
          <w:r>
            <w:rPr>
              <w:rFonts w:hint="eastAsia" w:ascii="仿宋_GB2312" w:hAnsi="仿宋_GB2312" w:eastAsia="楷体_GB2312" w:cs="楷体_GB2312"/>
              <w:b w:val="0"/>
              <w:bCs w:val="0"/>
              <w:szCs w:val="32"/>
              <w:highlight w:val="none"/>
            </w:rPr>
            <w:fldChar w:fldCharType="begin"/>
          </w:r>
          <w:r>
            <w:rPr>
              <w:rFonts w:hint="eastAsia" w:ascii="仿宋_GB2312" w:hAnsi="仿宋_GB2312" w:eastAsia="楷体_GB2312" w:cs="楷体_GB2312"/>
              <w:b w:val="0"/>
              <w:bCs w:val="0"/>
              <w:szCs w:val="32"/>
              <w:highlight w:val="none"/>
            </w:rPr>
            <w:instrText xml:space="preserve"> PAGEREF _Toc21304 \h </w:instrText>
          </w:r>
          <w:r>
            <w:rPr>
              <w:rFonts w:hint="eastAsia" w:ascii="仿宋_GB2312" w:hAnsi="仿宋_GB2312" w:eastAsia="楷体_GB2312" w:cs="楷体_GB2312"/>
              <w:b w:val="0"/>
              <w:bCs w:val="0"/>
              <w:szCs w:val="32"/>
              <w:highlight w:val="none"/>
            </w:rPr>
            <w:fldChar w:fldCharType="separate"/>
          </w:r>
          <w:r>
            <w:rPr>
              <w:rFonts w:hint="eastAsia" w:ascii="仿宋_GB2312" w:hAnsi="仿宋_GB2312" w:eastAsia="楷体_GB2312" w:cs="楷体_GB2312"/>
              <w:b w:val="0"/>
              <w:bCs w:val="0"/>
              <w:szCs w:val="32"/>
              <w:highlight w:val="none"/>
            </w:rPr>
            <w:t>- 40 -</w:t>
          </w:r>
          <w:r>
            <w:rPr>
              <w:rFonts w:hint="eastAsia" w:ascii="仿宋_GB2312" w:hAnsi="仿宋_GB2312" w:eastAsia="楷体_GB2312" w:cs="楷体_GB2312"/>
              <w:b w:val="0"/>
              <w:bCs w:val="0"/>
              <w:szCs w:val="32"/>
              <w:highlight w:val="none"/>
            </w:rPr>
            <w:fldChar w:fldCharType="end"/>
          </w:r>
          <w:r>
            <w:rPr>
              <w:rFonts w:hint="eastAsia" w:ascii="仿宋_GB2312" w:hAnsi="仿宋_GB2312" w:eastAsia="楷体_GB2312" w:cs="楷体_GB2312"/>
              <w:b w:val="0"/>
              <w:bCs w:val="0"/>
              <w:szCs w:val="32"/>
              <w:highlight w:val="none"/>
            </w:rPr>
            <w:fldChar w:fldCharType="end"/>
          </w:r>
        </w:p>
        <w:p>
          <w:pPr>
            <w:keepNext w:val="0"/>
            <w:keepLines w:val="0"/>
            <w:pageBreakBefore w:val="0"/>
            <w:kinsoku/>
            <w:wordWrap/>
            <w:overflowPunct/>
            <w:topLinePunct w:val="0"/>
            <w:autoSpaceDE/>
            <w:autoSpaceDN/>
            <w:bidi w:val="0"/>
            <w:adjustRightInd/>
            <w:spacing w:line="600" w:lineRule="atLeast"/>
            <w:textAlignment w:val="auto"/>
            <w:rPr>
              <w:rFonts w:ascii="仿宋_GB2312" w:hAnsi="仿宋_GB2312"/>
            </w:rPr>
          </w:pPr>
        </w:p>
        <w:p>
          <w:pPr>
            <w:pStyle w:val="19"/>
            <w:keepNext w:val="0"/>
            <w:keepLines w:val="0"/>
            <w:pageBreakBefore w:val="0"/>
            <w:tabs>
              <w:tab w:val="right" w:leader="dot" w:pos="8845"/>
            </w:tabs>
            <w:kinsoku/>
            <w:wordWrap/>
            <w:overflowPunct/>
            <w:topLinePunct w:val="0"/>
            <w:autoSpaceDE/>
            <w:autoSpaceDN/>
            <w:bidi w:val="0"/>
            <w:adjustRightInd/>
            <w:spacing w:line="600" w:lineRule="atLeast"/>
            <w:textAlignment w:val="auto"/>
            <w:rPr>
              <w:rFonts w:hint="eastAsia" w:ascii="仿宋_GB2312" w:hAnsi="仿宋_GB2312" w:eastAsia="黑体" w:cs="黑体"/>
              <w:sz w:val="32"/>
              <w:szCs w:val="32"/>
              <w:highlight w:val="none"/>
              <w:lang w:val="en-US" w:eastAsia="zh-CN"/>
            </w:rPr>
          </w:pPr>
          <w:r>
            <w:rPr>
              <w:rFonts w:hint="eastAsia" w:ascii="仿宋_GB2312" w:hAnsi="仿宋_GB2312" w:eastAsia="黑体" w:cs="黑体"/>
              <w:sz w:val="32"/>
              <w:szCs w:val="32"/>
              <w:highlight w:val="none"/>
              <w:lang w:val="en-US" w:eastAsia="zh-CN"/>
            </w:rPr>
            <w:t>附件：1紫阳县土壤硒含量分布图</w:t>
          </w:r>
        </w:p>
        <w:p>
          <w:pPr>
            <w:pStyle w:val="10"/>
            <w:keepNext w:val="0"/>
            <w:keepLines w:val="0"/>
            <w:pageBreakBefore w:val="0"/>
            <w:tabs>
              <w:tab w:val="right" w:leader="dot" w:pos="8845"/>
              <w:tab w:val="clear" w:pos="8296"/>
            </w:tabs>
            <w:kinsoku/>
            <w:wordWrap/>
            <w:overflowPunct/>
            <w:topLinePunct w:val="0"/>
            <w:autoSpaceDE/>
            <w:autoSpaceDN/>
            <w:bidi w:val="0"/>
            <w:adjustRightInd/>
            <w:spacing w:line="600" w:lineRule="atLeast"/>
            <w:ind w:firstLine="960" w:firstLineChars="300"/>
            <w:textAlignment w:val="auto"/>
            <w:rPr>
              <w:rFonts w:ascii="仿宋_GB2312" w:hAnsi="仿宋_GB2312"/>
              <w:b w:val="0"/>
              <w:bCs w:val="0"/>
            </w:rPr>
          </w:pPr>
          <w:r>
            <w:rPr>
              <w:rFonts w:hint="eastAsia" w:ascii="仿宋_GB2312" w:hAnsi="仿宋_GB2312" w:eastAsia="黑体" w:cs="黑体"/>
              <w:b w:val="0"/>
              <w:bCs w:val="0"/>
              <w:sz w:val="32"/>
              <w:szCs w:val="32"/>
              <w:highlight w:val="none"/>
              <w:lang w:val="en-US" w:eastAsia="zh-CN"/>
            </w:rPr>
            <w:t>2.紫阳县“十四五”富硒产业发展重大项目</w:t>
          </w:r>
        </w:p>
        <w:p>
          <w:pPr>
            <w:pStyle w:val="19"/>
            <w:keepNext w:val="0"/>
            <w:keepLines w:val="0"/>
            <w:pageBreakBefore w:val="0"/>
            <w:tabs>
              <w:tab w:val="right" w:leader="dot" w:pos="8845"/>
            </w:tabs>
            <w:kinsoku/>
            <w:wordWrap/>
            <w:overflowPunct/>
            <w:topLinePunct w:val="0"/>
            <w:autoSpaceDE/>
            <w:autoSpaceDN/>
            <w:bidi w:val="0"/>
            <w:adjustRightInd/>
            <w:spacing w:line="600" w:lineRule="atLeast"/>
            <w:ind w:firstLine="600" w:firstLineChars="300"/>
            <w:textAlignment w:val="auto"/>
            <w:rPr>
              <w:rFonts w:ascii="仿宋_GB2312" w:hAnsi="仿宋_GB2312"/>
              <w:sz w:val="32"/>
              <w:szCs w:val="32"/>
              <w:highlight w:val="none"/>
            </w:rPr>
            <w:sectPr>
              <w:footerReference r:id="rId4" w:type="default"/>
              <w:pgSz w:w="11906" w:h="16838"/>
              <w:pgMar w:top="2098" w:right="1474" w:bottom="1984" w:left="1587" w:header="851" w:footer="1417" w:gutter="0"/>
              <w:pgNumType w:fmt="upperRoman" w:start="1"/>
              <w:cols w:space="0" w:num="1"/>
              <w:rtlGutter w:val="0"/>
              <w:docGrid w:type="lines" w:linePitch="312" w:charSpace="0"/>
            </w:sectPr>
          </w:pPr>
          <w:r>
            <w:rPr>
              <w:rFonts w:ascii="仿宋_GB2312" w:hAnsi="仿宋_GB2312"/>
              <w:szCs w:val="32"/>
              <w:highlight w:val="none"/>
            </w:rPr>
            <w:fldChar w:fldCharType="end"/>
          </w:r>
        </w:p>
      </w:sdtContent>
    </w:sdt>
    <w:p>
      <w:pPr>
        <w:pStyle w:val="11"/>
        <w:bidi w:val="0"/>
        <w:rPr>
          <w:highlight w:val="none"/>
        </w:rPr>
      </w:pPr>
      <w:r>
        <w:rPr>
          <w:rFonts w:hint="eastAsia"/>
          <w:highlight w:val="none"/>
        </w:rPr>
        <w:t>前  言</w:t>
      </w:r>
    </w:p>
    <w:p>
      <w:pPr>
        <w:bidi w:val="0"/>
        <w:rPr>
          <w:highlight w:val="none"/>
        </w:rPr>
      </w:pPr>
      <w:r>
        <w:rPr>
          <w:rFonts w:hint="eastAsia"/>
          <w:highlight w:val="none"/>
        </w:rPr>
        <w:t>2020年4月21日，习近平总书记</w:t>
      </w:r>
      <w:r>
        <w:rPr>
          <w:rFonts w:hint="eastAsia"/>
          <w:highlight w:val="none"/>
          <w:lang w:eastAsia="zh-CN"/>
        </w:rPr>
        <w:t>在</w:t>
      </w:r>
      <w:r>
        <w:rPr>
          <w:rFonts w:hint="eastAsia"/>
          <w:highlight w:val="none"/>
        </w:rPr>
        <w:t>安康调研期间，详细询问富硒茶产业发展情况；2020年5月24日，习近平总书记在“两会”期间指示要将“硒资源变硒产业”。</w:t>
      </w:r>
    </w:p>
    <w:p>
      <w:pPr>
        <w:bidi w:val="0"/>
        <w:rPr>
          <w:highlight w:val="none"/>
        </w:rPr>
      </w:pPr>
      <w:r>
        <w:rPr>
          <w:rFonts w:hint="eastAsia"/>
          <w:highlight w:val="none"/>
        </w:rPr>
        <w:t>紫阳是经科学证实和国内外公认的高硒区之一，全县土壤硒平均含量高达0.9612mg/kg，自1980年国家宣布在紫阳发现富硒土壤资源以来，全县抢抓机遇，积极探索，以“紫阳富硒茶”为引领，走出富硒产业高质量发展的“紫阳模式”。</w:t>
      </w:r>
      <w:r>
        <w:rPr>
          <w:rFonts w:hint="eastAsia"/>
          <w:highlight w:val="none"/>
          <w:lang w:val="en-US" w:eastAsia="zh-CN"/>
        </w:rPr>
        <w:t>2020</w:t>
      </w:r>
      <w:r>
        <w:rPr>
          <w:rFonts w:hint="eastAsia"/>
          <w:highlight w:val="none"/>
        </w:rPr>
        <w:t>年，全县富硒产业综合产值</w:t>
      </w:r>
      <w:r>
        <w:rPr>
          <w:rFonts w:hint="eastAsia"/>
          <w:color w:val="000000" w:themeColor="text1"/>
          <w:highlight w:val="none"/>
          <w:lang w:val="en-US" w:eastAsia="zh-CN"/>
          <w14:textFill>
            <w14:solidFill>
              <w14:schemeClr w14:val="tx1"/>
            </w14:solidFill>
          </w14:textFill>
        </w:rPr>
        <w:t>达到75</w:t>
      </w:r>
      <w:r>
        <w:rPr>
          <w:rFonts w:hint="eastAsia"/>
          <w:highlight w:val="none"/>
        </w:rPr>
        <w:t>亿元，成为紫阳经济社会发展的新引擎。</w:t>
      </w:r>
    </w:p>
    <w:p>
      <w:pPr>
        <w:bidi w:val="0"/>
        <w:rPr>
          <w:rFonts w:hint="eastAsia"/>
          <w:highlight w:val="none"/>
          <w:lang w:eastAsia="zh-CN"/>
        </w:rPr>
      </w:pPr>
      <w:r>
        <w:rPr>
          <w:rFonts w:hint="eastAsia"/>
          <w:highlight w:val="none"/>
        </w:rPr>
        <w:t>为深入贯彻落实习近平总书记关于“硒资源变硒产业”的重要指示，促进全县富硒产业创新、协调、绿色、开放发展，填充全市富硒千亿产业链核心基座，提升紫阳富硒产业影响力，根据《紫阳县国民经济和社会发展</w:t>
      </w:r>
      <w:r>
        <w:rPr>
          <w:rFonts w:hint="eastAsia"/>
          <w:highlight w:val="none"/>
          <w:lang w:eastAsia="zh-CN"/>
        </w:rPr>
        <w:t>第</w:t>
      </w:r>
      <w:r>
        <w:rPr>
          <w:rFonts w:hint="eastAsia"/>
          <w:highlight w:val="none"/>
        </w:rPr>
        <w:t>十四五</w:t>
      </w:r>
      <w:r>
        <w:rPr>
          <w:rFonts w:hint="eastAsia"/>
          <w:highlight w:val="none"/>
          <w:lang w:eastAsia="zh-CN"/>
        </w:rPr>
        <w:t>个五年</w:t>
      </w:r>
      <w:r>
        <w:rPr>
          <w:rFonts w:hint="eastAsia"/>
          <w:highlight w:val="none"/>
        </w:rPr>
        <w:t>规划</w:t>
      </w:r>
      <w:r>
        <w:rPr>
          <w:rFonts w:hint="eastAsia"/>
          <w:highlight w:val="none"/>
          <w:lang w:eastAsia="zh-CN"/>
        </w:rPr>
        <w:t>和</w:t>
      </w:r>
      <w:r>
        <w:rPr>
          <w:rFonts w:hint="eastAsia"/>
          <w:highlight w:val="none"/>
          <w:lang w:val="en-US" w:eastAsia="zh-CN"/>
        </w:rPr>
        <w:t>2035年远景目标纲</w:t>
      </w:r>
      <w:r>
        <w:rPr>
          <w:rFonts w:hint="eastAsia"/>
          <w:highlight w:val="none"/>
          <w:lang w:eastAsia="zh-CN"/>
        </w:rPr>
        <w:t>要</w:t>
      </w:r>
      <w:r>
        <w:rPr>
          <w:rFonts w:hint="eastAsia"/>
          <w:highlight w:val="none"/>
        </w:rPr>
        <w:t>》《</w:t>
      </w:r>
      <w:r>
        <w:rPr>
          <w:rFonts w:hint="eastAsia"/>
          <w:highlight w:val="none"/>
          <w:lang w:eastAsia="zh-CN"/>
        </w:rPr>
        <w:t>安康市</w:t>
      </w:r>
      <w:r>
        <w:rPr>
          <w:rFonts w:hint="eastAsia"/>
          <w:highlight w:val="none"/>
        </w:rPr>
        <w:t>富硒产业</w:t>
      </w:r>
      <w:r>
        <w:rPr>
          <w:rFonts w:hint="eastAsia"/>
          <w:highlight w:val="none"/>
          <w:lang w:eastAsia="zh-CN"/>
        </w:rPr>
        <w:t>“十四五”规划</w:t>
      </w:r>
      <w:r>
        <w:rPr>
          <w:rFonts w:hint="eastAsia"/>
          <w:highlight w:val="none"/>
        </w:rPr>
        <w:t>》《安康市富硒产业</w:t>
      </w:r>
      <w:r>
        <w:rPr>
          <w:rFonts w:hint="eastAsia"/>
          <w:highlight w:val="none"/>
          <w:lang w:eastAsia="zh-CN"/>
        </w:rPr>
        <w:t>全产业链高质量发展三年行动方案（</w:t>
      </w:r>
      <w:r>
        <w:rPr>
          <w:rFonts w:hint="eastAsia"/>
          <w:highlight w:val="none"/>
          <w:lang w:val="en-US" w:eastAsia="zh-CN"/>
        </w:rPr>
        <w:t>2021-2023</w:t>
      </w:r>
      <w:r>
        <w:rPr>
          <w:rFonts w:hint="eastAsia"/>
          <w:highlight w:val="none"/>
          <w:lang w:eastAsia="zh-CN"/>
        </w:rPr>
        <w:t>）</w:t>
      </w:r>
      <w:r>
        <w:rPr>
          <w:rFonts w:hint="eastAsia"/>
          <w:highlight w:val="none"/>
        </w:rPr>
        <w:t>》等文件，制定本规划。规划主要阐明全县富硒产业发展愿景，明确发展目标、主要任务和重大举措，是紫阳县未来五年富硒产业发展的行动纲领。</w:t>
      </w:r>
    </w:p>
    <w:p>
      <w:pPr>
        <w:rPr>
          <w:rFonts w:hint="eastAsia"/>
          <w:highlight w:val="none"/>
        </w:rPr>
      </w:pPr>
      <w:r>
        <w:rPr>
          <w:rFonts w:hint="eastAsia"/>
          <w:highlight w:val="none"/>
        </w:rPr>
        <w:br w:type="page"/>
      </w:r>
    </w:p>
    <w:p>
      <w:pPr>
        <w:pStyle w:val="11"/>
        <w:bidi w:val="0"/>
        <w:outlineLvl w:val="0"/>
        <w:rPr>
          <w:highlight w:val="none"/>
        </w:rPr>
      </w:pPr>
      <w:bookmarkStart w:id="0" w:name="_Toc13505"/>
      <w:r>
        <w:rPr>
          <w:rFonts w:hint="eastAsia"/>
          <w:highlight w:val="none"/>
        </w:rPr>
        <w:t>第一</w:t>
      </w:r>
      <w:r>
        <w:rPr>
          <w:rFonts w:hint="eastAsia"/>
          <w:highlight w:val="none"/>
          <w:lang w:eastAsia="zh-CN"/>
        </w:rPr>
        <w:t>章　</w:t>
      </w:r>
      <w:r>
        <w:rPr>
          <w:rFonts w:hint="eastAsia" w:ascii="方正小标宋简体" w:hAnsi="方正小标宋简体" w:eastAsia="方正小标宋简体" w:cs="方正小标宋简体"/>
          <w:b w:val="0"/>
          <w:bCs w:val="0"/>
          <w:highlight w:val="none"/>
        </w:rPr>
        <w:t>发展环境</w:t>
      </w:r>
      <w:bookmarkEnd w:id="0"/>
    </w:p>
    <w:p>
      <w:pPr>
        <w:pStyle w:val="4"/>
        <w:bidi w:val="0"/>
        <w:rPr>
          <w:rFonts w:hint="eastAsia"/>
          <w:highlight w:val="none"/>
          <w:lang w:eastAsia="zh-CN"/>
        </w:rPr>
      </w:pPr>
      <w:bookmarkStart w:id="1" w:name="_Toc4890"/>
      <w:r>
        <w:rPr>
          <w:rFonts w:hint="eastAsia"/>
          <w:highlight w:val="none"/>
        </w:rPr>
        <w:t>第一节</w:t>
      </w:r>
      <w:r>
        <w:rPr>
          <w:rFonts w:hint="eastAsia"/>
          <w:highlight w:val="none"/>
          <w:lang w:eastAsia="zh-CN"/>
        </w:rPr>
        <w:t>　</w:t>
      </w:r>
      <w:r>
        <w:rPr>
          <w:rFonts w:hint="eastAsia"/>
          <w:highlight w:val="none"/>
        </w:rPr>
        <w:t>发展方向</w:t>
      </w:r>
      <w:r>
        <w:rPr>
          <w:rFonts w:hint="eastAsia"/>
          <w:highlight w:val="none"/>
          <w:lang w:eastAsia="zh-CN"/>
        </w:rPr>
        <w:t>清晰</w:t>
      </w:r>
      <w:bookmarkEnd w:id="1"/>
    </w:p>
    <w:p>
      <w:pPr>
        <w:bidi w:val="0"/>
        <w:rPr>
          <w:highlight w:val="none"/>
        </w:rPr>
      </w:pPr>
      <w:r>
        <w:rPr>
          <w:rFonts w:hint="eastAsia"/>
          <w:highlight w:val="none"/>
        </w:rPr>
        <w:t>习近平总书记对富硒产业非常关心，近4年来，先后5次提到富硒产业。特别是2020年4月</w:t>
      </w:r>
      <w:r>
        <w:rPr>
          <w:rFonts w:hint="eastAsia"/>
          <w:highlight w:val="none"/>
          <w:lang w:val="en-US" w:eastAsia="zh-CN"/>
        </w:rPr>
        <w:t>21</w:t>
      </w:r>
      <w:r>
        <w:rPr>
          <w:rFonts w:hint="eastAsia"/>
          <w:highlight w:val="none"/>
        </w:rPr>
        <w:t>日，习近平总书记</w:t>
      </w:r>
      <w:r>
        <w:rPr>
          <w:rFonts w:hint="eastAsia"/>
          <w:highlight w:val="none"/>
          <w:lang w:eastAsia="zh-CN"/>
        </w:rPr>
        <w:t>在安康调研期间</w:t>
      </w:r>
      <w:r>
        <w:rPr>
          <w:rFonts w:hint="eastAsia"/>
          <w:highlight w:val="none"/>
        </w:rPr>
        <w:t>深入现代</w:t>
      </w:r>
      <w:r>
        <w:rPr>
          <w:rFonts w:hint="eastAsia"/>
          <w:highlight w:val="none"/>
          <w:lang w:eastAsia="zh-CN"/>
        </w:rPr>
        <w:t>茶叶</w:t>
      </w:r>
      <w:r>
        <w:rPr>
          <w:rFonts w:hint="eastAsia"/>
          <w:highlight w:val="none"/>
        </w:rPr>
        <w:t>示范园区考察</w:t>
      </w:r>
      <w:r>
        <w:rPr>
          <w:rFonts w:hint="eastAsia"/>
          <w:highlight w:val="none"/>
          <w:lang w:eastAsia="zh-CN"/>
        </w:rPr>
        <w:t>，了解富硒资源、茶叶产量等情况。</w:t>
      </w:r>
      <w:r>
        <w:rPr>
          <w:rFonts w:hint="eastAsia"/>
          <w:highlight w:val="none"/>
        </w:rPr>
        <w:t>2020年5月24日，习近平总书记</w:t>
      </w:r>
      <w:r>
        <w:rPr>
          <w:rFonts w:hint="eastAsia"/>
          <w:highlight w:val="none"/>
          <w:lang w:eastAsia="zh-CN"/>
        </w:rPr>
        <w:t>在</w:t>
      </w:r>
      <w:r>
        <w:rPr>
          <w:rFonts w:hint="eastAsia"/>
          <w:highlight w:val="none"/>
        </w:rPr>
        <w:t>参加</w:t>
      </w:r>
      <w:r>
        <w:rPr>
          <w:rFonts w:hint="eastAsia"/>
          <w:highlight w:val="none"/>
          <w:lang w:eastAsia="zh-CN"/>
        </w:rPr>
        <w:t>第三届</w:t>
      </w:r>
      <w:r>
        <w:rPr>
          <w:rFonts w:hint="eastAsia"/>
          <w:highlight w:val="none"/>
        </w:rPr>
        <w:t>全国人大</w:t>
      </w:r>
      <w:r>
        <w:rPr>
          <w:rFonts w:hint="eastAsia"/>
          <w:highlight w:val="none"/>
          <w:lang w:eastAsia="zh-CN"/>
        </w:rPr>
        <w:t>三次会议</w:t>
      </w:r>
      <w:r>
        <w:rPr>
          <w:rFonts w:hint="eastAsia"/>
          <w:highlight w:val="none"/>
        </w:rPr>
        <w:t>湖北代表团审议时强调：“上个月我刚去过陕西，安康那一带也是富硒地带，你们这里也是富硒地带，要利用好这一宝贵资源，把它转化为富硒产业”。</w:t>
      </w:r>
    </w:p>
    <w:p>
      <w:pPr>
        <w:bidi w:val="0"/>
        <w:rPr>
          <w:rFonts w:hint="default"/>
          <w:highlight w:val="none"/>
          <w:lang w:val="en-US" w:eastAsia="zh-CN"/>
        </w:rPr>
      </w:pPr>
      <w:r>
        <w:rPr>
          <w:rFonts w:hint="eastAsia"/>
          <w:highlight w:val="none"/>
          <w:lang w:eastAsia="zh-CN"/>
        </w:rPr>
        <w:t>陕西省“十四五”规划和</w:t>
      </w:r>
      <w:r>
        <w:rPr>
          <w:rFonts w:hint="eastAsia"/>
          <w:highlight w:val="none"/>
          <w:lang w:val="en-US" w:eastAsia="zh-CN"/>
        </w:rPr>
        <w:t>2035年远景目标纲要</w:t>
      </w:r>
      <w:r>
        <w:rPr>
          <w:rFonts w:hint="eastAsia"/>
          <w:highlight w:val="none"/>
          <w:lang w:eastAsia="zh-CN"/>
        </w:rPr>
        <w:t>提出：</w:t>
      </w:r>
      <w:r>
        <w:rPr>
          <w:rFonts w:hint="eastAsia"/>
          <w:highlight w:val="none"/>
        </w:rPr>
        <w:t>按照</w:t>
      </w:r>
      <w:r>
        <w:rPr>
          <w:rFonts w:hint="eastAsia"/>
          <w:highlight w:val="none"/>
          <w:lang w:eastAsia="zh-CN"/>
        </w:rPr>
        <w:t>“</w:t>
      </w:r>
      <w:r>
        <w:rPr>
          <w:rFonts w:hint="eastAsia"/>
          <w:highlight w:val="none"/>
        </w:rPr>
        <w:t>绿色循环、三产融合、科技支撑、品牌引领</w:t>
      </w:r>
      <w:r>
        <w:rPr>
          <w:rFonts w:hint="eastAsia"/>
          <w:highlight w:val="none"/>
          <w:lang w:eastAsia="zh-CN"/>
        </w:rPr>
        <w:t>”</w:t>
      </w:r>
      <w:r>
        <w:rPr>
          <w:rFonts w:hint="eastAsia"/>
          <w:highlight w:val="none"/>
        </w:rPr>
        <w:t>思路，做大做强以果业、畜牧业、设施农业为代表的‘3+</w:t>
      </w:r>
      <w:r>
        <w:rPr>
          <w:highlight w:val="none"/>
        </w:rPr>
        <w:t>X</w:t>
      </w:r>
      <w:r>
        <w:rPr>
          <w:rFonts w:hint="eastAsia"/>
          <w:highlight w:val="none"/>
        </w:rPr>
        <w:t>’特色现代农业，打造富硒食品、茶叶、中药材、魔芋、食用菌等一批区域特色产业。</w:t>
      </w:r>
      <w:r>
        <w:rPr>
          <w:rFonts w:hint="eastAsia"/>
          <w:highlight w:val="none"/>
          <w:lang w:eastAsia="zh-CN"/>
        </w:rPr>
        <w:t>省政府将富硒食品列入了重点产业链，明确了包抓部门、责任领导，要求</w:t>
      </w:r>
      <w:r>
        <w:rPr>
          <w:rFonts w:hint="eastAsia"/>
          <w:highlight w:val="none"/>
          <w:lang w:val="en-US" w:eastAsia="zh-CN"/>
        </w:rPr>
        <w:t>2025年培育形成“世界一流、全国领先”的特色产业集群。</w:t>
      </w:r>
    </w:p>
    <w:p>
      <w:pPr>
        <w:bidi w:val="0"/>
        <w:rPr>
          <w:highlight w:val="none"/>
        </w:rPr>
      </w:pPr>
      <w:r>
        <w:rPr>
          <w:rFonts w:hint="eastAsia"/>
          <w:highlight w:val="none"/>
          <w:lang w:eastAsia="zh-CN"/>
        </w:rPr>
        <w:t>安康市“十四五”规划和</w:t>
      </w:r>
      <w:r>
        <w:rPr>
          <w:rFonts w:hint="eastAsia"/>
          <w:highlight w:val="none"/>
          <w:lang w:val="en-US" w:eastAsia="zh-CN"/>
        </w:rPr>
        <w:t>2035年远景目标纲要</w:t>
      </w:r>
      <w:r>
        <w:rPr>
          <w:rFonts w:hint="eastAsia"/>
          <w:highlight w:val="none"/>
          <w:lang w:eastAsia="zh-CN"/>
        </w:rPr>
        <w:t>提出：“</w:t>
      </w:r>
      <w:r>
        <w:rPr>
          <w:rFonts w:hint="eastAsia"/>
          <w:highlight w:val="none"/>
        </w:rPr>
        <w:t>推动富硒产业率先突破，形成立市之业”，标志着安康富硒产业从首位产业、主导产业向立市之业的转变，使其“以更高级的产业基础、更现代的产业链条、更远大的发展目标挺起高质量发展的‘脊梁’”。紫阳作为“中国硒谷”核心区，应</w:t>
      </w:r>
      <w:r>
        <w:rPr>
          <w:rFonts w:hint="eastAsia"/>
          <w:highlight w:val="none"/>
          <w:lang w:eastAsia="zh-CN"/>
        </w:rPr>
        <w:t>当</w:t>
      </w:r>
      <w:r>
        <w:rPr>
          <w:rFonts w:hint="eastAsia"/>
          <w:highlight w:val="none"/>
        </w:rPr>
        <w:t>把握发展机遇，全力推进富硒产业发展，肩负起把“硒资源变硒产业”的</w:t>
      </w:r>
      <w:r>
        <w:rPr>
          <w:rFonts w:hint="eastAsia"/>
          <w:highlight w:val="none"/>
          <w:lang w:eastAsia="zh-CN"/>
        </w:rPr>
        <w:t>历史</w:t>
      </w:r>
      <w:r>
        <w:rPr>
          <w:rFonts w:hint="eastAsia"/>
          <w:highlight w:val="none"/>
        </w:rPr>
        <w:t>使命。</w:t>
      </w:r>
    </w:p>
    <w:p>
      <w:pPr>
        <w:pStyle w:val="4"/>
        <w:bidi w:val="0"/>
        <w:rPr>
          <w:highlight w:val="none"/>
        </w:rPr>
      </w:pPr>
      <w:bookmarkStart w:id="2" w:name="_Toc25427"/>
      <w:r>
        <w:rPr>
          <w:rFonts w:hint="eastAsia"/>
          <w:highlight w:val="none"/>
        </w:rPr>
        <w:t xml:space="preserve">第二节 </w:t>
      </w:r>
      <w:r>
        <w:rPr>
          <w:highlight w:val="none"/>
        </w:rPr>
        <w:t xml:space="preserve"> </w:t>
      </w:r>
      <w:r>
        <w:rPr>
          <w:rFonts w:hint="eastAsia"/>
          <w:highlight w:val="none"/>
        </w:rPr>
        <w:t>战略需求紧迫</w:t>
      </w:r>
      <w:bookmarkEnd w:id="2"/>
    </w:p>
    <w:p>
      <w:pPr>
        <w:bidi w:val="0"/>
        <w:rPr>
          <w:highlight w:val="none"/>
        </w:rPr>
      </w:pPr>
      <w:r>
        <w:rPr>
          <w:rFonts w:hint="eastAsia" w:ascii="楷体_GB2312" w:hAnsi="楷体_GB2312" w:eastAsia="楷体_GB2312" w:cs="楷体_GB2312"/>
          <w:b/>
          <w:bCs/>
          <w:sz w:val="32"/>
          <w:szCs w:val="32"/>
          <w:highlight w:val="none"/>
          <w:lang w:eastAsia="zh-CN"/>
        </w:rPr>
        <w:t>乡村振兴战略对农业发展方向提出了新要求</w:t>
      </w:r>
      <w:r>
        <w:rPr>
          <w:rFonts w:hint="eastAsia"/>
          <w:b/>
          <w:bCs/>
          <w:highlight w:val="none"/>
        </w:rPr>
        <w:t>。</w:t>
      </w:r>
      <w:r>
        <w:rPr>
          <w:rFonts w:hint="eastAsia"/>
          <w:highlight w:val="none"/>
          <w:lang w:eastAsia="zh-CN"/>
        </w:rPr>
        <w:t>中共中央、国务院印发的《乡村振兴战略规划（2018--2022）》提出：创建特色鲜明、优势集聚、市场竞争力强的特色农产品优势区，支持特色农产品优势区建设标准化生产基地、加工基地、仓储物流基地，完善科技支撑体系、品牌与市场营销体系、质量控制体系，建立利益联结紧密的建设运行机制，形成特色农业产业集群。</w:t>
      </w:r>
      <w:r>
        <w:rPr>
          <w:highlight w:val="none"/>
        </w:rPr>
        <w:t>《</w:t>
      </w:r>
      <w:r>
        <w:rPr>
          <w:rFonts w:hint="eastAsia"/>
          <w:highlight w:val="none"/>
          <w:lang w:eastAsia="zh-CN"/>
        </w:rPr>
        <w:t>国务院</w:t>
      </w:r>
      <w:r>
        <w:rPr>
          <w:highlight w:val="none"/>
        </w:rPr>
        <w:t>关于促进乡村</w:t>
      </w:r>
      <w:r>
        <w:rPr>
          <w:rFonts w:hint="eastAsia"/>
          <w:highlight w:val="none"/>
        </w:rPr>
        <w:t>产业</w:t>
      </w:r>
      <w:r>
        <w:rPr>
          <w:highlight w:val="none"/>
        </w:rPr>
        <w:t>振兴的指导意见》</w:t>
      </w:r>
      <w:r>
        <w:rPr>
          <w:rFonts w:hint="eastAsia"/>
          <w:highlight w:val="none"/>
          <w:lang w:eastAsia="zh-CN"/>
        </w:rPr>
        <w:t>进一步</w:t>
      </w:r>
      <w:r>
        <w:rPr>
          <w:highlight w:val="none"/>
        </w:rPr>
        <w:t>明确：推进农业与文化、旅游、教育、康养等产业融合，发展创意农业、功能农业</w:t>
      </w:r>
      <w:r>
        <w:rPr>
          <w:rFonts w:hint="eastAsia"/>
          <w:highlight w:val="none"/>
          <w:lang w:eastAsia="zh-CN"/>
        </w:rPr>
        <w:t>。</w:t>
      </w:r>
      <w:r>
        <w:rPr>
          <w:rFonts w:hint="eastAsia"/>
          <w:highlight w:val="none"/>
        </w:rPr>
        <w:t>《全国乡村产业发展规划（2020--2025年）》也将功能农业作为重要的建设内容</w:t>
      </w:r>
      <w:r>
        <w:rPr>
          <w:highlight w:val="none"/>
        </w:rPr>
        <w:t>。富硒产业作为功能农业的重要组成部分，是实施乡村振兴战略的新抓手。</w:t>
      </w:r>
    </w:p>
    <w:p>
      <w:pPr>
        <w:bidi w:val="0"/>
        <w:rPr>
          <w:highlight w:val="none"/>
        </w:rPr>
      </w:pPr>
      <w:r>
        <w:rPr>
          <w:rFonts w:hint="eastAsia" w:ascii="楷体_GB2312" w:hAnsi="楷体_GB2312" w:eastAsia="楷体_GB2312" w:cs="楷体_GB2312"/>
          <w:b/>
          <w:bCs/>
          <w:sz w:val="32"/>
          <w:szCs w:val="32"/>
          <w:highlight w:val="none"/>
          <w:lang w:eastAsia="zh-CN"/>
        </w:rPr>
        <w:t>健康中国战略对农业发展质量提出了新需求</w:t>
      </w:r>
      <w:r>
        <w:rPr>
          <w:rFonts w:hint="eastAsia"/>
          <w:b/>
          <w:bCs/>
          <w:highlight w:val="none"/>
        </w:rPr>
        <w:t>。</w:t>
      </w:r>
      <w:r>
        <w:rPr>
          <w:highlight w:val="none"/>
        </w:rPr>
        <w:t>中共中央、国务院印发的《</w:t>
      </w:r>
      <w:r>
        <w:rPr>
          <w:rFonts w:hint="eastAsia"/>
          <w:highlight w:val="none"/>
        </w:rPr>
        <w:t>“</w:t>
      </w:r>
      <w:r>
        <w:rPr>
          <w:highlight w:val="none"/>
        </w:rPr>
        <w:t>健康中国2030</w:t>
      </w:r>
      <w:r>
        <w:rPr>
          <w:rFonts w:hint="eastAsia"/>
          <w:highlight w:val="none"/>
        </w:rPr>
        <w:t>”</w:t>
      </w:r>
      <w:r>
        <w:rPr>
          <w:highlight w:val="none"/>
        </w:rPr>
        <w:t>规划纲要》首次将</w:t>
      </w:r>
      <w:r>
        <w:rPr>
          <w:rFonts w:hint="eastAsia"/>
          <w:highlight w:val="none"/>
        </w:rPr>
        <w:t>“</w:t>
      </w:r>
      <w:r>
        <w:rPr>
          <w:highlight w:val="none"/>
        </w:rPr>
        <w:t>健康中国</w:t>
      </w:r>
      <w:r>
        <w:rPr>
          <w:rFonts w:hint="eastAsia"/>
          <w:highlight w:val="none"/>
        </w:rPr>
        <w:t>”</w:t>
      </w:r>
      <w:r>
        <w:rPr>
          <w:highlight w:val="none"/>
        </w:rPr>
        <w:t>上升为国家战略，并将健康产业作为国家支柱型战略产业。富硒</w:t>
      </w:r>
      <w:r>
        <w:rPr>
          <w:rFonts w:hint="eastAsia"/>
          <w:highlight w:val="none"/>
        </w:rPr>
        <w:t>产业</w:t>
      </w:r>
      <w:r>
        <w:rPr>
          <w:highlight w:val="none"/>
        </w:rPr>
        <w:t>作为</w:t>
      </w:r>
      <w:r>
        <w:rPr>
          <w:rFonts w:hint="eastAsia"/>
          <w:highlight w:val="none"/>
        </w:rPr>
        <w:t>“</w:t>
      </w:r>
      <w:r>
        <w:rPr>
          <w:highlight w:val="none"/>
        </w:rPr>
        <w:t>吃得健康</w:t>
      </w:r>
      <w:r>
        <w:rPr>
          <w:rFonts w:hint="eastAsia"/>
          <w:highlight w:val="none"/>
        </w:rPr>
        <w:t>”</w:t>
      </w:r>
      <w:r>
        <w:rPr>
          <w:highlight w:val="none"/>
        </w:rPr>
        <w:t>的重要支撑，是实施健康中国战略的新路径。</w:t>
      </w:r>
    </w:p>
    <w:p>
      <w:pPr>
        <w:bidi w:val="0"/>
        <w:rPr>
          <w:highlight w:val="none"/>
        </w:rPr>
      </w:pPr>
      <w:r>
        <w:rPr>
          <w:rFonts w:hint="eastAsia" w:ascii="楷体_GB2312" w:hAnsi="楷体_GB2312" w:eastAsia="楷体_GB2312" w:cs="楷体_GB2312"/>
          <w:b/>
          <w:bCs/>
          <w:sz w:val="32"/>
          <w:szCs w:val="32"/>
          <w:highlight w:val="none"/>
          <w:lang w:eastAsia="zh-CN"/>
        </w:rPr>
        <w:t>农业供给侧结构性改革为农业新业态明确了新方向</w:t>
      </w:r>
      <w:r>
        <w:rPr>
          <w:rFonts w:hint="eastAsia"/>
          <w:b/>
          <w:bCs/>
          <w:highlight w:val="none"/>
        </w:rPr>
        <w:t>。</w:t>
      </w:r>
      <w:r>
        <w:rPr>
          <w:highlight w:val="none"/>
        </w:rPr>
        <w:t>2017年</w:t>
      </w:r>
      <w:r>
        <w:rPr>
          <w:rFonts w:hint="eastAsia"/>
          <w:highlight w:val="none"/>
        </w:rPr>
        <w:t>中央</w:t>
      </w:r>
      <w:r>
        <w:rPr>
          <w:rFonts w:hint="eastAsia"/>
          <w:highlight w:val="none"/>
          <w:lang w:val="en-US" w:eastAsia="zh-CN"/>
        </w:rPr>
        <w:t>1</w:t>
      </w:r>
      <w:r>
        <w:rPr>
          <w:rFonts w:hint="eastAsia"/>
          <w:highlight w:val="none"/>
        </w:rPr>
        <w:t>号文件</w:t>
      </w:r>
      <w:r>
        <w:rPr>
          <w:highlight w:val="none"/>
        </w:rPr>
        <w:t>提出：</w:t>
      </w:r>
      <w:r>
        <w:rPr>
          <w:rFonts w:hint="eastAsia"/>
          <w:highlight w:val="none"/>
        </w:rPr>
        <w:t>“</w:t>
      </w:r>
      <w:r>
        <w:rPr>
          <w:highlight w:val="none"/>
        </w:rPr>
        <w:t>加快发展现代食品产业，加强现代生物和营养强化技术研究，挖掘开发具有保健功能的食品</w:t>
      </w:r>
      <w:r>
        <w:rPr>
          <w:rFonts w:hint="eastAsia"/>
          <w:highlight w:val="none"/>
        </w:rPr>
        <w:t>”</w:t>
      </w:r>
      <w:r>
        <w:rPr>
          <w:highlight w:val="none"/>
        </w:rPr>
        <w:t>。富硒产业为农业提质增效、农业三产融合提供了新</w:t>
      </w:r>
      <w:r>
        <w:rPr>
          <w:rFonts w:hint="eastAsia"/>
          <w:highlight w:val="none"/>
        </w:rPr>
        <w:t>思路</w:t>
      </w:r>
      <w:r>
        <w:rPr>
          <w:highlight w:val="none"/>
        </w:rPr>
        <w:t>，是农业供给侧结构性改革的新动力。</w:t>
      </w:r>
    </w:p>
    <w:p>
      <w:pPr>
        <w:bidi w:val="0"/>
        <w:rPr>
          <w:highlight w:val="none"/>
        </w:rPr>
      </w:pPr>
      <w:r>
        <w:rPr>
          <w:rFonts w:hint="eastAsia" w:ascii="楷体_GB2312" w:hAnsi="楷体_GB2312" w:eastAsia="楷体_GB2312" w:cs="楷体_GB2312"/>
          <w:b/>
          <w:bCs/>
          <w:sz w:val="32"/>
          <w:szCs w:val="32"/>
          <w:highlight w:val="none"/>
          <w:lang w:eastAsia="zh-CN"/>
        </w:rPr>
        <w:t>国家相关部委为富硒产业发展提出了新举措</w:t>
      </w:r>
      <w:r>
        <w:rPr>
          <w:rFonts w:hint="eastAsia"/>
          <w:b/>
          <w:bCs/>
          <w:highlight w:val="none"/>
        </w:rPr>
        <w:t>。</w:t>
      </w:r>
      <w:r>
        <w:rPr>
          <w:highlight w:val="none"/>
        </w:rPr>
        <w:t>原国家粮食局、财政部《关于</w:t>
      </w:r>
      <w:r>
        <w:rPr>
          <w:rFonts w:hint="eastAsia"/>
          <w:highlight w:val="none"/>
        </w:rPr>
        <w:t>“</w:t>
      </w:r>
      <w:r>
        <w:rPr>
          <w:highlight w:val="none"/>
        </w:rPr>
        <w:t>优质粮食工程</w:t>
      </w:r>
      <w:r>
        <w:rPr>
          <w:rFonts w:hint="eastAsia"/>
          <w:highlight w:val="none"/>
        </w:rPr>
        <w:t>”</w:t>
      </w:r>
      <w:r>
        <w:rPr>
          <w:highlight w:val="none"/>
        </w:rPr>
        <w:t>实施方案的通知》中指出，要大力推进优质粮食工程建设，促进粮食行业供给侧结构性改革，推进绿色优质粮食产业体系建设。国家发展和改革委员会、国家粮食和物资储备局、科技部《关于</w:t>
      </w:r>
      <w:r>
        <w:rPr>
          <w:rFonts w:hint="eastAsia"/>
          <w:highlight w:val="none"/>
        </w:rPr>
        <w:t>“</w:t>
      </w:r>
      <w:r>
        <w:rPr>
          <w:highlight w:val="none"/>
        </w:rPr>
        <w:t>科技兴粮</w:t>
      </w:r>
      <w:r>
        <w:rPr>
          <w:rFonts w:hint="eastAsia"/>
          <w:highlight w:val="none"/>
        </w:rPr>
        <w:t>”</w:t>
      </w:r>
      <w:r>
        <w:rPr>
          <w:highlight w:val="none"/>
        </w:rPr>
        <w:t>的实施意见》中提出，</w:t>
      </w:r>
      <w:r>
        <w:rPr>
          <w:rFonts w:hint="eastAsia"/>
          <w:highlight w:val="none"/>
        </w:rPr>
        <w:t>“</w:t>
      </w:r>
      <w:r>
        <w:rPr>
          <w:highlight w:val="none"/>
        </w:rPr>
        <w:t>要在粮食储存、加工、物流营养健康主食等重点和特色产业领域，鼓励企业申请新建一批粮食行业重点实验室、技术创新中心</w:t>
      </w:r>
      <w:r>
        <w:rPr>
          <w:rFonts w:hint="eastAsia"/>
          <w:highlight w:val="none"/>
        </w:rPr>
        <w:t>”</w:t>
      </w:r>
      <w:r>
        <w:rPr>
          <w:highlight w:val="none"/>
        </w:rPr>
        <w:t>。</w:t>
      </w:r>
    </w:p>
    <w:p>
      <w:pPr>
        <w:pStyle w:val="4"/>
        <w:bidi w:val="0"/>
        <w:rPr>
          <w:highlight w:val="none"/>
        </w:rPr>
      </w:pPr>
      <w:bookmarkStart w:id="3" w:name="_Toc5201"/>
      <w:r>
        <w:rPr>
          <w:rFonts w:hint="eastAsia"/>
          <w:highlight w:val="none"/>
        </w:rPr>
        <w:t xml:space="preserve">第三节 </w:t>
      </w:r>
      <w:r>
        <w:rPr>
          <w:highlight w:val="none"/>
        </w:rPr>
        <w:t xml:space="preserve"> </w:t>
      </w:r>
      <w:r>
        <w:rPr>
          <w:rFonts w:hint="eastAsia"/>
          <w:highlight w:val="none"/>
        </w:rPr>
        <w:t>市场空间广阔</w:t>
      </w:r>
      <w:bookmarkEnd w:id="3"/>
    </w:p>
    <w:p>
      <w:pPr>
        <w:bidi w:val="0"/>
        <w:rPr>
          <w:rFonts w:hint="eastAsia"/>
          <w:highlight w:val="none"/>
        </w:rPr>
      </w:pPr>
      <w:r>
        <w:rPr>
          <w:rFonts w:hint="eastAsia"/>
          <w:highlight w:val="none"/>
        </w:rPr>
        <w:t>硒</w:t>
      </w:r>
      <w:r>
        <w:rPr>
          <w:rFonts w:hint="eastAsia"/>
          <w:highlight w:val="none"/>
          <w:lang w:eastAsia="zh-CN"/>
        </w:rPr>
        <w:t>，</w:t>
      </w:r>
      <w:r>
        <w:rPr>
          <w:rFonts w:hint="eastAsia"/>
          <w:highlight w:val="none"/>
        </w:rPr>
        <w:t>是人体必需的微量元素之一</w:t>
      </w:r>
      <w:r>
        <w:rPr>
          <w:rFonts w:hint="eastAsia"/>
          <w:highlight w:val="none"/>
          <w:lang w:eastAsia="zh-CN"/>
        </w:rPr>
        <w:t>。</w:t>
      </w:r>
      <w:r>
        <w:rPr>
          <w:rFonts w:hint="eastAsia"/>
          <w:highlight w:val="none"/>
        </w:rPr>
        <w:t>1988年，中国营养学会将硒列为我国居民必须摄入的15种膳食营养素之一，并提出中国居民膳食硒摄入量推荐标准，目前最新适宜区间为</w:t>
      </w:r>
      <w:r>
        <w:rPr>
          <w:rFonts w:hint="eastAsia"/>
          <w:highlight w:val="none"/>
          <w:lang w:eastAsia="zh-CN"/>
        </w:rPr>
        <w:t>成人</w:t>
      </w:r>
      <w:r>
        <w:rPr>
          <w:rFonts w:hint="eastAsia"/>
          <w:highlight w:val="none"/>
        </w:rPr>
        <w:t>每日60</w:t>
      </w:r>
      <w:r>
        <w:rPr>
          <w:rFonts w:hint="eastAsia"/>
          <w:color w:val="FF0000"/>
          <w:highlight w:val="none"/>
          <w:lang w:val="en-US" w:eastAsia="zh-CN"/>
        </w:rPr>
        <w:t>-</w:t>
      </w:r>
      <w:r>
        <w:rPr>
          <w:rFonts w:hint="eastAsia"/>
          <w:highlight w:val="none"/>
        </w:rPr>
        <w:t>400微克。通过调查发展，全世界约有40多个国家和地区土壤缺硒，我国约72%地区土壤缺硒，约2</w:t>
      </w:r>
      <w:r>
        <w:rPr>
          <w:highlight w:val="none"/>
        </w:rPr>
        <w:t>/</w:t>
      </w:r>
      <w:r>
        <w:rPr>
          <w:rFonts w:hint="eastAsia"/>
          <w:highlight w:val="none"/>
        </w:rPr>
        <w:t>3人口存在硒营养摄入不足风险。</w:t>
      </w:r>
    </w:p>
    <w:p>
      <w:pPr>
        <w:bidi w:val="0"/>
        <w:rPr>
          <w:rFonts w:hint="eastAsia"/>
          <w:highlight w:val="none"/>
        </w:rPr>
      </w:pPr>
      <w:r>
        <w:rPr>
          <w:rFonts w:hint="eastAsia"/>
          <w:highlight w:val="none"/>
        </w:rPr>
        <w:t>随着生活水平的提高和对硒的生理机能认识的逐步深入，消费结构和理念发生深刻变化，“吃出健康”成为迫切需求。人们通过富硒农产品、富硒食品、富硒营养品、富硒保健品、富硒药品、富硒矿泉水等补充人体所需硒元素，改善健康状况。</w:t>
      </w:r>
    </w:p>
    <w:p>
      <w:pPr>
        <w:bidi w:val="0"/>
        <w:rPr>
          <w:rFonts w:hint="eastAsia"/>
          <w:highlight w:val="none"/>
        </w:rPr>
      </w:pPr>
      <w:r>
        <w:rPr>
          <w:rFonts w:hint="eastAsia"/>
          <w:highlight w:val="none"/>
        </w:rPr>
        <w:t>据《中国富硒农产品行业发展现状分析与发展趋势报告（2019</w:t>
      </w:r>
      <w:r>
        <w:rPr>
          <w:rFonts w:hint="eastAsia"/>
          <w:highlight w:val="none"/>
          <w:lang w:val="en-US" w:eastAsia="zh-CN"/>
        </w:rPr>
        <w:t>-</w:t>
      </w:r>
      <w:r>
        <w:rPr>
          <w:rFonts w:hint="eastAsia"/>
          <w:highlight w:val="none"/>
        </w:rPr>
        <w:t>2025年）》统计，我国富硒农产品行业总产值已超过1000亿元，每年以</w:t>
      </w:r>
      <w:r>
        <w:rPr>
          <w:rFonts w:hint="eastAsia"/>
          <w:color w:val="000000" w:themeColor="text1"/>
          <w:highlight w:val="none"/>
          <w14:textFill>
            <w14:solidFill>
              <w14:schemeClr w14:val="tx1"/>
            </w14:solidFill>
          </w14:textFill>
        </w:rPr>
        <w:t>9.3</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13.1%</w:t>
      </w:r>
      <w:r>
        <w:rPr>
          <w:rFonts w:hint="eastAsia"/>
          <w:highlight w:val="none"/>
        </w:rPr>
        <w:t>的速度递增。全国以富硒为代表的功能农产品市场容量估算在4000亿元左右，保健品及医药产品1000亿元以上。</w:t>
      </w:r>
    </w:p>
    <w:p>
      <w:pPr>
        <w:bidi w:val="0"/>
        <w:rPr>
          <w:highlight w:val="none"/>
        </w:rPr>
      </w:pPr>
      <w:r>
        <w:rPr>
          <w:rFonts w:hint="eastAsia"/>
          <w:highlight w:val="none"/>
        </w:rPr>
        <w:t>食品和水是人体吸收硒的主要来源，农作物和水中的硒含量与土壤中硒含量密切相关，在天然富硒地发展富硒农业产业具有广阔的市场空间。</w:t>
      </w:r>
    </w:p>
    <w:p>
      <w:pPr>
        <w:pStyle w:val="4"/>
        <w:bidi w:val="0"/>
        <w:rPr>
          <w:highlight w:val="none"/>
        </w:rPr>
      </w:pPr>
      <w:bookmarkStart w:id="4" w:name="_Toc12809"/>
      <w:r>
        <w:rPr>
          <w:rFonts w:hint="eastAsia"/>
          <w:highlight w:val="none"/>
        </w:rPr>
        <w:t xml:space="preserve">第四节 </w:t>
      </w:r>
      <w:r>
        <w:rPr>
          <w:highlight w:val="none"/>
        </w:rPr>
        <w:t xml:space="preserve"> </w:t>
      </w:r>
      <w:r>
        <w:rPr>
          <w:rFonts w:hint="eastAsia"/>
          <w:highlight w:val="none"/>
        </w:rPr>
        <w:t>产业氛围浓厚</w:t>
      </w:r>
      <w:bookmarkEnd w:id="4"/>
    </w:p>
    <w:p>
      <w:pPr>
        <w:bidi w:val="0"/>
        <w:rPr>
          <w:rFonts w:hint="eastAsia"/>
          <w:highlight w:val="none"/>
        </w:rPr>
      </w:pPr>
      <w:r>
        <w:rPr>
          <w:rFonts w:hint="eastAsia"/>
          <w:highlight w:val="none"/>
          <w:lang w:eastAsia="zh-CN"/>
        </w:rPr>
        <w:t>随着</w:t>
      </w:r>
      <w:r>
        <w:rPr>
          <w:rFonts w:hint="eastAsia"/>
          <w:highlight w:val="none"/>
        </w:rPr>
        <w:t>“健康中国”战略</w:t>
      </w:r>
      <w:r>
        <w:rPr>
          <w:rFonts w:hint="eastAsia"/>
          <w:highlight w:val="none"/>
          <w:lang w:eastAsia="zh-CN"/>
        </w:rPr>
        <w:t>、《全民健身计划（</w:t>
      </w:r>
      <w:r>
        <w:rPr>
          <w:rFonts w:hint="eastAsia"/>
          <w:highlight w:val="none"/>
          <w:lang w:val="en-US" w:eastAsia="zh-CN"/>
        </w:rPr>
        <w:t>2021-2025）》</w:t>
      </w:r>
      <w:r>
        <w:rPr>
          <w:rFonts w:hint="eastAsia"/>
          <w:highlight w:val="none"/>
          <w:lang w:eastAsia="zh-CN"/>
        </w:rPr>
        <w:t>的实施</w:t>
      </w:r>
      <w:r>
        <w:rPr>
          <w:rFonts w:hint="eastAsia"/>
          <w:highlight w:val="none"/>
        </w:rPr>
        <w:t>，居民对食品营养的要求日益提高，开发硒资源、利用硒资源、发展硒产业的热潮正在兴起。部分富硒地区积极利用富硒农业地质环境，开展富硒农产品、富硒食品的研发；也有些非富硒地区，通过生物营养强化、土壤改良等技术实现农产品富硒。</w:t>
      </w:r>
    </w:p>
    <w:p>
      <w:pPr>
        <w:bidi w:val="0"/>
        <w:rPr>
          <w:rFonts w:hint="eastAsia"/>
          <w:highlight w:val="none"/>
          <w:lang w:eastAsia="zh-CN"/>
        </w:rPr>
      </w:pPr>
      <w:r>
        <w:rPr>
          <w:rFonts w:hint="eastAsia"/>
          <w:highlight w:val="none"/>
        </w:rPr>
        <w:t>目前，富硒产业已具备一定规模的有陕西、湖北、江西、宁夏、广西、安徽、江苏、山西、湖南、河北、黑龙江、甘肃、重庆、河南、山东、吉林等15个省</w:t>
      </w:r>
      <w:r>
        <w:rPr>
          <w:rFonts w:hint="eastAsia"/>
          <w:highlight w:val="none"/>
          <w:lang w:eastAsia="zh-CN"/>
        </w:rPr>
        <w:t>份，</w:t>
      </w:r>
      <w:r>
        <w:rPr>
          <w:rFonts w:hint="eastAsia"/>
          <w:highlight w:val="none"/>
        </w:rPr>
        <w:t>以及“</w:t>
      </w:r>
      <w:bookmarkStart w:id="45" w:name="_GoBack"/>
      <w:r>
        <w:rPr>
          <w:rFonts w:hint="eastAsia"/>
          <w:highlight w:val="none"/>
        </w:rPr>
        <w:t>一带一路</w:t>
      </w:r>
      <w:bookmarkEnd w:id="45"/>
      <w:r>
        <w:rPr>
          <w:rFonts w:hint="eastAsia"/>
          <w:highlight w:val="none"/>
        </w:rPr>
        <w:t>”上的泰国，形成了高质量发展的“15+1”格局</w:t>
      </w:r>
      <w:r>
        <w:rPr>
          <w:rFonts w:hint="eastAsia"/>
          <w:highlight w:val="none"/>
          <w:lang w:eastAsia="zh-CN"/>
        </w:rPr>
        <w:t>。</w:t>
      </w:r>
    </w:p>
    <w:p>
      <w:pPr>
        <w:bidi w:val="0"/>
        <w:rPr>
          <w:rFonts w:hint="eastAsia" w:ascii="Times New Roman" w:hAnsi="Times New Roman" w:eastAsia="仿宋-GB2312" w:cs="Times New Roman"/>
          <w:color w:val="000000" w:themeColor="text1"/>
          <w:sz w:val="32"/>
          <w:szCs w:val="32"/>
          <w:highlight w:val="none"/>
          <w14:textFill>
            <w14:solidFill>
              <w14:schemeClr w14:val="tx1"/>
            </w14:solidFill>
          </w14:textFill>
        </w:rPr>
      </w:pPr>
      <w:r>
        <w:rPr>
          <w:rFonts w:hint="eastAsia"/>
          <w:highlight w:val="none"/>
        </w:rPr>
        <w:t>除陕西安康外，湖北恩施、江西宜春、宁夏中卫、广西贵港、安徽石台等地区最为典型。主要开发有富硒粮油、富硒茶叶、富硒蔬菜、富硒水果、富硒畜禽和禽蛋等上百种富硒农产品，以及基于富硒农产品的深加工所开发的富硒保健品及药品、富硒蛋白类食品、富硒矿泉水、富硒肥料、富硒养生旅游产品等。</w:t>
      </w:r>
    </w:p>
    <w:p>
      <w:pPr>
        <w:rPr>
          <w:rFonts w:hint="eastAsia" w:ascii="黑体" w:hAnsi="黑体" w:eastAsia="黑体" w:cs="黑体"/>
          <w:b/>
          <w:bCs/>
          <w:color w:val="000000" w:themeColor="text1"/>
          <w:kern w:val="0"/>
          <w:sz w:val="36"/>
          <w:szCs w:val="36"/>
          <w:highlight w:val="none"/>
          <w14:textFill>
            <w14:solidFill>
              <w14:schemeClr w14:val="tx1"/>
            </w14:solidFill>
          </w14:textFill>
        </w:rPr>
      </w:pPr>
      <w:r>
        <w:rPr>
          <w:rFonts w:hint="eastAsia" w:ascii="黑体" w:hAnsi="黑体" w:eastAsia="黑体" w:cs="黑体"/>
          <w:b/>
          <w:bCs/>
          <w:color w:val="000000" w:themeColor="text1"/>
          <w:kern w:val="0"/>
          <w:sz w:val="36"/>
          <w:szCs w:val="36"/>
          <w:highlight w:val="none"/>
          <w14:textFill>
            <w14:solidFill>
              <w14:schemeClr w14:val="tx1"/>
            </w14:solidFill>
          </w14:textFill>
        </w:rPr>
        <w:br w:type="page"/>
      </w:r>
    </w:p>
    <w:p>
      <w:pPr>
        <w:pStyle w:val="11"/>
        <w:bidi w:val="0"/>
        <w:outlineLvl w:val="0"/>
        <w:rPr>
          <w:rFonts w:hint="eastAsia"/>
          <w:highlight w:val="none"/>
        </w:rPr>
      </w:pPr>
      <w:bookmarkStart w:id="5" w:name="_Toc17847"/>
      <w:r>
        <w:rPr>
          <w:rFonts w:hint="eastAsia"/>
          <w:highlight w:val="none"/>
        </w:rPr>
        <w:t>第二章</w:t>
      </w:r>
      <w:r>
        <w:rPr>
          <w:rFonts w:hint="eastAsia"/>
          <w:highlight w:val="none"/>
          <w:lang w:eastAsia="zh-CN"/>
        </w:rPr>
        <w:t>　</w:t>
      </w:r>
      <w:r>
        <w:rPr>
          <w:rFonts w:hint="eastAsia" w:ascii="方正小标宋简体" w:hAnsi="方正小标宋简体" w:eastAsia="方正小标宋简体" w:cs="方正小标宋简体"/>
          <w:b w:val="0"/>
          <w:bCs w:val="0"/>
          <w:highlight w:val="none"/>
        </w:rPr>
        <w:t>发展基础</w:t>
      </w:r>
      <w:bookmarkEnd w:id="5"/>
    </w:p>
    <w:p>
      <w:pPr>
        <w:pStyle w:val="4"/>
        <w:bidi w:val="0"/>
        <w:rPr>
          <w:rFonts w:hint="eastAsia"/>
          <w:highlight w:val="none"/>
        </w:rPr>
      </w:pPr>
      <w:bookmarkStart w:id="6" w:name="_Toc1880"/>
      <w:r>
        <w:rPr>
          <w:rFonts w:hint="eastAsia"/>
          <w:highlight w:val="none"/>
        </w:rPr>
        <w:t>第</w:t>
      </w:r>
      <w:r>
        <w:rPr>
          <w:rFonts w:hint="eastAsia"/>
          <w:highlight w:val="none"/>
          <w:lang w:eastAsia="zh-CN"/>
        </w:rPr>
        <w:t>五</w:t>
      </w:r>
      <w:r>
        <w:rPr>
          <w:rFonts w:hint="eastAsia"/>
          <w:highlight w:val="none"/>
        </w:rPr>
        <w:t>节</w:t>
      </w:r>
      <w:r>
        <w:rPr>
          <w:rFonts w:hint="eastAsia"/>
          <w:highlight w:val="none"/>
          <w:lang w:eastAsia="zh-CN"/>
        </w:rPr>
        <w:t>　</w:t>
      </w:r>
      <w:r>
        <w:rPr>
          <w:rFonts w:hint="eastAsia"/>
          <w:highlight w:val="none"/>
        </w:rPr>
        <w:t>资源禀赋良好</w:t>
      </w:r>
      <w:bookmarkEnd w:id="6"/>
    </w:p>
    <w:p>
      <w:pPr>
        <w:bidi w:val="0"/>
        <w:rPr>
          <w:highlight w:val="none"/>
        </w:rPr>
      </w:pPr>
      <w:r>
        <w:rPr>
          <w:rFonts w:hint="eastAsia"/>
          <w:highlight w:val="none"/>
        </w:rPr>
        <w:t>紫阳县富硒资源十分丰富，是目前经过科学论证和国内外专家学者</w:t>
      </w:r>
      <w:r>
        <w:rPr>
          <w:rFonts w:hint="eastAsia"/>
          <w:highlight w:val="none"/>
          <w:lang w:eastAsia="zh-CN"/>
        </w:rPr>
        <w:t>普遍</w:t>
      </w:r>
      <w:r>
        <w:rPr>
          <w:rFonts w:hint="eastAsia"/>
          <w:highlight w:val="none"/>
        </w:rPr>
        <w:t>认可的中国第一个富硒资源集中区。根据安康市富硒土壤资源普查报告显示，全县土壤硒平均含量高达0.9612mg/kg，双安镇的廖家河村土壤样本的硒含量最高值达到36.6854mg/kg。紫阳县境内有三条富硒带：一条长80公里含硒量高的黄铁矿化黑色炭质板岩，一条</w:t>
      </w:r>
      <w:r>
        <w:rPr>
          <w:rFonts w:hint="eastAsia"/>
          <w:highlight w:val="none"/>
          <w:lang w:eastAsia="zh-CN"/>
        </w:rPr>
        <w:t>长</w:t>
      </w:r>
      <w:r>
        <w:rPr>
          <w:rFonts w:hint="eastAsia"/>
          <w:highlight w:val="none"/>
        </w:rPr>
        <w:t>130公里的火山凝灰岩含硒量高的岩层</w:t>
      </w:r>
      <w:r>
        <w:rPr>
          <w:rFonts w:hint="eastAsia"/>
          <w:highlight w:val="none"/>
          <w:lang w:eastAsia="zh-CN"/>
        </w:rPr>
        <w:t>，</w:t>
      </w:r>
      <w:r>
        <w:rPr>
          <w:rFonts w:hint="eastAsia"/>
          <w:highlight w:val="none"/>
        </w:rPr>
        <w:t>一条长80公里含硒量高的石煤岩层。这些高含硒量岩层露头风化形成的特高硒土壤，构成了紫阳重要的富硒资源，是紫阳土壤、植物、生物富硒的主要来源。在富硒土壤区域的茶叶、蔬菜、粮食、生猪、水产等动植物产品，硒含量明显高于国内</w:t>
      </w:r>
      <w:r>
        <w:rPr>
          <w:rFonts w:hint="eastAsia"/>
          <w:highlight w:val="none"/>
          <w:lang w:eastAsia="zh-CN"/>
        </w:rPr>
        <w:t>其他</w:t>
      </w:r>
      <w:r>
        <w:rPr>
          <w:rFonts w:hint="eastAsia"/>
          <w:highlight w:val="none"/>
        </w:rPr>
        <w:t>地区，具备生产天然富硒产品的物质基础。紫阳地处秦岭山脉腹地，生态环境优良，文化底蕴深厚，融合紫阳特有的茶、山、水、歌、道等特色资源，是发展富硒康养旅游的绝佳境地。</w:t>
      </w:r>
    </w:p>
    <w:p>
      <w:pPr>
        <w:pStyle w:val="4"/>
        <w:bidi w:val="0"/>
        <w:rPr>
          <w:highlight w:val="none"/>
        </w:rPr>
      </w:pPr>
      <w:bookmarkStart w:id="7" w:name="_Toc17126"/>
      <w:r>
        <w:rPr>
          <w:rFonts w:hint="eastAsia"/>
          <w:highlight w:val="none"/>
        </w:rPr>
        <w:t>第</w:t>
      </w:r>
      <w:r>
        <w:rPr>
          <w:rFonts w:hint="eastAsia"/>
          <w:highlight w:val="none"/>
          <w:lang w:eastAsia="zh-CN"/>
        </w:rPr>
        <w:t>六</w:t>
      </w:r>
      <w:r>
        <w:rPr>
          <w:rFonts w:hint="eastAsia"/>
          <w:highlight w:val="none"/>
        </w:rPr>
        <w:t>节　产业基础雄厚</w:t>
      </w:r>
      <w:bookmarkEnd w:id="7"/>
    </w:p>
    <w:p>
      <w:pPr>
        <w:bidi w:val="0"/>
        <w:rPr>
          <w:highlight w:val="none"/>
        </w:rPr>
      </w:pPr>
      <w:r>
        <w:rPr>
          <w:rFonts w:hint="eastAsia"/>
          <w:highlight w:val="none"/>
        </w:rPr>
        <w:t>紫阳县硒资源开发利用起始于1980年，经过40多年的发展，紫阳富硒产业取得</w:t>
      </w:r>
      <w:r>
        <w:rPr>
          <w:rFonts w:hint="eastAsia"/>
          <w:highlight w:val="none"/>
          <w:lang w:eastAsia="zh-CN"/>
        </w:rPr>
        <w:t>了</w:t>
      </w:r>
      <w:r>
        <w:rPr>
          <w:rFonts w:hint="eastAsia"/>
          <w:highlight w:val="none"/>
        </w:rPr>
        <w:t>显著成就。</w:t>
      </w:r>
      <w:r>
        <w:rPr>
          <w:rFonts w:hint="eastAsia"/>
          <w:highlight w:val="none"/>
          <w:lang w:val="en-US" w:eastAsia="zh-CN"/>
        </w:rPr>
        <w:t>2020</w:t>
      </w:r>
      <w:r>
        <w:rPr>
          <w:rFonts w:hint="eastAsia"/>
          <w:highlight w:val="none"/>
        </w:rPr>
        <w:t>年，</w:t>
      </w:r>
      <w:r>
        <w:rPr>
          <w:highlight w:val="none"/>
        </w:rPr>
        <w:t>以富硒茶为代表的富硒产业实现了新的跨越，富硒产业综合产值</w:t>
      </w:r>
      <w:r>
        <w:rPr>
          <w:rFonts w:hint="eastAsia"/>
          <w:color w:val="000000" w:themeColor="text1"/>
          <w:highlight w:val="none"/>
          <w:lang w:val="en-US" w:eastAsia="zh-CN"/>
          <w14:textFill>
            <w14:solidFill>
              <w14:schemeClr w14:val="tx1"/>
            </w14:solidFill>
          </w14:textFill>
        </w:rPr>
        <w:t>达到75</w:t>
      </w:r>
      <w:r>
        <w:rPr>
          <w:color w:val="000000" w:themeColor="text1"/>
          <w:highlight w:val="none"/>
          <w14:textFill>
            <w14:solidFill>
              <w14:schemeClr w14:val="tx1"/>
            </w14:solidFill>
          </w14:textFill>
        </w:rPr>
        <w:t>亿元</w:t>
      </w:r>
      <w:r>
        <w:rPr>
          <w:rFonts w:hint="eastAsia"/>
          <w:color w:val="000000" w:themeColor="text1"/>
          <w:highlight w:val="none"/>
          <w14:textFill>
            <w14:solidFill>
              <w14:schemeClr w14:val="tx1"/>
            </w14:solidFill>
          </w14:textFill>
        </w:rPr>
        <w:t>，成功打造</w:t>
      </w:r>
      <w:r>
        <w:rPr>
          <w:color w:val="000000" w:themeColor="text1"/>
          <w:highlight w:val="none"/>
          <w14:textFill>
            <w14:solidFill>
              <w14:schemeClr w14:val="tx1"/>
            </w14:solidFill>
          </w14:textFill>
        </w:rPr>
        <w:t>首批全国富硒农业产业示范基地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省级龙头企业6家。</w:t>
      </w:r>
      <w:r>
        <w:rPr>
          <w:rFonts w:hint="eastAsia"/>
          <w:highlight w:val="none"/>
        </w:rPr>
        <w:t>产业基地初具规模，全县已建成茶叶、粮油、魔芋、蔬菜等富硒农产品基地30万亩，富硒生猪、富硒水产、富硒矿泉水等产业</w:t>
      </w:r>
      <w:r>
        <w:rPr>
          <w:rFonts w:hint="eastAsia"/>
          <w:highlight w:val="none"/>
          <w:lang w:eastAsia="zh-CN"/>
        </w:rPr>
        <w:t>快速</w:t>
      </w:r>
      <w:r>
        <w:rPr>
          <w:rFonts w:hint="eastAsia"/>
          <w:highlight w:val="none"/>
        </w:rPr>
        <w:t>发展。</w:t>
      </w:r>
      <w:r>
        <w:rPr>
          <w:rFonts w:hint="eastAsia"/>
          <w:highlight w:val="none"/>
          <w:lang w:eastAsia="zh-CN"/>
        </w:rPr>
        <w:t>茶园面积达</w:t>
      </w:r>
      <w:r>
        <w:rPr>
          <w:rFonts w:hint="eastAsia"/>
          <w:color w:val="000000" w:themeColor="text1"/>
          <w:highlight w:val="none"/>
          <w:lang w:val="en-US" w:eastAsia="zh-CN"/>
          <w14:textFill>
            <w14:solidFill>
              <w14:schemeClr w14:val="tx1"/>
            </w14:solidFill>
          </w14:textFill>
        </w:rPr>
        <w:t>25.28万亩，茶叶产量8805吨，综合产值近50亿元。</w:t>
      </w:r>
      <w:r>
        <w:rPr>
          <w:rFonts w:hint="eastAsia"/>
          <w:color w:val="000000" w:themeColor="text1"/>
          <w:highlight w:val="none"/>
          <w14:textFill>
            <w14:solidFill>
              <w14:schemeClr w14:val="tx1"/>
            </w14:solidFill>
          </w14:textFill>
        </w:rPr>
        <w:t>富硒园区承载能力逐步增强，按照发展“飞地经济”和县域工业集中区要求，实现“一园两区”差异化发展，整合硒谷、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飞地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两个县域工业集中区资源要素，硒谷园区于2018年11月被省政府确定为省级示范县域工业集中区。双安、蒿坪富硒产业核心集聚区初步形成，全县富硒农业科技园建设蓬勃发展，硒谷园区建设稳步推进。龙头企业不断壮大，以两个园区为载体，入园企业3</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户，</w:t>
      </w:r>
      <w:r>
        <w:rPr>
          <w:rFonts w:hint="eastAsia"/>
          <w:color w:val="000000" w:themeColor="text1"/>
          <w:highlight w:val="none"/>
          <w:lang w:val="en-US" w:eastAsia="zh-CN"/>
          <w14:textFill>
            <w14:solidFill>
              <w14:schemeClr w14:val="tx1"/>
            </w14:solidFill>
          </w14:textFill>
        </w:rPr>
        <w:t>其中“规上”工业14家，</w:t>
      </w:r>
      <w:r>
        <w:rPr>
          <w:rFonts w:hint="eastAsia"/>
          <w:color w:val="000000" w:themeColor="text1"/>
          <w:highlight w:val="none"/>
          <w:lang w:eastAsia="zh-CN"/>
          <w14:textFill>
            <w14:solidFill>
              <w14:schemeClr w14:val="tx1"/>
            </w14:solidFill>
          </w14:textFill>
        </w:rPr>
        <w:t>实现工业产值</w:t>
      </w:r>
      <w:r>
        <w:rPr>
          <w:rFonts w:hint="eastAsia"/>
          <w:color w:val="000000" w:themeColor="text1"/>
          <w:highlight w:val="none"/>
          <w:lang w:val="en-US" w:eastAsia="zh-CN"/>
          <w14:textFill>
            <w14:solidFill>
              <w14:schemeClr w14:val="tx1"/>
            </w14:solidFill>
          </w14:textFill>
        </w:rPr>
        <w:t>38.33</w:t>
      </w:r>
      <w:r>
        <w:rPr>
          <w:rFonts w:hint="eastAsia"/>
          <w:highlight w:val="none"/>
          <w:lang w:val="en-US" w:eastAsia="zh-CN"/>
        </w:rPr>
        <w:t>亿元</w:t>
      </w:r>
      <w:r>
        <w:rPr>
          <w:rFonts w:hint="eastAsia"/>
          <w:highlight w:val="none"/>
        </w:rPr>
        <w:t>。</w:t>
      </w:r>
    </w:p>
    <w:p>
      <w:pPr>
        <w:pStyle w:val="4"/>
        <w:bidi w:val="0"/>
        <w:rPr>
          <w:highlight w:val="none"/>
        </w:rPr>
      </w:pPr>
      <w:bookmarkStart w:id="8" w:name="_Toc27551"/>
      <w:r>
        <w:rPr>
          <w:rFonts w:hint="eastAsia"/>
          <w:highlight w:val="none"/>
        </w:rPr>
        <w:t>第</w:t>
      </w:r>
      <w:r>
        <w:rPr>
          <w:rFonts w:hint="eastAsia"/>
          <w:highlight w:val="none"/>
          <w:lang w:eastAsia="zh-CN"/>
        </w:rPr>
        <w:t>七</w:t>
      </w:r>
      <w:r>
        <w:rPr>
          <w:rFonts w:hint="eastAsia"/>
          <w:highlight w:val="none"/>
        </w:rPr>
        <w:t xml:space="preserve">节 </w:t>
      </w:r>
      <w:r>
        <w:rPr>
          <w:highlight w:val="none"/>
        </w:rPr>
        <w:t xml:space="preserve"> </w:t>
      </w:r>
      <w:r>
        <w:rPr>
          <w:rFonts w:hint="eastAsia"/>
          <w:highlight w:val="none"/>
        </w:rPr>
        <w:t>科技支撑强劲</w:t>
      </w:r>
      <w:bookmarkEnd w:id="8"/>
    </w:p>
    <w:p>
      <w:pPr>
        <w:bidi w:val="0"/>
        <w:rPr>
          <w:rFonts w:hint="eastAsia"/>
          <w:highlight w:val="none"/>
        </w:rPr>
      </w:pPr>
      <w:r>
        <w:rPr>
          <w:rFonts w:hint="eastAsia"/>
          <w:highlight w:val="none"/>
        </w:rPr>
        <w:t>1980年，陕西农业科学院程静毅教授带团队到紫阳县双安镇药王庙附近实地考察，发展了举世罕见的紫阳富硒核心区。此后，中国科学院雒昆利教授的科研团队在紫阳持续开展区域地质研究30余年，厘定了富硒岩石的地层层序，深入研究了硒在岩石—土壤—水—植物—人体的迁移规律，为紫阳富硒产业奠定坚实的科学基础。</w:t>
      </w:r>
    </w:p>
    <w:p>
      <w:pPr>
        <w:bidi w:val="0"/>
        <w:rPr>
          <w:highlight w:val="none"/>
        </w:rPr>
      </w:pPr>
      <w:r>
        <w:rPr>
          <w:rFonts w:hint="eastAsia"/>
          <w:highlight w:val="none"/>
        </w:rPr>
        <w:t>近年来，中国地质大学在紫阳开展农作物富集硒的机制，富硒岩石和土壤中硒的形态分析标准方法和标准物质、富硒肥等方面的研究；全县完成富硒土壤、耕地1：1000详查工作，建立富硒资源基础数据库；建立了中国紫阳硒研究与教学基地、硒资源开发研究</w:t>
      </w:r>
      <w:r>
        <w:rPr>
          <w:rFonts w:hint="eastAsia"/>
          <w:highlight w:val="none"/>
          <w:lang w:eastAsia="zh-CN"/>
        </w:rPr>
        <w:t>院</w:t>
      </w:r>
      <w:r>
        <w:rPr>
          <w:rFonts w:hint="eastAsia"/>
          <w:highlight w:val="none"/>
        </w:rPr>
        <w:t>，并成功获得C</w:t>
      </w:r>
      <w:r>
        <w:rPr>
          <w:highlight w:val="none"/>
        </w:rPr>
        <w:t>MA</w:t>
      </w:r>
      <w:r>
        <w:rPr>
          <w:rFonts w:hint="eastAsia"/>
          <w:highlight w:val="none"/>
        </w:rPr>
        <w:t>认定，标志着检验、检测条件和能力通过法定程序认定，具备面向社会开展检验、检测活动的资质与水平，在全国范围内可以为司法、行政、仲裁机关作出裁决，为社会经济、公益活动出具具有证明作用的数据结果</w:t>
      </w:r>
      <w:r>
        <w:rPr>
          <w:rFonts w:hint="eastAsia"/>
          <w:highlight w:val="none"/>
          <w:lang w:eastAsia="zh-CN"/>
        </w:rPr>
        <w:t>，</w:t>
      </w:r>
      <w:r>
        <w:rPr>
          <w:rFonts w:hint="eastAsia"/>
          <w:highlight w:val="none"/>
        </w:rPr>
        <w:t>更加有效的服务和支撑紫阳硒产业高质量发展。</w:t>
      </w:r>
    </w:p>
    <w:p>
      <w:pPr>
        <w:pStyle w:val="4"/>
        <w:bidi w:val="0"/>
        <w:rPr>
          <w:highlight w:val="none"/>
        </w:rPr>
      </w:pPr>
      <w:bookmarkStart w:id="9" w:name="_Toc2366"/>
      <w:r>
        <w:rPr>
          <w:rFonts w:hint="eastAsia"/>
          <w:highlight w:val="none"/>
        </w:rPr>
        <w:t>第</w:t>
      </w:r>
      <w:r>
        <w:rPr>
          <w:rFonts w:hint="eastAsia"/>
          <w:highlight w:val="none"/>
          <w:lang w:eastAsia="zh-CN"/>
        </w:rPr>
        <w:t>八</w:t>
      </w:r>
      <w:r>
        <w:rPr>
          <w:rFonts w:hint="eastAsia"/>
          <w:highlight w:val="none"/>
        </w:rPr>
        <w:t xml:space="preserve">节 </w:t>
      </w:r>
      <w:r>
        <w:rPr>
          <w:highlight w:val="none"/>
        </w:rPr>
        <w:t xml:space="preserve"> </w:t>
      </w:r>
      <w:r>
        <w:rPr>
          <w:rFonts w:hint="eastAsia"/>
          <w:highlight w:val="none"/>
        </w:rPr>
        <w:t>品牌打造响亮</w:t>
      </w:r>
      <w:bookmarkEnd w:id="9"/>
    </w:p>
    <w:p>
      <w:pPr>
        <w:bidi w:val="0"/>
        <w:rPr>
          <w:rFonts w:hint="eastAsia"/>
          <w:highlight w:val="none"/>
        </w:rPr>
      </w:pPr>
      <w:r>
        <w:rPr>
          <w:rFonts w:hint="eastAsia"/>
          <w:highlight w:val="none"/>
        </w:rPr>
        <w:t>“紫阳富硒茶”</w:t>
      </w:r>
      <w:r>
        <w:rPr>
          <w:rFonts w:hint="eastAsia"/>
          <w:highlight w:val="none"/>
          <w:lang w:eastAsia="zh-CN"/>
        </w:rPr>
        <w:t>驰誉神州</w:t>
      </w:r>
      <w:r>
        <w:rPr>
          <w:rFonts w:hint="eastAsia"/>
          <w:highlight w:val="none"/>
        </w:rPr>
        <w:t>，相继获得国家地理标志保护产品、国家地理证明商标、国家农产品地标、中国驰名商标、全国“十大绿茶公共品牌”等近百项殊荣，荣获“中国茶叶百强县”“中国特色农产品（紫阳富硒茶）优势区”“中国茶叶发展示范县”“中国茶旅融合竞争力全国十强县”“中国最美茶乡”等称号，入选全国商标富农和运用地理标志商标精准扶贫十大典型案例，荣获三秦质量之光“最受老百姓喜爱的品牌”。紫阳富硒茶品牌价值达62.22亿元。2020年，县政府领导</w:t>
      </w:r>
      <w:r>
        <w:rPr>
          <w:rFonts w:hint="eastAsia"/>
          <w:highlight w:val="none"/>
          <w:lang w:eastAsia="zh-CN"/>
        </w:rPr>
        <w:t>网上直播带货，</w:t>
      </w:r>
      <w:r>
        <w:rPr>
          <w:rFonts w:hint="eastAsia"/>
          <w:highlight w:val="none"/>
        </w:rPr>
        <w:t>向全国推介紫阳富硒茶，扩大紫阳富硒茶的外界影响力和市场认可度，积极与京东、建行善融、国家扶贫网等知名电商平台合作，拓展茶叶等特色农产品销售渠道，实现网销带动增收，</w:t>
      </w:r>
      <w:r>
        <w:rPr>
          <w:rFonts w:hint="eastAsia"/>
          <w:highlight w:val="none"/>
          <w:lang w:eastAsia="zh-CN"/>
        </w:rPr>
        <w:t>拓展</w:t>
      </w:r>
      <w:r>
        <w:rPr>
          <w:rFonts w:hint="eastAsia"/>
          <w:highlight w:val="none"/>
        </w:rPr>
        <w:t>了紫阳富硒茶营销新模式。在中国茶业百强县，紫阳连续三年上榜，2020年位列全国第35位，荣获2020中国产业互联网区域公用品牌优势县称号。</w:t>
      </w:r>
    </w:p>
    <w:p>
      <w:pPr>
        <w:kinsoku/>
        <w:wordWrap/>
        <w:overflowPunct/>
        <w:topLinePunct w:val="0"/>
        <w:autoSpaceDE/>
        <w:autoSpaceDN/>
        <w:bidi w:val="0"/>
        <w:spacing w:line="580" w:lineRule="exact"/>
        <w:textAlignment w:val="auto"/>
        <w:rPr>
          <w:rFonts w:hint="eastAsia" w:ascii="Times New Roman" w:hAnsi="Times New Roman" w:eastAsia="仿宋-GB2312" w:cs="Times New Roman"/>
          <w:color w:val="000000" w:themeColor="text1"/>
          <w:sz w:val="32"/>
          <w:szCs w:val="32"/>
          <w:highlight w:val="none"/>
          <w14:textFill>
            <w14:solidFill>
              <w14:schemeClr w14:val="tx1"/>
            </w14:solidFill>
          </w14:textFill>
        </w:rPr>
      </w:pPr>
    </w:p>
    <w:p>
      <w:pPr>
        <w:rPr>
          <w:rFonts w:hint="eastAsia" w:ascii="黑体" w:hAnsi="黑体" w:eastAsia="黑体" w:cs="黑体"/>
          <w:b/>
          <w:bCs/>
          <w:color w:val="000000" w:themeColor="text1"/>
          <w:kern w:val="0"/>
          <w:sz w:val="36"/>
          <w:szCs w:val="36"/>
          <w:highlight w:val="none"/>
          <w14:textFill>
            <w14:solidFill>
              <w14:schemeClr w14:val="tx1"/>
            </w14:solidFill>
          </w14:textFill>
        </w:rPr>
      </w:pPr>
      <w:r>
        <w:rPr>
          <w:rFonts w:hint="eastAsia" w:ascii="黑体" w:hAnsi="黑体" w:eastAsia="黑体" w:cs="黑体"/>
          <w:b/>
          <w:bCs/>
          <w:color w:val="000000" w:themeColor="text1"/>
          <w:kern w:val="0"/>
          <w:sz w:val="36"/>
          <w:szCs w:val="36"/>
          <w:highlight w:val="none"/>
          <w14:textFill>
            <w14:solidFill>
              <w14:schemeClr w14:val="tx1"/>
            </w14:solidFill>
          </w14:textFill>
        </w:rPr>
        <w:br w:type="page"/>
      </w:r>
    </w:p>
    <w:p>
      <w:pPr>
        <w:pStyle w:val="11"/>
        <w:bidi w:val="0"/>
        <w:outlineLvl w:val="0"/>
        <w:rPr>
          <w:highlight w:val="none"/>
        </w:rPr>
      </w:pPr>
      <w:bookmarkStart w:id="10" w:name="_Toc11054"/>
      <w:r>
        <w:rPr>
          <w:rFonts w:hint="eastAsia"/>
          <w:highlight w:val="none"/>
        </w:rPr>
        <w:t>第三章</w:t>
      </w:r>
      <w:r>
        <w:rPr>
          <w:rFonts w:hint="eastAsia"/>
          <w:highlight w:val="none"/>
          <w:lang w:eastAsia="zh-CN"/>
        </w:rPr>
        <w:t>　</w:t>
      </w:r>
      <w:r>
        <w:rPr>
          <w:rFonts w:hint="eastAsia"/>
          <w:highlight w:val="none"/>
        </w:rPr>
        <w:t>面临形势</w:t>
      </w:r>
      <w:bookmarkEnd w:id="10"/>
    </w:p>
    <w:p>
      <w:pPr>
        <w:pStyle w:val="4"/>
        <w:bidi w:val="0"/>
        <w:rPr>
          <w:highlight w:val="none"/>
        </w:rPr>
      </w:pPr>
      <w:bookmarkStart w:id="11" w:name="_Toc20063"/>
      <w:r>
        <w:rPr>
          <w:rFonts w:hint="eastAsia"/>
          <w:highlight w:val="none"/>
          <w:lang w:eastAsia="zh-CN"/>
        </w:rPr>
        <w:t>第九</w:t>
      </w:r>
      <w:r>
        <w:rPr>
          <w:rFonts w:hint="eastAsia"/>
          <w:highlight w:val="none"/>
          <w:lang w:val="en-US" w:eastAsia="zh-CN"/>
        </w:rPr>
        <w:t>节</w:t>
      </w:r>
      <w:r>
        <w:rPr>
          <w:rFonts w:hint="eastAsia"/>
          <w:highlight w:val="none"/>
          <w:lang w:eastAsia="zh-CN"/>
        </w:rPr>
        <w:t>　</w:t>
      </w:r>
      <w:r>
        <w:rPr>
          <w:rFonts w:hint="eastAsia"/>
          <w:highlight w:val="none"/>
        </w:rPr>
        <w:t>发展机遇</w:t>
      </w:r>
      <w:bookmarkEnd w:id="11"/>
    </w:p>
    <w:p>
      <w:pPr>
        <w:bidi w:val="0"/>
        <w:rPr>
          <w:rFonts w:hint="eastAsia"/>
          <w:highlight w:val="none"/>
        </w:rPr>
      </w:pPr>
      <w:r>
        <w:rPr>
          <w:rFonts w:hint="eastAsia"/>
          <w:highlight w:val="none"/>
        </w:rPr>
        <w:t>我国已进入创新驱动的高质量发展新时代，要素区域聚集模式和构架正在发生深刻调整，创新资源配置在新技术推动下正在重新布局，为紫阳富硒产业发展提供了良好机遇。</w:t>
      </w:r>
    </w:p>
    <w:p>
      <w:pPr>
        <w:bidi w:val="0"/>
        <w:rPr>
          <w:highlight w:val="none"/>
        </w:rPr>
      </w:pPr>
      <w:r>
        <w:rPr>
          <w:rFonts w:hint="eastAsia"/>
          <w:b/>
          <w:bCs/>
          <w:highlight w:val="none"/>
        </w:rPr>
        <w:t>⒈</w:t>
      </w:r>
      <w:r>
        <w:rPr>
          <w:rFonts w:hint="eastAsia" w:ascii="楷体_GB2312" w:hAnsi="楷体_GB2312" w:eastAsia="楷体_GB2312" w:cs="楷体_GB2312"/>
          <w:b/>
          <w:bCs/>
          <w:sz w:val="32"/>
          <w:szCs w:val="32"/>
          <w:highlight w:val="none"/>
          <w:lang w:eastAsia="zh-CN"/>
        </w:rPr>
        <w:t>国家、省市战略支持为富硒产业营造发展环境</w:t>
      </w:r>
      <w:r>
        <w:rPr>
          <w:rFonts w:hint="eastAsia"/>
          <w:b/>
          <w:bCs/>
          <w:highlight w:val="none"/>
          <w:lang w:eastAsia="zh-CN"/>
        </w:rPr>
        <w:t>。</w:t>
      </w:r>
      <w:r>
        <w:rPr>
          <w:rFonts w:hint="eastAsia"/>
          <w:highlight w:val="none"/>
        </w:rPr>
        <w:t>习近平总书记先后5次提到富硒产业，特别是“将富硒资源转化为富硒产业”的重要指示，为紫阳县富硒产业发展指明了方向。省委、省政府高度重视富硒产业发展，将富硒食品作为“十四五”期间重要的工作内容；市委市政府将富硒产业列为“立市产业”，将紫阳定位为“中国硒谷”核心区，在紫阳富硒产业集群发展、重大项目建设、科技力量整合、财政资金投入等方面将</w:t>
      </w:r>
      <w:r>
        <w:rPr>
          <w:rFonts w:hint="eastAsia"/>
          <w:highlight w:val="none"/>
          <w:lang w:eastAsia="zh-CN"/>
        </w:rPr>
        <w:t>给予</w:t>
      </w:r>
      <w:r>
        <w:rPr>
          <w:rFonts w:hint="eastAsia"/>
          <w:highlight w:val="none"/>
        </w:rPr>
        <w:t>重点支持。市政府组建了安康市富硒产业发展办公室，形成了统筹推进富硒产业发展的工作机制，为富硒产业发展提供了</w:t>
      </w:r>
      <w:r>
        <w:rPr>
          <w:rFonts w:hint="eastAsia"/>
          <w:highlight w:val="none"/>
          <w:lang w:eastAsia="zh-CN"/>
        </w:rPr>
        <w:t>组织</w:t>
      </w:r>
      <w:r>
        <w:rPr>
          <w:rFonts w:hint="eastAsia"/>
          <w:highlight w:val="none"/>
        </w:rPr>
        <w:t>保障。</w:t>
      </w:r>
    </w:p>
    <w:p>
      <w:pPr>
        <w:bidi w:val="0"/>
        <w:rPr>
          <w:rFonts w:hint="eastAsia"/>
          <w:highlight w:val="none"/>
        </w:rPr>
      </w:pPr>
      <w:r>
        <w:rPr>
          <w:rFonts w:hint="eastAsia"/>
          <w:b/>
          <w:bCs/>
          <w:highlight w:val="none"/>
        </w:rPr>
        <w:t>⒉国家创新驱动为富硒产业提供发展动力</w:t>
      </w:r>
      <w:r>
        <w:rPr>
          <w:rFonts w:hint="eastAsia"/>
          <w:b/>
          <w:bCs/>
          <w:highlight w:val="none"/>
          <w:lang w:eastAsia="zh-CN"/>
        </w:rPr>
        <w:t>。</w:t>
      </w:r>
      <w:r>
        <w:rPr>
          <w:rFonts w:hint="eastAsia"/>
          <w:highlight w:val="none"/>
        </w:rPr>
        <w:t>2016年，国务院发布了《国家创新驱动发展战略纲要》，开启了创新驱动发展的新征程，为经济社会发展注入了新动力，为农业产业发展带来了新机遇。紫阳县作为“科技创新驱动县域经济发展示范县”，更要抓住科技创新驱动发展机遇。2018年，国务院颁布《“健康中国2030”规划纲要》，把大健康产业上升到国家战略，对健康中国建设、提高人民健康水平提出了明确的要求。</w:t>
      </w:r>
    </w:p>
    <w:p>
      <w:pPr>
        <w:bidi w:val="0"/>
        <w:rPr>
          <w:highlight w:val="none"/>
        </w:rPr>
      </w:pPr>
      <w:r>
        <w:rPr>
          <w:rFonts w:hint="eastAsia"/>
          <w:highlight w:val="none"/>
        </w:rPr>
        <w:t>硒作为人体必需微量元素，具有抗氧化、防衰老、增强免疫力等多种生命功能，被誉为“生命火种”“抗癌之王”等，科学补硒是提升缺席人群健康水平的通行做法，国家创新驱动战略和健康中国建设必将对富硒产业发展起到推手作用。</w:t>
      </w:r>
    </w:p>
    <w:p>
      <w:pPr>
        <w:bidi w:val="0"/>
        <w:rPr>
          <w:rFonts w:hint="eastAsia"/>
          <w:highlight w:val="none"/>
        </w:rPr>
      </w:pPr>
      <w:r>
        <w:rPr>
          <w:rFonts w:hint="eastAsia"/>
          <w:b/>
          <w:bCs/>
          <w:highlight w:val="none"/>
        </w:rPr>
        <w:t>⒊</w:t>
      </w:r>
      <w:r>
        <w:rPr>
          <w:rFonts w:hint="eastAsia" w:ascii="楷体_GB2312" w:hAnsi="楷体_GB2312" w:eastAsia="楷体_GB2312" w:cs="楷体_GB2312"/>
          <w:b/>
          <w:bCs/>
          <w:sz w:val="32"/>
          <w:szCs w:val="32"/>
          <w:highlight w:val="none"/>
          <w:lang w:eastAsia="zh-CN"/>
        </w:rPr>
        <w:t>功能农业跨越发展为富硒产业带来无限活力</w:t>
      </w:r>
      <w:r>
        <w:rPr>
          <w:rFonts w:hint="eastAsia"/>
          <w:b/>
          <w:bCs/>
          <w:highlight w:val="none"/>
          <w:lang w:eastAsia="zh-CN"/>
        </w:rPr>
        <w:t>。</w:t>
      </w:r>
      <w:r>
        <w:rPr>
          <w:rFonts w:hint="eastAsia"/>
          <w:highlight w:val="none"/>
        </w:rPr>
        <w:t>功能农业是由中国科学院赵其国院士于2008年首次提出的农业新领域，具体指通过生物营养强化技术生产出具有健康改善功能的农产品，是世界农业发展的新趋势，富硒产业是功能农业重要的组成部分。2019年11月，以“功能农业关键问题与发展战略”为主题的香山科学会议第669次学术讨论会成功举办，会议围绕功能农业与农学、功能农业与地球科学、功能农业与“健康中国”和“乡村振兴”战略等中心议题进行了深入讨论，旨在推动功能农业跨越式发展。</w:t>
      </w:r>
    </w:p>
    <w:p>
      <w:pPr>
        <w:bidi w:val="0"/>
        <w:rPr>
          <w:rFonts w:hint="eastAsia"/>
          <w:highlight w:val="none"/>
        </w:rPr>
      </w:pPr>
      <w:r>
        <w:rPr>
          <w:rFonts w:hint="eastAsia"/>
          <w:highlight w:val="none"/>
        </w:rPr>
        <w:t>2020年8月11日，国家功能农业科技创新联盟在南京国家农创园正式成立，联盟旨在打造功能农业“政产学研用”融合创新平台；2020年8月25日，“国家粮食产业（功能稻米）技术创新中心”正式揭牌，旨在解决功能稻米产业重点领域的基础、前沿和共性关键问题。2020年12月18日，“首届全国功能农业发展大会暨南京国家农创园功能农业产业招商会推介会”在南京国家农创园举办，旨在打造我国功能农业最具前瞻性价值交流平台。</w:t>
      </w:r>
    </w:p>
    <w:p>
      <w:pPr>
        <w:bidi w:val="0"/>
        <w:rPr>
          <w:highlight w:val="none"/>
        </w:rPr>
      </w:pPr>
      <w:r>
        <w:rPr>
          <w:rFonts w:hint="eastAsia"/>
          <w:highlight w:val="none"/>
        </w:rPr>
        <w:t>功能农业是世界农业发展的新趋势，是解决全球“隐性饥饿”问题的“中国方案”，过去10多年，已经实现了从0到1的突破，即将迎来从1到100的跨越式发展。</w:t>
      </w:r>
    </w:p>
    <w:p>
      <w:pPr>
        <w:bidi w:val="0"/>
        <w:rPr>
          <w:color w:val="000000" w:themeColor="text1"/>
          <w:highlight w:val="none"/>
          <w14:textFill>
            <w14:solidFill>
              <w14:schemeClr w14:val="tx1"/>
            </w14:solidFill>
          </w14:textFill>
        </w:rPr>
      </w:pPr>
      <w:r>
        <w:rPr>
          <w:rFonts w:hint="eastAsia"/>
          <w:b/>
          <w:bCs/>
          <w:highlight w:val="none"/>
        </w:rPr>
        <w:t>⒋</w:t>
      </w:r>
      <w:r>
        <w:rPr>
          <w:rFonts w:hint="eastAsia" w:ascii="楷体_GB2312" w:hAnsi="楷体_GB2312" w:eastAsia="楷体_GB2312" w:cs="楷体_GB2312"/>
          <w:b/>
          <w:bCs/>
          <w:sz w:val="32"/>
          <w:szCs w:val="32"/>
          <w:highlight w:val="none"/>
          <w:lang w:eastAsia="zh-CN"/>
        </w:rPr>
        <w:t>富硒标准体系为富硒产业发展提供坚实保障</w:t>
      </w:r>
      <w:r>
        <w:rPr>
          <w:rFonts w:hint="eastAsia"/>
          <w:b/>
          <w:bCs/>
          <w:highlight w:val="none"/>
          <w:lang w:eastAsia="zh-CN"/>
        </w:rPr>
        <w:t>。</w:t>
      </w:r>
      <w:r>
        <w:rPr>
          <w:rFonts w:hint="eastAsia"/>
          <w:highlight w:val="none"/>
        </w:rPr>
        <w:t>我国</w:t>
      </w:r>
      <w:r>
        <w:rPr>
          <w:highlight w:val="none"/>
        </w:rPr>
        <w:t>颁布的硒的相关标准很多，其中涉及国家标准24项</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地方标准168项</w:t>
      </w:r>
      <w:r>
        <w:rPr>
          <w:color w:val="000000" w:themeColor="text1"/>
          <w:highlight w:val="none"/>
          <w14:textFill>
            <w14:solidFill>
              <w14:schemeClr w14:val="tx1"/>
            </w14:solidFill>
          </w14:textFill>
        </w:rPr>
        <w:t>，大部分为各种产品的检测方法。直接富硒产品国家标准6项，集中在食品营养强化，唯一与农产品相关的是GB/T 22499-2008《富硒稻谷》，为推荐性标准</w:t>
      </w:r>
      <w:r>
        <w:rPr>
          <w:rFonts w:hint="eastAsia"/>
          <w:color w:val="000000" w:themeColor="text1"/>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Style w:val="17"/>
          <w:rFonts w:hint="eastAsia"/>
          <w:color w:val="000000" w:themeColor="text1"/>
          <w:highlight w:val="none"/>
          <w14:textFill>
            <w14:solidFill>
              <w14:schemeClr w14:val="tx1"/>
            </w14:solidFill>
          </w14:textFill>
        </w:rPr>
      </w:pPr>
      <w:r>
        <w:rPr>
          <w:rStyle w:val="17"/>
          <w:rFonts w:hint="eastAsia" w:ascii="宋体" w:hAnsi="宋体" w:eastAsia="宋体" w:cs="宋体"/>
          <w:color w:val="000000" w:themeColor="text1"/>
          <w:sz w:val="28"/>
          <w:szCs w:val="28"/>
          <w:highlight w:val="none"/>
          <w14:textFill>
            <w14:solidFill>
              <w14:schemeClr w14:val="tx1"/>
            </w14:solidFill>
          </w14:textFill>
        </w:rPr>
        <w:t>表1　富硒产品的直接国家标准</w:t>
      </w:r>
    </w:p>
    <w:tbl>
      <w:tblPr>
        <w:tblStyle w:val="14"/>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3837"/>
        <w:gridCol w:w="4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572" w:type="dxa"/>
            <w:vAlign w:val="center"/>
          </w:tcPr>
          <w:p>
            <w:pPr>
              <w:pStyle w:val="8"/>
              <w:keepNext w:val="0"/>
              <w:keepLines w:val="0"/>
              <w:pageBreakBefore w:val="0"/>
              <w:widowControl w:val="0"/>
              <w:kinsoku/>
              <w:wordWrap/>
              <w:overflowPunct/>
              <w:topLinePunct w:val="0"/>
              <w:autoSpaceDE/>
              <w:autoSpaceDN/>
              <w:bidi w:val="0"/>
              <w:adjustRightInd/>
              <w:snapToGrid w:val="0"/>
              <w:ind w:left="-285" w:leftChars="-89" w:right="-285" w:rightChars="-89"/>
              <w:textAlignment w:val="auto"/>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序号</w:t>
            </w:r>
          </w:p>
        </w:tc>
        <w:tc>
          <w:tcPr>
            <w:tcW w:w="3837" w:type="dxa"/>
            <w:vAlign w:val="center"/>
          </w:tcPr>
          <w:p>
            <w:pPr>
              <w:pStyle w:val="8"/>
              <w:bidi w:val="0"/>
              <w:rPr>
                <w:b/>
                <w:bCs/>
                <w:color w:val="000000" w:themeColor="text1"/>
                <w:sz w:val="24"/>
                <w:szCs w:val="20"/>
                <w:highlight w:val="none"/>
                <w14:textFill>
                  <w14:solidFill>
                    <w14:schemeClr w14:val="tx1"/>
                  </w14:solidFill>
                </w14:textFill>
              </w:rPr>
            </w:pPr>
            <w:r>
              <w:rPr>
                <w:b/>
                <w:bCs/>
                <w:color w:val="000000" w:themeColor="text1"/>
                <w:sz w:val="24"/>
                <w:szCs w:val="20"/>
                <w:highlight w:val="none"/>
                <w14:textFill>
                  <w14:solidFill>
                    <w14:schemeClr w14:val="tx1"/>
                  </w14:solidFill>
                </w14:textFill>
              </w:rPr>
              <w:t>标准名称</w:t>
            </w:r>
          </w:p>
        </w:tc>
        <w:tc>
          <w:tcPr>
            <w:tcW w:w="4119" w:type="dxa"/>
            <w:vAlign w:val="center"/>
          </w:tcPr>
          <w:p>
            <w:pPr>
              <w:pStyle w:val="8"/>
              <w:bidi w:val="0"/>
              <w:rPr>
                <w:b/>
                <w:bCs/>
                <w:color w:val="000000" w:themeColor="text1"/>
                <w:sz w:val="24"/>
                <w:szCs w:val="20"/>
                <w:highlight w:val="none"/>
                <w14:textFill>
                  <w14:solidFill>
                    <w14:schemeClr w14:val="tx1"/>
                  </w14:solidFill>
                </w14:textFill>
              </w:rPr>
            </w:pPr>
            <w:r>
              <w:rPr>
                <w:b/>
                <w:bCs/>
                <w:color w:val="000000" w:themeColor="text1"/>
                <w:sz w:val="24"/>
                <w:szCs w:val="20"/>
                <w:highlight w:val="none"/>
                <w14:textFill>
                  <w14:solidFill>
                    <w14:schemeClr w14:val="tx1"/>
                  </w14:solidFill>
                </w14:textFill>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572" w:type="dxa"/>
            <w:vAlign w:val="center"/>
          </w:tcPr>
          <w:p>
            <w:pPr>
              <w:pStyle w:val="8"/>
              <w:bidi w:val="0"/>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1</w:t>
            </w:r>
          </w:p>
        </w:tc>
        <w:tc>
          <w:tcPr>
            <w:tcW w:w="3837" w:type="dxa"/>
            <w:vAlign w:val="center"/>
          </w:tcPr>
          <w:p>
            <w:pPr>
              <w:pStyle w:val="8"/>
              <w:bidi w:val="0"/>
              <w:jc w:val="both"/>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GB/T 22499-2008 富硒稻谷</w:t>
            </w:r>
          </w:p>
        </w:tc>
        <w:tc>
          <w:tcPr>
            <w:tcW w:w="4119" w:type="dxa"/>
          </w:tcPr>
          <w:p>
            <w:pPr>
              <w:pStyle w:val="8"/>
              <w:bidi w:val="0"/>
              <w:jc w:val="both"/>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规定了富硒稻谷的推荐性硒含量范围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572" w:type="dxa"/>
            <w:vAlign w:val="center"/>
          </w:tcPr>
          <w:p>
            <w:pPr>
              <w:pStyle w:val="8"/>
              <w:bidi w:val="0"/>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2</w:t>
            </w:r>
          </w:p>
        </w:tc>
        <w:tc>
          <w:tcPr>
            <w:tcW w:w="3837" w:type="dxa"/>
            <w:vAlign w:val="center"/>
          </w:tcPr>
          <w:p>
            <w:pPr>
              <w:pStyle w:val="8"/>
              <w:bidi w:val="0"/>
              <w:jc w:val="both"/>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GB 1903.9-2015 食品安全国家标准 食品营养强化剂 亚硒酸钠</w:t>
            </w:r>
          </w:p>
        </w:tc>
        <w:tc>
          <w:tcPr>
            <w:tcW w:w="4119" w:type="dxa"/>
          </w:tcPr>
          <w:p>
            <w:pPr>
              <w:pStyle w:val="8"/>
              <w:bidi w:val="0"/>
              <w:jc w:val="both"/>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定义了亚硒酸钠作为食品营养强化剂的产品标准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572" w:type="dxa"/>
            <w:vAlign w:val="center"/>
          </w:tcPr>
          <w:p>
            <w:pPr>
              <w:pStyle w:val="8"/>
              <w:bidi w:val="0"/>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3</w:t>
            </w:r>
          </w:p>
        </w:tc>
        <w:tc>
          <w:tcPr>
            <w:tcW w:w="3837" w:type="dxa"/>
            <w:vAlign w:val="center"/>
          </w:tcPr>
          <w:p>
            <w:pPr>
              <w:pStyle w:val="8"/>
              <w:bidi w:val="0"/>
              <w:jc w:val="both"/>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GB 1903.12-2015食品营养强化剂 L-硒-甲基硒代半胱氨酸</w:t>
            </w:r>
          </w:p>
        </w:tc>
        <w:tc>
          <w:tcPr>
            <w:tcW w:w="4119" w:type="dxa"/>
          </w:tcPr>
          <w:p>
            <w:pPr>
              <w:pStyle w:val="8"/>
              <w:bidi w:val="0"/>
              <w:jc w:val="both"/>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定义了L-硒-甲基硒代半胱氨酸作为食品营养强化剂的标准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Align w:val="center"/>
          </w:tcPr>
          <w:p>
            <w:pPr>
              <w:pStyle w:val="8"/>
              <w:bidi w:val="0"/>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4</w:t>
            </w:r>
          </w:p>
        </w:tc>
        <w:tc>
          <w:tcPr>
            <w:tcW w:w="3837" w:type="dxa"/>
          </w:tcPr>
          <w:p>
            <w:pPr>
              <w:pStyle w:val="8"/>
              <w:bidi w:val="0"/>
              <w:jc w:val="both"/>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GB 1903.21-2016 食品安全国家标准 食品营养强化剂 富硒酵母</w:t>
            </w:r>
          </w:p>
        </w:tc>
        <w:tc>
          <w:tcPr>
            <w:tcW w:w="4119" w:type="dxa"/>
          </w:tcPr>
          <w:p>
            <w:pPr>
              <w:pStyle w:val="8"/>
              <w:bidi w:val="0"/>
              <w:jc w:val="both"/>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定义了富硒酵母作为食品营养强化剂的产品标准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572" w:type="dxa"/>
            <w:vAlign w:val="center"/>
          </w:tcPr>
          <w:p>
            <w:pPr>
              <w:pStyle w:val="8"/>
              <w:bidi w:val="0"/>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5</w:t>
            </w:r>
          </w:p>
        </w:tc>
        <w:tc>
          <w:tcPr>
            <w:tcW w:w="3837" w:type="dxa"/>
          </w:tcPr>
          <w:p>
            <w:pPr>
              <w:pStyle w:val="8"/>
              <w:bidi w:val="0"/>
              <w:jc w:val="both"/>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GB 1903.22-2016 食品安全国家标准 食品营养强化剂 富硒食用菌粉</w:t>
            </w:r>
          </w:p>
        </w:tc>
        <w:tc>
          <w:tcPr>
            <w:tcW w:w="4119" w:type="dxa"/>
          </w:tcPr>
          <w:p>
            <w:pPr>
              <w:pStyle w:val="8"/>
              <w:bidi w:val="0"/>
              <w:jc w:val="both"/>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定义了富硒食用菌粉作为食品营养强化剂的产品标准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Align w:val="center"/>
          </w:tcPr>
          <w:p>
            <w:pPr>
              <w:pStyle w:val="8"/>
              <w:bidi w:val="0"/>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6</w:t>
            </w:r>
          </w:p>
        </w:tc>
        <w:tc>
          <w:tcPr>
            <w:tcW w:w="3837" w:type="dxa"/>
          </w:tcPr>
          <w:p>
            <w:pPr>
              <w:pStyle w:val="8"/>
              <w:bidi w:val="0"/>
              <w:jc w:val="both"/>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GB 1903.23-2016 食品安全国家标准 食品营养强化剂 硒化卡拉胶</w:t>
            </w:r>
          </w:p>
        </w:tc>
        <w:tc>
          <w:tcPr>
            <w:tcW w:w="4119" w:type="dxa"/>
          </w:tcPr>
          <w:p>
            <w:pPr>
              <w:pStyle w:val="8"/>
              <w:bidi w:val="0"/>
              <w:jc w:val="both"/>
              <w:rPr>
                <w:rFonts w:hint="eastAsia" w:ascii="仿宋_GB2312" w:hAnsi="仿宋_GB2312" w:eastAsia="仿宋_GB2312" w:cs="仿宋_GB2312"/>
                <w:color w:val="000000" w:themeColor="text1"/>
                <w:sz w:val="24"/>
                <w:szCs w:val="20"/>
                <w:highlight w:val="none"/>
                <w14:textFill>
                  <w14:solidFill>
                    <w14:schemeClr w14:val="tx1"/>
                  </w14:solidFill>
                </w14:textFill>
              </w:rPr>
            </w:pPr>
            <w:r>
              <w:rPr>
                <w:rFonts w:hint="eastAsia" w:ascii="仿宋_GB2312" w:hAnsi="仿宋_GB2312" w:eastAsia="仿宋_GB2312" w:cs="仿宋_GB2312"/>
                <w:color w:val="000000" w:themeColor="text1"/>
                <w:sz w:val="24"/>
                <w:szCs w:val="20"/>
                <w:highlight w:val="none"/>
                <w14:textFill>
                  <w14:solidFill>
                    <w14:schemeClr w14:val="tx1"/>
                  </w14:solidFill>
                </w14:textFill>
              </w:rPr>
              <w:t>定义了硒化卡拉胶作为食品营养强化剂的产品标准</w:t>
            </w:r>
          </w:p>
        </w:tc>
      </w:tr>
    </w:tbl>
    <w:p>
      <w:pPr>
        <w:bidi w:val="0"/>
        <w:rPr>
          <w:rFonts w:hint="eastAsia"/>
          <w:highlight w:val="none"/>
          <w:lang w:eastAsia="zh-CN"/>
        </w:rPr>
      </w:pPr>
      <w:r>
        <w:rPr>
          <w:highlight w:val="none"/>
        </w:rPr>
        <w:t>涉硒行业标准49项，大部分为硒检测方法标准、有色金属行业相关标准。直接富硒产品行业标准6项，现行有效的5项集中在富硒农产品方面，均为行业推荐性</w:t>
      </w:r>
      <w:r>
        <w:rPr>
          <w:rFonts w:hint="eastAsia"/>
          <w:highlight w:val="none"/>
          <w:lang w:eastAsia="zh-CN"/>
        </w:rPr>
        <w:t>标准。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Style w:val="17"/>
          <w:rFonts w:hint="eastAsia" w:ascii="宋体" w:hAnsi="宋体" w:eastAsia="宋体" w:cs="宋体"/>
          <w:b/>
          <w:bCs w:val="0"/>
          <w:sz w:val="28"/>
          <w:szCs w:val="28"/>
          <w:highlight w:val="none"/>
        </w:rPr>
      </w:pPr>
      <w:r>
        <w:rPr>
          <w:rStyle w:val="17"/>
          <w:rFonts w:hint="eastAsia" w:ascii="宋体" w:hAnsi="宋体" w:eastAsia="宋体" w:cs="宋体"/>
          <w:b/>
          <w:bCs w:val="0"/>
          <w:sz w:val="28"/>
          <w:szCs w:val="28"/>
          <w:highlight w:val="none"/>
        </w:rPr>
        <w:t>表2　富硒产品的直接行业标准</w:t>
      </w:r>
    </w:p>
    <w:tbl>
      <w:tblPr>
        <w:tblStyle w:val="14"/>
        <w:tblW w:w="88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3383"/>
        <w:gridCol w:w="4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81" w:type="dxa"/>
            <w:vAlign w:val="center"/>
          </w:tcPr>
          <w:p>
            <w:pPr>
              <w:pStyle w:val="8"/>
              <w:keepNext w:val="0"/>
              <w:keepLines w:val="0"/>
              <w:pageBreakBefore w:val="0"/>
              <w:widowControl w:val="0"/>
              <w:kinsoku/>
              <w:wordWrap/>
              <w:overflowPunct/>
              <w:topLinePunct w:val="0"/>
              <w:autoSpaceDE/>
              <w:autoSpaceDN/>
              <w:bidi w:val="0"/>
              <w:adjustRightInd/>
              <w:snapToGrid w:val="0"/>
              <w:ind w:left="-128" w:leftChars="-40" w:right="-128" w:rightChars="-40"/>
              <w:textAlignment w:val="auto"/>
              <w:rPr>
                <w:b/>
                <w:bCs/>
                <w:highlight w:val="none"/>
              </w:rPr>
            </w:pPr>
            <w:r>
              <w:rPr>
                <w:b/>
                <w:bCs/>
                <w:highlight w:val="none"/>
              </w:rPr>
              <w:t>序号</w:t>
            </w:r>
          </w:p>
        </w:tc>
        <w:tc>
          <w:tcPr>
            <w:tcW w:w="3383" w:type="dxa"/>
            <w:vAlign w:val="center"/>
          </w:tcPr>
          <w:p>
            <w:pPr>
              <w:pStyle w:val="8"/>
              <w:bidi w:val="0"/>
              <w:rPr>
                <w:b/>
                <w:bCs/>
                <w:highlight w:val="none"/>
              </w:rPr>
            </w:pPr>
            <w:r>
              <w:rPr>
                <w:b/>
                <w:bCs/>
                <w:highlight w:val="none"/>
              </w:rPr>
              <w:t>标准名称</w:t>
            </w:r>
          </w:p>
        </w:tc>
        <w:tc>
          <w:tcPr>
            <w:tcW w:w="4874" w:type="dxa"/>
            <w:vAlign w:val="center"/>
          </w:tcPr>
          <w:p>
            <w:pPr>
              <w:pStyle w:val="8"/>
              <w:bidi w:val="0"/>
              <w:rPr>
                <w:b/>
                <w:bCs/>
                <w:highlight w:val="none"/>
              </w:rPr>
            </w:pPr>
            <w:r>
              <w:rPr>
                <w:b/>
                <w:bCs/>
                <w:highlight w:val="none"/>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81" w:type="dxa"/>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p>
        </w:tc>
        <w:tc>
          <w:tcPr>
            <w:tcW w:w="3383" w:type="dxa"/>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NY T 600-2002 富硒茶</w:t>
            </w:r>
          </w:p>
        </w:tc>
        <w:tc>
          <w:tcPr>
            <w:tcW w:w="4874" w:type="dxa"/>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定义了富硒茶的推荐性硒含量范围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581" w:type="dxa"/>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p>
        </w:tc>
        <w:tc>
          <w:tcPr>
            <w:tcW w:w="3383" w:type="dxa"/>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GH/T 1090-2014富硒茶</w:t>
            </w:r>
          </w:p>
        </w:tc>
        <w:tc>
          <w:tcPr>
            <w:tcW w:w="4874" w:type="dxa"/>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定义了富硒茶的推荐性硒含量范围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581" w:type="dxa"/>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p>
        </w:tc>
        <w:tc>
          <w:tcPr>
            <w:tcW w:w="3383" w:type="dxa"/>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NY/T 3116-2017 富硒马铃薯</w:t>
            </w:r>
          </w:p>
        </w:tc>
        <w:tc>
          <w:tcPr>
            <w:tcW w:w="4874" w:type="dxa"/>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定义了富硒马铃薯的推荐性硒含量范围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581" w:type="dxa"/>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w:t>
            </w:r>
          </w:p>
        </w:tc>
        <w:tc>
          <w:tcPr>
            <w:tcW w:w="3383" w:type="dxa"/>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NY/T 3115-2017 富硒大蒜</w:t>
            </w:r>
          </w:p>
        </w:tc>
        <w:tc>
          <w:tcPr>
            <w:tcW w:w="4874" w:type="dxa"/>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定义了富硒大蒜的推荐性硒含量范围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581" w:type="dxa"/>
            <w:vAlign w:val="center"/>
          </w:tcPr>
          <w:p>
            <w:pPr>
              <w:pStyle w:val="8"/>
              <w:bidi w:val="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w:t>
            </w:r>
          </w:p>
        </w:tc>
        <w:tc>
          <w:tcPr>
            <w:tcW w:w="3383" w:type="dxa"/>
            <w:vAlign w:val="center"/>
          </w:tcPr>
          <w:p>
            <w:pPr>
              <w:pStyle w:val="8"/>
              <w:bidi w:val="0"/>
              <w:jc w:val="both"/>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GH/T 1135-2017富硒农产品</w:t>
            </w:r>
          </w:p>
        </w:tc>
        <w:tc>
          <w:tcPr>
            <w:tcW w:w="4874" w:type="dxa"/>
            <w:vAlign w:val="center"/>
          </w:tcPr>
          <w:p>
            <w:pPr>
              <w:pStyle w:val="8"/>
              <w:bidi w:val="0"/>
              <w:jc w:val="both"/>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定义了各类富硒农产品的推荐性硒含量范围</w:t>
            </w:r>
          </w:p>
        </w:tc>
      </w:tr>
    </w:tbl>
    <w:p>
      <w:pPr>
        <w:bidi w:val="0"/>
        <w:rPr>
          <w:highlight w:val="none"/>
        </w:rPr>
      </w:pPr>
      <w:r>
        <w:rPr>
          <w:highlight w:val="none"/>
        </w:rPr>
        <w:t>涉硒地方标准76项，大部分为富硒产品生产的技术规程，直接定义富硒产品的23项，定义区域普适性富硒产品标准10项，均为地方推荐性标准。</w:t>
      </w:r>
    </w:p>
    <w:p>
      <w:pPr>
        <w:bidi w:val="0"/>
        <w:rPr>
          <w:rFonts w:hint="eastAsia"/>
          <w:highlight w:val="none"/>
        </w:rPr>
      </w:pPr>
      <w:r>
        <w:rPr>
          <w:highlight w:val="none"/>
        </w:rPr>
        <w:t>与富硒产品密切相关的国家标准</w:t>
      </w:r>
      <w:r>
        <w:rPr>
          <w:rFonts w:hint="eastAsia"/>
          <w:highlight w:val="none"/>
        </w:rPr>
        <w:t>2</w:t>
      </w:r>
      <w:r>
        <w:rPr>
          <w:highlight w:val="none"/>
        </w:rPr>
        <w:t>项，分别回答了食品中使用营养强化剂的用法用量问题；富硒产品的营养声称问题，均为国家强制性标准，其中</w:t>
      </w:r>
      <w:r>
        <w:rPr>
          <w:rFonts w:hint="eastAsia"/>
          <w:highlight w:val="none"/>
        </w:rPr>
        <w:t>GB28050《预包装食品营养标签通则》最新修订版已经明确未来富硒</w:t>
      </w:r>
      <w:r>
        <w:rPr>
          <w:highlight w:val="none"/>
        </w:rPr>
        <w:t>预包装</w:t>
      </w:r>
      <w:r>
        <w:rPr>
          <w:rFonts w:hint="eastAsia"/>
          <w:highlight w:val="none"/>
        </w:rPr>
        <w:t>产品可以</w:t>
      </w:r>
      <w:r>
        <w:rPr>
          <w:highlight w:val="none"/>
        </w:rPr>
        <w:t>进行硒的营养声称</w:t>
      </w:r>
      <w:r>
        <w:rPr>
          <w:rFonts w:hint="eastAsia"/>
          <w:highlight w:val="none"/>
        </w:rPr>
        <w:t>：</w:t>
      </w:r>
      <w:r>
        <w:rPr>
          <w:highlight w:val="none"/>
        </w:rPr>
        <w:t>“</w:t>
      </w:r>
      <w:r>
        <w:rPr>
          <w:rFonts w:hint="eastAsia"/>
          <w:highlight w:val="none"/>
        </w:rPr>
        <w:t>硒有抗氧化作用</w:t>
      </w:r>
      <w:r>
        <w:rPr>
          <w:highlight w:val="none"/>
        </w:rPr>
        <w:t>；</w:t>
      </w:r>
      <w:r>
        <w:rPr>
          <w:rFonts w:hint="eastAsia"/>
          <w:highlight w:val="none"/>
        </w:rPr>
        <w:t>硒有助于维持免疫系统的正常生理功能</w:t>
      </w:r>
      <w:r>
        <w:rPr>
          <w:highlight w:val="none"/>
        </w:rPr>
        <w:t>”</w:t>
      </w:r>
      <w:r>
        <w:rPr>
          <w:rFonts w:hint="eastAsia"/>
          <w:highlight w:val="none"/>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Style w:val="17"/>
          <w:rFonts w:hint="eastAsia" w:ascii="宋体" w:hAnsi="宋体" w:eastAsia="宋体" w:cs="宋体"/>
          <w:sz w:val="28"/>
          <w:szCs w:val="28"/>
          <w:highlight w:val="none"/>
        </w:rPr>
      </w:pPr>
      <w:r>
        <w:rPr>
          <w:rStyle w:val="17"/>
          <w:rFonts w:hint="eastAsia" w:ascii="宋体" w:hAnsi="宋体" w:eastAsia="宋体" w:cs="宋体"/>
          <w:sz w:val="28"/>
          <w:szCs w:val="28"/>
          <w:highlight w:val="none"/>
        </w:rPr>
        <w:t>表3　富硒产品的相关国家标准</w:t>
      </w:r>
    </w:p>
    <w:tbl>
      <w:tblPr>
        <w:tblStyle w:val="14"/>
        <w:tblW w:w="88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4288"/>
        <w:gridCol w:w="3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3" w:type="dxa"/>
            <w:vAlign w:val="center"/>
          </w:tcPr>
          <w:p>
            <w:pPr>
              <w:pStyle w:val="8"/>
              <w:keepNext w:val="0"/>
              <w:keepLines w:val="0"/>
              <w:pageBreakBefore w:val="0"/>
              <w:widowControl w:val="0"/>
              <w:kinsoku/>
              <w:wordWrap/>
              <w:overflowPunct/>
              <w:topLinePunct w:val="0"/>
              <w:autoSpaceDE/>
              <w:autoSpaceDN/>
              <w:bidi w:val="0"/>
              <w:adjustRightInd/>
              <w:snapToGrid w:val="0"/>
              <w:ind w:left="-128" w:leftChars="-40" w:right="-128" w:rightChars="-40"/>
              <w:textAlignment w:val="auto"/>
              <w:rPr>
                <w:rFonts w:ascii="Times New Roman" w:hAnsi="Times New Roman" w:eastAsia="仿宋_GB2312"/>
                <w:b/>
                <w:bCs/>
                <w:color w:val="000000" w:themeColor="text1"/>
                <w:sz w:val="24"/>
                <w:highlight w:val="none"/>
                <w:lang w:bidi="zh-CN"/>
                <w14:textFill>
                  <w14:solidFill>
                    <w14:schemeClr w14:val="tx1"/>
                  </w14:solidFill>
                </w14:textFill>
              </w:rPr>
            </w:pPr>
            <w:r>
              <w:rPr>
                <w:rFonts w:ascii="Times New Roman" w:hAnsi="Times New Roman" w:eastAsia="宋体" w:cs="Times New Roman"/>
                <w:b/>
                <w:bCs/>
                <w:color w:val="000000"/>
                <w:kern w:val="2"/>
                <w:sz w:val="28"/>
                <w:szCs w:val="21"/>
                <w:highlight w:val="none"/>
                <w:lang w:val="zh-CN" w:eastAsia="zh-CN" w:bidi="zh-CN"/>
              </w:rPr>
              <w:t>序号</w:t>
            </w:r>
          </w:p>
        </w:tc>
        <w:tc>
          <w:tcPr>
            <w:tcW w:w="4288" w:type="dxa"/>
            <w:vAlign w:val="center"/>
          </w:tcPr>
          <w:p>
            <w:pPr>
              <w:pStyle w:val="8"/>
              <w:bidi w:val="0"/>
              <w:rPr>
                <w:b/>
                <w:bCs/>
                <w:highlight w:val="none"/>
              </w:rPr>
            </w:pPr>
            <w:r>
              <w:rPr>
                <w:b/>
                <w:bCs/>
                <w:highlight w:val="none"/>
              </w:rPr>
              <w:t>标准名称</w:t>
            </w:r>
          </w:p>
        </w:tc>
        <w:tc>
          <w:tcPr>
            <w:tcW w:w="3957" w:type="dxa"/>
            <w:vAlign w:val="center"/>
          </w:tcPr>
          <w:p>
            <w:pPr>
              <w:pStyle w:val="8"/>
              <w:bidi w:val="0"/>
              <w:rPr>
                <w:b/>
                <w:bCs/>
                <w:highlight w:val="none"/>
              </w:rPr>
            </w:pPr>
            <w:r>
              <w:rPr>
                <w:b/>
                <w:bCs/>
                <w:highlight w:val="none"/>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3" w:type="dxa"/>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p>
        </w:tc>
        <w:tc>
          <w:tcPr>
            <w:tcW w:w="4288" w:type="dxa"/>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GB 14880-2012 食品安全国家标准食品营养强化剂使用标准</w:t>
            </w:r>
          </w:p>
        </w:tc>
        <w:tc>
          <w:tcPr>
            <w:tcW w:w="3957" w:type="dxa"/>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规定了硒营养强化剂的要求和可强化食品类别、用量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3" w:type="dxa"/>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p>
        </w:tc>
        <w:tc>
          <w:tcPr>
            <w:tcW w:w="4288" w:type="dxa"/>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GB 28050-2011 预包装食品营养标签通则</w:t>
            </w:r>
          </w:p>
        </w:tc>
        <w:tc>
          <w:tcPr>
            <w:tcW w:w="3957" w:type="dxa"/>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规定了预包装食品富硒营养声称的硒含量要求和误差范围</w:t>
            </w:r>
          </w:p>
        </w:tc>
      </w:tr>
    </w:tbl>
    <w:p>
      <w:pPr>
        <w:bidi w:val="0"/>
        <w:rPr>
          <w:highlight w:val="none"/>
        </w:rPr>
      </w:pPr>
      <w:r>
        <w:rPr>
          <w:rFonts w:hint="eastAsia"/>
          <w:b/>
          <w:bCs/>
          <w:highlight w:val="none"/>
        </w:rPr>
        <w:t>⒌</w:t>
      </w:r>
      <w:r>
        <w:rPr>
          <w:rFonts w:hint="eastAsia" w:ascii="楷体_GB2312" w:hAnsi="楷体_GB2312" w:eastAsia="楷体_GB2312" w:cs="楷体_GB2312"/>
          <w:b/>
          <w:bCs/>
          <w:sz w:val="36"/>
          <w:szCs w:val="36"/>
          <w:highlight w:val="none"/>
          <w:lang w:eastAsia="zh-CN"/>
        </w:rPr>
        <w:t>立</w:t>
      </w:r>
      <w:r>
        <w:rPr>
          <w:rFonts w:hint="eastAsia" w:ascii="楷体_GB2312" w:hAnsi="楷体_GB2312" w:eastAsia="楷体_GB2312" w:cs="楷体_GB2312"/>
          <w:b/>
          <w:bCs/>
          <w:sz w:val="32"/>
          <w:szCs w:val="32"/>
          <w:highlight w:val="none"/>
          <w:lang w:eastAsia="zh-CN"/>
        </w:rPr>
        <w:t>体交通网格为富硒产业发展提供流通便利</w:t>
      </w:r>
      <w:r>
        <w:rPr>
          <w:rFonts w:hint="eastAsia"/>
          <w:b/>
          <w:bCs/>
          <w:highlight w:val="none"/>
          <w:lang w:eastAsia="zh-CN"/>
        </w:rPr>
        <w:t>。</w:t>
      </w:r>
      <w:r>
        <w:rPr>
          <w:rFonts w:hint="eastAsia"/>
          <w:highlight w:val="none"/>
        </w:rPr>
        <w:t>安康富强机场的顺利通航和西康高铁的规划建设，为紫阳借助“航空时代”和“高铁时代”，主动融入丝绸之路经济带、长江经济带、汉江经济带等国家区域发展战略，将富硒产品、康养旅游产品输出到西安、重庆、成都等国家中心城市提供了便利。紫阳县城距安康富强机场、安康高铁站仅40分钟车程，高速公路在紫阳有5个出口，巨大的人流、物流、资金流、信息流汇聚，必将推动紫阳经济社会的持续快速发展，为富硒产业发展插上腾飞的“翅膀”。</w:t>
      </w:r>
    </w:p>
    <w:p>
      <w:pPr>
        <w:pStyle w:val="4"/>
        <w:bidi w:val="0"/>
        <w:rPr>
          <w:rFonts w:hint="eastAsia"/>
          <w:highlight w:val="none"/>
          <w:lang w:eastAsia="zh-CN"/>
        </w:rPr>
      </w:pPr>
      <w:bookmarkStart w:id="12" w:name="_Toc7545"/>
      <w:r>
        <w:rPr>
          <w:rFonts w:hint="eastAsia"/>
          <w:highlight w:val="none"/>
        </w:rPr>
        <w:t>第</w:t>
      </w:r>
      <w:r>
        <w:rPr>
          <w:rFonts w:hint="eastAsia"/>
          <w:highlight w:val="none"/>
          <w:lang w:eastAsia="zh-CN"/>
        </w:rPr>
        <w:t>十</w:t>
      </w:r>
      <w:r>
        <w:rPr>
          <w:rFonts w:hint="eastAsia"/>
          <w:highlight w:val="none"/>
        </w:rPr>
        <w:t>节　</w:t>
      </w:r>
      <w:r>
        <w:rPr>
          <w:rFonts w:hint="eastAsia"/>
          <w:highlight w:val="none"/>
          <w:lang w:eastAsia="zh-CN"/>
        </w:rPr>
        <w:t>面临挑战</w:t>
      </w:r>
      <w:bookmarkEnd w:id="12"/>
    </w:p>
    <w:p>
      <w:pPr>
        <w:bidi w:val="0"/>
        <w:rPr>
          <w:rFonts w:hint="eastAsia"/>
          <w:highlight w:val="none"/>
        </w:rPr>
      </w:pPr>
      <w:r>
        <w:rPr>
          <w:rFonts w:hint="eastAsia"/>
          <w:highlight w:val="none"/>
        </w:rPr>
        <w:t>紫阳是中国富硒资源大县，但还不是富硒产业强县。在充分肯定富硒产业发展成就的同时，更要冷静分析、深入思考、客观认识紫阳富硒产业发展的不足与差距、面临的问题与挑战。</w:t>
      </w:r>
    </w:p>
    <w:p>
      <w:pPr>
        <w:bidi w:val="0"/>
        <w:rPr>
          <w:highlight w:val="none"/>
        </w:rPr>
      </w:pPr>
      <w:r>
        <w:rPr>
          <w:rFonts w:hint="eastAsia"/>
          <w:b/>
          <w:bCs/>
          <w:highlight w:val="none"/>
        </w:rPr>
        <w:t>⒈</w:t>
      </w:r>
      <w:r>
        <w:rPr>
          <w:rFonts w:hint="eastAsia" w:ascii="楷体_GB2312" w:hAnsi="楷体_GB2312" w:eastAsia="楷体_GB2312" w:cs="楷体_GB2312"/>
          <w:b/>
          <w:bCs/>
          <w:sz w:val="32"/>
          <w:szCs w:val="32"/>
          <w:highlight w:val="none"/>
          <w:lang w:eastAsia="zh-CN"/>
        </w:rPr>
        <w:t>产品标准化生产不足</w:t>
      </w:r>
      <w:r>
        <w:rPr>
          <w:rFonts w:hint="eastAsia"/>
          <w:b/>
          <w:bCs/>
          <w:highlight w:val="none"/>
          <w:lang w:eastAsia="zh-CN"/>
        </w:rPr>
        <w:t>。</w:t>
      </w:r>
      <w:r>
        <w:rPr>
          <w:rFonts w:hint="eastAsia"/>
          <w:highlight w:val="none"/>
        </w:rPr>
        <w:t>我国现有的富硒标准体系还</w:t>
      </w:r>
      <w:r>
        <w:rPr>
          <w:rFonts w:hint="eastAsia"/>
          <w:highlight w:val="none"/>
          <w:lang w:eastAsia="zh-CN"/>
        </w:rPr>
        <w:t>不</w:t>
      </w:r>
      <w:r>
        <w:rPr>
          <w:rFonts w:hint="eastAsia"/>
          <w:highlight w:val="none"/>
        </w:rPr>
        <w:t>完善，除少数国家标准和行业标准外，各地区标准间存在差异，富硒产品的生产、产品准入和市场监管，没有形成完善的标准体系，富硒产品的安全生产技术规程研究滞后，大部分富硒产品缺乏统一的规范、标识和品牌。富硒产品的生产过程中缺乏标准化</w:t>
      </w:r>
      <w:r>
        <w:rPr>
          <w:rFonts w:hint="eastAsia"/>
          <w:highlight w:val="none"/>
          <w:lang w:eastAsia="zh-CN"/>
        </w:rPr>
        <w:t>指导</w:t>
      </w:r>
      <w:r>
        <w:rPr>
          <w:rFonts w:hint="eastAsia"/>
          <w:highlight w:val="none"/>
        </w:rPr>
        <w:t>，以天然富硒达到的相关标准的产品比例有限，富硒产品硒含量不稳定，市场化推广受挫，影响全县富硒产品的质量、信誉和营养保健效果。</w:t>
      </w:r>
    </w:p>
    <w:p>
      <w:pPr>
        <w:bidi w:val="0"/>
        <w:rPr>
          <w:rFonts w:hint="eastAsia"/>
          <w:highlight w:val="none"/>
          <w:lang w:eastAsia="zh-CN"/>
        </w:rPr>
      </w:pPr>
      <w:r>
        <w:rPr>
          <w:rFonts w:hint="eastAsia"/>
          <w:b/>
          <w:bCs/>
          <w:highlight w:val="none"/>
        </w:rPr>
        <w:t>⒉</w:t>
      </w:r>
      <w:r>
        <w:rPr>
          <w:rFonts w:hint="eastAsia" w:ascii="楷体_GB2312" w:hAnsi="楷体_GB2312" w:eastAsia="楷体_GB2312" w:cs="楷体_GB2312"/>
          <w:b/>
          <w:bCs/>
          <w:highlight w:val="none"/>
          <w:lang w:eastAsia="zh-CN"/>
        </w:rPr>
        <w:t>产业聚集化水平不高</w:t>
      </w:r>
      <w:r>
        <w:rPr>
          <w:rFonts w:hint="eastAsia"/>
          <w:b/>
          <w:bCs/>
          <w:highlight w:val="none"/>
          <w:lang w:eastAsia="zh-CN"/>
        </w:rPr>
        <w:t>。</w:t>
      </w:r>
      <w:r>
        <w:rPr>
          <w:rFonts w:hint="eastAsia"/>
          <w:highlight w:val="none"/>
        </w:rPr>
        <w:t>紫阳富硒产业呈现点状分布，重点产业、骨干企业布局分散，</w:t>
      </w:r>
      <w:r>
        <w:rPr>
          <w:rFonts w:hint="eastAsia"/>
          <w:color w:val="000000" w:themeColor="text1"/>
          <w:highlight w:val="none"/>
          <w:lang w:val="en-US" w:eastAsia="zh-CN"/>
          <w14:textFill>
            <w14:solidFill>
              <w14:schemeClr w14:val="tx1"/>
            </w14:solidFill>
          </w14:textFill>
        </w:rPr>
        <w:t>硒资源开发利用不充分，</w:t>
      </w:r>
      <w:r>
        <w:rPr>
          <w:rFonts w:hint="eastAsia"/>
          <w:highlight w:val="none"/>
        </w:rPr>
        <w:t>资本、技术、人才等要素聚集度不高，集群化、集约化水平低。作为重点产业的茶叶产业研发、种植、加工、营销分散，难以形成统一市场、规模效益、集约发展。</w:t>
      </w:r>
      <w:r>
        <w:rPr>
          <w:rFonts w:hint="eastAsia"/>
          <w:highlight w:val="none"/>
          <w:lang w:eastAsia="zh-CN"/>
        </w:rPr>
        <w:t>目前、尚无过亿元富硒企业，“散兵游勇”格局导致</w:t>
      </w:r>
      <w:r>
        <w:rPr>
          <w:rFonts w:hint="eastAsia"/>
          <w:highlight w:val="none"/>
        </w:rPr>
        <w:t>紫阳富硒产业“领头羊”地位受到</w:t>
      </w:r>
      <w:r>
        <w:rPr>
          <w:rFonts w:hint="eastAsia"/>
          <w:highlight w:val="none"/>
          <w:lang w:eastAsia="zh-CN"/>
        </w:rPr>
        <w:t>严峻</w:t>
      </w:r>
      <w:r>
        <w:rPr>
          <w:rFonts w:hint="eastAsia"/>
          <w:highlight w:val="none"/>
        </w:rPr>
        <w:t>挑战，品牌建设和竞争力受到</w:t>
      </w:r>
      <w:r>
        <w:rPr>
          <w:rFonts w:hint="eastAsia"/>
          <w:highlight w:val="none"/>
          <w:lang w:eastAsia="zh-CN"/>
        </w:rPr>
        <w:t>严重</w:t>
      </w:r>
      <w:r>
        <w:rPr>
          <w:rFonts w:hint="eastAsia"/>
          <w:highlight w:val="none"/>
        </w:rPr>
        <w:t>影响。</w:t>
      </w:r>
      <w:r>
        <w:rPr>
          <w:rFonts w:hint="eastAsia"/>
          <w:highlight w:val="none"/>
          <w:lang w:eastAsia="zh-CN"/>
        </w:rPr>
        <w:t>同时，</w:t>
      </w:r>
      <w:r>
        <w:rPr>
          <w:rFonts w:hint="eastAsia"/>
          <w:highlight w:val="none"/>
        </w:rPr>
        <w:t>紫阳富硒产业发展三产融合</w:t>
      </w:r>
      <w:r>
        <w:rPr>
          <w:rFonts w:hint="eastAsia"/>
          <w:highlight w:val="none"/>
          <w:lang w:eastAsia="zh-CN"/>
        </w:rPr>
        <w:t>发展不够。</w:t>
      </w:r>
      <w:r>
        <w:rPr>
          <w:rFonts w:hint="eastAsia"/>
          <w:highlight w:val="none"/>
        </w:rPr>
        <w:t>以“紫阳富硒茶”为引领的富硒产业，已开发出富硒蔬菜、富硒生猪、富硒魔芋等多种产品，但在附加值更高的精深加工、富硒生物产业等涉及有限。以富硒为主体的康养旅游</w:t>
      </w:r>
      <w:r>
        <w:rPr>
          <w:rFonts w:hint="eastAsia"/>
          <w:highlight w:val="none"/>
          <w:lang w:eastAsia="zh-CN"/>
        </w:rPr>
        <w:t>更多地处于</w:t>
      </w:r>
      <w:r>
        <w:rPr>
          <w:rFonts w:hint="eastAsia"/>
          <w:highlight w:val="none"/>
        </w:rPr>
        <w:t>概念阶段，无实质的富硒康养旅游产品填充，在富硒食品、健康、文化、养生等链式服务体验面临重大挑战。</w:t>
      </w:r>
    </w:p>
    <w:p>
      <w:pPr>
        <w:bidi w:val="0"/>
        <w:rPr>
          <w:rFonts w:hint="eastAsia"/>
          <w:highlight w:val="none"/>
          <w:lang w:eastAsia="zh-CN"/>
        </w:rPr>
      </w:pPr>
      <w:r>
        <w:rPr>
          <w:rFonts w:hint="eastAsia"/>
          <w:b/>
          <w:bCs/>
          <w:highlight w:val="none"/>
        </w:rPr>
        <w:t>⒊</w:t>
      </w:r>
      <w:r>
        <w:rPr>
          <w:rFonts w:hint="eastAsia" w:ascii="楷体_GB2312" w:hAnsi="楷体_GB2312" w:eastAsia="楷体_GB2312" w:cs="楷体_GB2312"/>
          <w:b/>
          <w:bCs/>
          <w:highlight w:val="none"/>
          <w:lang w:eastAsia="zh-CN"/>
        </w:rPr>
        <w:t>科技创新能力不强</w:t>
      </w:r>
      <w:r>
        <w:rPr>
          <w:rFonts w:hint="eastAsia"/>
          <w:b/>
          <w:bCs/>
          <w:highlight w:val="none"/>
          <w:lang w:eastAsia="zh-CN"/>
        </w:rPr>
        <w:t>。</w:t>
      </w:r>
      <w:r>
        <w:rPr>
          <w:rFonts w:hint="eastAsia"/>
          <w:highlight w:val="none"/>
        </w:rPr>
        <w:t>紫阳缺乏富硒相关科研平台的建设和投入，本地科研院所、农技</w:t>
      </w:r>
      <w:r>
        <w:rPr>
          <w:rFonts w:hint="eastAsia"/>
          <w:highlight w:val="none"/>
          <w:lang w:eastAsia="zh-CN"/>
        </w:rPr>
        <w:t>推广</w:t>
      </w:r>
      <w:r>
        <w:rPr>
          <w:rFonts w:hint="eastAsia"/>
          <w:highlight w:val="none"/>
        </w:rPr>
        <w:t>部门等机构在硒研究、硒检测方面专业人才不足，富硒产业应用研究的推进力度不够，相关经营主体缺乏自主创新能力，产业发展主要集中在农产品生产和农副产品加工上，处于产业链的低端，缺乏核心竞争力。</w:t>
      </w:r>
      <w:r>
        <w:rPr>
          <w:rFonts w:hint="eastAsia"/>
          <w:highlight w:val="none"/>
          <w:lang w:eastAsia="zh-CN"/>
        </w:rPr>
        <w:t>富硒产业科研体制机制不够顺畅，科技人才“青黄不接”，与富硒产业高质量、跨越式发展不相适应。</w:t>
      </w:r>
    </w:p>
    <w:p>
      <w:pPr>
        <w:bidi w:val="0"/>
        <w:rPr>
          <w:rFonts w:hint="eastAsia"/>
          <w:highlight w:val="none"/>
          <w:lang w:val="en-US" w:eastAsia="zh-CN"/>
        </w:rPr>
      </w:pPr>
      <w:r>
        <w:rPr>
          <w:rFonts w:hint="eastAsia"/>
          <w:b/>
          <w:bCs/>
          <w:highlight w:val="none"/>
        </w:rPr>
        <w:t>⒋</w:t>
      </w:r>
      <w:r>
        <w:rPr>
          <w:rFonts w:hint="eastAsia" w:ascii="楷体_GB2312" w:hAnsi="楷体_GB2312" w:eastAsia="楷体_GB2312" w:cs="楷体_GB2312"/>
          <w:b/>
          <w:bCs/>
          <w:highlight w:val="none"/>
          <w:lang w:eastAsia="zh-CN"/>
        </w:rPr>
        <w:t>市场竞争日趋激烈。</w:t>
      </w:r>
      <w:r>
        <w:rPr>
          <w:rFonts w:hint="eastAsia"/>
          <w:highlight w:val="none"/>
          <w:lang w:val="en-US" w:eastAsia="zh-CN"/>
        </w:rPr>
        <w:t>周边地区富硒产业发展加快，正在“抵消”紫阳的优势，“挤压”紫阳的市场。泾阳背靠西北农林科技大学、地处“一带一路”要冲，“无中生有”发展茯茶产业，市场份额逐步提高，竞争力不断增强；汉中、达州等地“后来居上”，产业发展势头强劲；汉滨、平利等县区强势发力，同质化竞争异常激烈；“硒都”恩施从富硒研发、基地建设、产业发展、生产加工、市场开拓等方面“并跑”“领跑”，大有成为“领头羊”之势。</w:t>
      </w:r>
    </w:p>
    <w:p>
      <w:pPr>
        <w:bidi w:val="0"/>
        <w:rPr>
          <w:rFonts w:hint="eastAsia"/>
          <w:highlight w:val="none"/>
        </w:rPr>
      </w:pPr>
      <w:r>
        <w:rPr>
          <w:rFonts w:hint="eastAsia"/>
          <w:b/>
          <w:bCs/>
          <w:highlight w:val="none"/>
        </w:rPr>
        <w:t>⒌</w:t>
      </w:r>
      <w:r>
        <w:rPr>
          <w:rFonts w:hint="eastAsia" w:ascii="楷体_GB2312" w:hAnsi="楷体_GB2312" w:eastAsia="楷体_GB2312" w:cs="楷体_GB2312"/>
          <w:b/>
          <w:bCs/>
          <w:highlight w:val="none"/>
        </w:rPr>
        <w:t>科普宣传力度不够</w:t>
      </w:r>
      <w:r>
        <w:rPr>
          <w:rFonts w:hint="eastAsia"/>
          <w:b/>
          <w:bCs/>
          <w:highlight w:val="none"/>
          <w:lang w:eastAsia="zh-CN"/>
        </w:rPr>
        <w:t>。</w:t>
      </w:r>
      <w:r>
        <w:rPr>
          <w:highlight w:val="none"/>
        </w:rPr>
        <w:t>目前，部分</w:t>
      </w:r>
      <w:r>
        <w:rPr>
          <w:rFonts w:hint="eastAsia"/>
          <w:highlight w:val="none"/>
        </w:rPr>
        <w:t>农业经营主体、农业从业人员</w:t>
      </w:r>
      <w:r>
        <w:rPr>
          <w:highlight w:val="none"/>
        </w:rPr>
        <w:t>，以及大部分</w:t>
      </w:r>
      <w:r>
        <w:rPr>
          <w:rFonts w:hint="eastAsia"/>
          <w:highlight w:val="none"/>
        </w:rPr>
        <w:t>消费者对硒认识不足，谈“富硒”者众，知其营养保健作用者寡，多数人只知道硒有好处，</w:t>
      </w:r>
      <w:r>
        <w:rPr>
          <w:highlight w:val="none"/>
        </w:rPr>
        <w:t>但</w:t>
      </w:r>
      <w:r>
        <w:rPr>
          <w:rFonts w:hint="eastAsia"/>
          <w:highlight w:val="none"/>
        </w:rPr>
        <w:t>不知好处在哪，对如何补充、</w:t>
      </w:r>
      <w:r>
        <w:rPr>
          <w:highlight w:val="none"/>
        </w:rPr>
        <w:t>应该补充</w:t>
      </w:r>
      <w:r>
        <w:rPr>
          <w:rFonts w:hint="eastAsia"/>
          <w:highlight w:val="none"/>
        </w:rPr>
        <w:t>多少等基本常识认知十分模糊。</w:t>
      </w:r>
      <w:r>
        <w:rPr>
          <w:highlight w:val="none"/>
        </w:rPr>
        <w:t>对于</w:t>
      </w:r>
      <w:r>
        <w:rPr>
          <w:rFonts w:hint="eastAsia"/>
          <w:highlight w:val="none"/>
        </w:rPr>
        <w:t>富硒农产品</w:t>
      </w:r>
      <w:r>
        <w:rPr>
          <w:highlight w:val="none"/>
        </w:rPr>
        <w:t>这一尚未完成成熟的</w:t>
      </w:r>
      <w:r>
        <w:rPr>
          <w:rFonts w:hint="eastAsia"/>
          <w:highlight w:val="none"/>
        </w:rPr>
        <w:t>消费市场，如何让管理者、经营者、消费者增强认知，</w:t>
      </w:r>
      <w:r>
        <w:rPr>
          <w:highlight w:val="none"/>
        </w:rPr>
        <w:t>是科普宣传上</w:t>
      </w:r>
      <w:r>
        <w:rPr>
          <w:rFonts w:hint="eastAsia"/>
          <w:highlight w:val="none"/>
        </w:rPr>
        <w:t>面临</w:t>
      </w:r>
      <w:r>
        <w:rPr>
          <w:highlight w:val="none"/>
        </w:rPr>
        <w:t>的</w:t>
      </w:r>
      <w:r>
        <w:rPr>
          <w:rFonts w:hint="eastAsia"/>
          <w:highlight w:val="none"/>
        </w:rPr>
        <w:t>重大挑战。</w:t>
      </w:r>
    </w:p>
    <w:p>
      <w:pPr>
        <w:bidi w:val="0"/>
        <w:rPr>
          <w:rFonts w:hint="eastAsia"/>
          <w:highlight w:val="none"/>
        </w:rPr>
      </w:pPr>
      <w:r>
        <w:rPr>
          <w:rFonts w:hint="eastAsia"/>
          <w:b/>
          <w:bCs/>
          <w:highlight w:val="none"/>
        </w:rPr>
        <w:t>⒍</w:t>
      </w:r>
      <w:r>
        <w:rPr>
          <w:rFonts w:hint="eastAsia" w:ascii="楷体_GB2312" w:hAnsi="楷体_GB2312" w:eastAsia="楷体_GB2312" w:cs="楷体_GB2312"/>
          <w:b/>
          <w:bCs/>
          <w:highlight w:val="none"/>
        </w:rPr>
        <w:t>社会化服务体系缺失</w:t>
      </w:r>
      <w:r>
        <w:rPr>
          <w:rFonts w:hint="eastAsia"/>
          <w:b/>
          <w:bCs/>
          <w:highlight w:val="none"/>
          <w:lang w:eastAsia="zh-CN"/>
        </w:rPr>
        <w:t>。</w:t>
      </w:r>
      <w:r>
        <w:rPr>
          <w:rFonts w:hint="eastAsia"/>
          <w:highlight w:val="none"/>
        </w:rPr>
        <w:t>随着全县富硒产业稳步发展，富硒经营主体急需产业前端标准化技术和产业服务商，包括企业策划、品牌塑造、产业园区规划、标准化生产技术服务和投入品等。同时需配套完善产业后端支撑体系，为经营主体提供检验检测、富硒产品认证等支撑性服务。</w:t>
      </w:r>
    </w:p>
    <w:p>
      <w:pPr>
        <w:pStyle w:val="3"/>
        <w:rPr>
          <w:rFonts w:hint="eastAsia"/>
        </w:rPr>
      </w:pPr>
    </w:p>
    <w:p>
      <w:pPr>
        <w:pStyle w:val="11"/>
        <w:bidi w:val="0"/>
        <w:outlineLvl w:val="0"/>
        <w:rPr>
          <w:rFonts w:hint="eastAsia"/>
          <w:highlight w:val="none"/>
        </w:rPr>
      </w:pPr>
      <w:bookmarkStart w:id="13" w:name="_Toc19222"/>
      <w:r>
        <w:rPr>
          <w:rFonts w:hint="eastAsia"/>
          <w:highlight w:val="none"/>
        </w:rPr>
        <w:t>第四章</w:t>
      </w:r>
      <w:r>
        <w:rPr>
          <w:rFonts w:hint="eastAsia"/>
          <w:highlight w:val="none"/>
          <w:lang w:eastAsia="zh-CN"/>
        </w:rPr>
        <w:t>　</w:t>
      </w:r>
      <w:r>
        <w:rPr>
          <w:rFonts w:hint="eastAsia"/>
          <w:highlight w:val="none"/>
        </w:rPr>
        <w:t>总体要求</w:t>
      </w:r>
      <w:bookmarkEnd w:id="13"/>
    </w:p>
    <w:p>
      <w:pPr>
        <w:pStyle w:val="4"/>
        <w:bidi w:val="0"/>
        <w:rPr>
          <w:highlight w:val="none"/>
        </w:rPr>
      </w:pPr>
      <w:bookmarkStart w:id="14" w:name="_Toc25263"/>
      <w:r>
        <w:rPr>
          <w:rFonts w:hint="eastAsia"/>
          <w:highlight w:val="none"/>
        </w:rPr>
        <w:t>第</w:t>
      </w:r>
      <w:r>
        <w:rPr>
          <w:rFonts w:hint="eastAsia"/>
          <w:highlight w:val="none"/>
          <w:lang w:eastAsia="zh-CN"/>
        </w:rPr>
        <w:t>十</w:t>
      </w:r>
      <w:r>
        <w:rPr>
          <w:rFonts w:hint="eastAsia"/>
          <w:highlight w:val="none"/>
        </w:rPr>
        <w:t>一节</w:t>
      </w:r>
      <w:r>
        <w:rPr>
          <w:rFonts w:hint="eastAsia"/>
          <w:highlight w:val="none"/>
          <w:lang w:eastAsia="zh-CN"/>
        </w:rPr>
        <w:t>　</w:t>
      </w:r>
      <w:r>
        <w:rPr>
          <w:rFonts w:hint="eastAsia"/>
          <w:highlight w:val="none"/>
        </w:rPr>
        <w:t>指导思想</w:t>
      </w:r>
      <w:bookmarkEnd w:id="14"/>
    </w:p>
    <w:p>
      <w:pPr>
        <w:bidi w:val="0"/>
        <w:rPr>
          <w:highlight w:val="none"/>
        </w:rPr>
      </w:pPr>
      <w:r>
        <w:rPr>
          <w:rFonts w:hint="eastAsia"/>
          <w:highlight w:val="none"/>
        </w:rPr>
        <w:t>以习近平新时代中国特色社会主义思想为指导，全面贯彻落实党的</w:t>
      </w:r>
      <w:r>
        <w:rPr>
          <w:rFonts w:hint="eastAsia"/>
          <w:color w:val="000000" w:themeColor="text1"/>
          <w:highlight w:val="none"/>
          <w:lang w:val="en-US" w:eastAsia="zh-CN"/>
          <w14:textFill>
            <w14:solidFill>
              <w14:schemeClr w14:val="tx1"/>
            </w14:solidFill>
          </w14:textFill>
        </w:rPr>
        <w:t>十九大和</w:t>
      </w:r>
      <w:r>
        <w:rPr>
          <w:rFonts w:hint="eastAsia"/>
          <w:color w:val="000000" w:themeColor="text1"/>
          <w:highlight w:val="none"/>
          <w14:textFill>
            <w14:solidFill>
              <w14:schemeClr w14:val="tx1"/>
            </w14:solidFill>
          </w14:textFill>
        </w:rPr>
        <w:t>十九届</w:t>
      </w:r>
      <w:r>
        <w:rPr>
          <w:rFonts w:hint="eastAsia"/>
          <w:color w:val="000000" w:themeColor="text1"/>
          <w:highlight w:val="none"/>
          <w:lang w:val="en-US" w:eastAsia="zh-CN"/>
          <w14:textFill>
            <w14:solidFill>
              <w14:schemeClr w14:val="tx1"/>
            </w14:solidFill>
          </w14:textFill>
        </w:rPr>
        <w:t>历次</w:t>
      </w:r>
      <w:r>
        <w:rPr>
          <w:rFonts w:hint="eastAsia"/>
          <w:color w:val="000000" w:themeColor="text1"/>
          <w:highlight w:val="none"/>
          <w14:textFill>
            <w14:solidFill>
              <w14:schemeClr w14:val="tx1"/>
            </w14:solidFill>
          </w14:textFill>
        </w:rPr>
        <w:t>全会和习近平总书记“利用好富硒资源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转化为富硒产业”的重要指示精神，</w:t>
      </w:r>
      <w:r>
        <w:rPr>
          <w:rFonts w:hint="eastAsia"/>
          <w:color w:val="000000" w:themeColor="text1"/>
          <w:highlight w:val="none"/>
          <w:lang w:val="en-US" w:eastAsia="zh-CN"/>
          <w14:textFill>
            <w14:solidFill>
              <w14:schemeClr w14:val="tx1"/>
            </w14:solidFill>
          </w14:textFill>
        </w:rPr>
        <w:t>坚持“创新驱动、工业主导、三产融合”理念，</w:t>
      </w:r>
      <w:r>
        <w:rPr>
          <w:rFonts w:hint="eastAsia"/>
          <w:highlight w:val="none"/>
        </w:rPr>
        <w:t>以乡村振兴战略为统领，立足富硒土壤和富硒茶产业优势，聚焦富硒</w:t>
      </w:r>
      <w:r>
        <w:rPr>
          <w:rFonts w:hint="eastAsia"/>
          <w:highlight w:val="none"/>
          <w:lang w:eastAsia="zh-CN"/>
        </w:rPr>
        <w:t>产业</w:t>
      </w:r>
      <w:r>
        <w:rPr>
          <w:rFonts w:hint="eastAsia"/>
          <w:highlight w:val="none"/>
        </w:rPr>
        <w:t>科技研发、基地建设、标准制定、品牌打造、市场开拓等重要环节，</w:t>
      </w:r>
      <w:r>
        <w:rPr>
          <w:rFonts w:hint="eastAsia"/>
          <w:highlight w:val="none"/>
          <w:lang w:eastAsia="zh-CN"/>
        </w:rPr>
        <w:t>奠定安康</w:t>
      </w:r>
      <w:r>
        <w:rPr>
          <w:rFonts w:hint="eastAsia"/>
          <w:highlight w:val="none"/>
        </w:rPr>
        <w:t>千亿富硒产业</w:t>
      </w:r>
      <w:r>
        <w:rPr>
          <w:rFonts w:hint="eastAsia"/>
          <w:highlight w:val="none"/>
          <w:lang w:eastAsia="zh-CN"/>
        </w:rPr>
        <w:t>基础</w:t>
      </w:r>
      <w:r>
        <w:rPr>
          <w:rFonts w:hint="eastAsia"/>
          <w:highlight w:val="none"/>
        </w:rPr>
        <w:t>，走出一条具有紫阳特色的富硒产业发展之路，为健康中国、富硒紫阳发展</w:t>
      </w:r>
      <w:r>
        <w:rPr>
          <w:rFonts w:hint="eastAsia"/>
          <w:highlight w:val="none"/>
          <w:lang w:eastAsia="zh-CN"/>
        </w:rPr>
        <w:t>作出</w:t>
      </w:r>
      <w:r>
        <w:rPr>
          <w:rFonts w:hint="eastAsia"/>
          <w:highlight w:val="none"/>
        </w:rPr>
        <w:t>新</w:t>
      </w:r>
      <w:r>
        <w:rPr>
          <w:rFonts w:hint="eastAsia"/>
          <w:highlight w:val="none"/>
          <w:lang w:eastAsia="zh-CN"/>
        </w:rPr>
        <w:t>的</w:t>
      </w:r>
      <w:r>
        <w:rPr>
          <w:rFonts w:hint="eastAsia"/>
          <w:highlight w:val="none"/>
        </w:rPr>
        <w:t>贡献。</w:t>
      </w:r>
    </w:p>
    <w:p>
      <w:pPr>
        <w:pStyle w:val="4"/>
        <w:bidi w:val="0"/>
        <w:rPr>
          <w:highlight w:val="none"/>
        </w:rPr>
      </w:pPr>
      <w:bookmarkStart w:id="15" w:name="_Toc9988"/>
      <w:r>
        <w:rPr>
          <w:rFonts w:hint="eastAsia"/>
          <w:highlight w:val="none"/>
        </w:rPr>
        <w:t>第</w:t>
      </w:r>
      <w:r>
        <w:rPr>
          <w:rFonts w:hint="eastAsia"/>
          <w:highlight w:val="none"/>
          <w:lang w:eastAsia="zh-CN"/>
        </w:rPr>
        <w:t>十</w:t>
      </w:r>
      <w:r>
        <w:rPr>
          <w:rFonts w:hint="eastAsia"/>
          <w:highlight w:val="none"/>
        </w:rPr>
        <w:t>二节　基本原则</w:t>
      </w:r>
      <w:bookmarkEnd w:id="15"/>
    </w:p>
    <w:p>
      <w:pPr>
        <w:bidi w:val="0"/>
        <w:rPr>
          <w:highlight w:val="none"/>
        </w:rPr>
      </w:pPr>
      <w:r>
        <w:rPr>
          <w:rFonts w:hint="eastAsia"/>
          <w:highlight w:val="none"/>
        </w:rPr>
        <w:t>——</w:t>
      </w:r>
      <w:r>
        <w:rPr>
          <w:rFonts w:hint="eastAsia" w:ascii="楷体_GB2312" w:hAnsi="楷体_GB2312" w:eastAsia="楷体_GB2312" w:cs="楷体_GB2312"/>
          <w:b/>
          <w:bCs/>
          <w:highlight w:val="none"/>
        </w:rPr>
        <w:t>加强领导、改革创新</w:t>
      </w:r>
      <w:r>
        <w:rPr>
          <w:rFonts w:hint="eastAsia"/>
          <w:b/>
          <w:bCs/>
          <w:highlight w:val="none"/>
        </w:rPr>
        <w:t>。</w:t>
      </w:r>
      <w:r>
        <w:rPr>
          <w:rFonts w:hint="eastAsia"/>
          <w:highlight w:val="none"/>
        </w:rPr>
        <w:t>坚持和加强党对农业、农村的领导，建立健全富硒产业发展领导体制、机制，总揽全局、协调各方、稳步推进、跨越发展。不断深化富硒产业发展、改革、创新，积极创造优越的富硒产业发展政策、条件和环境，努力完善富硒资源配置和利用效率，充分调动社会力量投身富硒产业发展。</w:t>
      </w:r>
    </w:p>
    <w:p>
      <w:pPr>
        <w:bidi w:val="0"/>
        <w:rPr>
          <w:highlight w:val="none"/>
        </w:rPr>
      </w:pPr>
      <w:r>
        <w:rPr>
          <w:rFonts w:hint="eastAsia"/>
          <w:highlight w:val="none"/>
        </w:rPr>
        <w:t>——</w:t>
      </w:r>
      <w:r>
        <w:rPr>
          <w:rFonts w:hint="eastAsia" w:ascii="楷体_GB2312" w:hAnsi="楷体_GB2312" w:eastAsia="楷体_GB2312" w:cs="楷体_GB2312"/>
          <w:b/>
          <w:bCs/>
          <w:highlight w:val="none"/>
        </w:rPr>
        <w:t>合理布局、突出重点</w:t>
      </w:r>
      <w:r>
        <w:rPr>
          <w:rFonts w:hint="eastAsia"/>
          <w:b/>
          <w:bCs/>
          <w:highlight w:val="none"/>
        </w:rPr>
        <w:t>。</w:t>
      </w:r>
      <w:r>
        <w:rPr>
          <w:rFonts w:hint="eastAsia"/>
          <w:highlight w:val="none"/>
        </w:rPr>
        <w:t>依据紫阳富硒资源带分布，按照富硒资源带地形、海拔、气候、土壤、生态等自然条件，遵循区位、交通、人文等条件，科学规划、合理布局、有效引导富硒产业发展重点、发展方向，找准富硒产业发展突破点、把握富硒产业发展</w:t>
      </w:r>
      <w:r>
        <w:rPr>
          <w:rFonts w:hint="eastAsia"/>
          <w:highlight w:val="none"/>
          <w:lang w:eastAsia="zh-CN"/>
        </w:rPr>
        <w:t>制高点</w:t>
      </w:r>
      <w:r>
        <w:rPr>
          <w:rFonts w:hint="eastAsia"/>
          <w:highlight w:val="none"/>
        </w:rPr>
        <w:t>、明确富硒产业发展</w:t>
      </w:r>
      <w:r>
        <w:rPr>
          <w:rFonts w:hint="eastAsia"/>
          <w:highlight w:val="none"/>
          <w:lang w:eastAsia="zh-CN"/>
        </w:rPr>
        <w:t>制胜</w:t>
      </w:r>
      <w:r>
        <w:rPr>
          <w:rFonts w:hint="eastAsia"/>
          <w:highlight w:val="none"/>
        </w:rPr>
        <w:t>点。发挥农民的主体作用、园区的引领作用、企业的带动作用，融合发展的辐射作用。</w:t>
      </w:r>
    </w:p>
    <w:p>
      <w:pPr>
        <w:bidi w:val="0"/>
        <w:rPr>
          <w:highlight w:val="none"/>
        </w:rPr>
      </w:pPr>
      <w:r>
        <w:rPr>
          <w:rFonts w:hint="eastAsia"/>
          <w:highlight w:val="none"/>
        </w:rPr>
        <w:t>——</w:t>
      </w:r>
      <w:r>
        <w:rPr>
          <w:rFonts w:hint="eastAsia" w:ascii="楷体_GB2312" w:hAnsi="楷体_GB2312" w:eastAsia="楷体_GB2312" w:cs="楷体_GB2312"/>
          <w:b/>
          <w:bCs/>
          <w:highlight w:val="none"/>
        </w:rPr>
        <w:t>产业融合、跨越发展</w:t>
      </w:r>
      <w:r>
        <w:rPr>
          <w:rFonts w:hint="eastAsia"/>
          <w:b/>
          <w:bCs/>
          <w:highlight w:val="none"/>
        </w:rPr>
        <w:t>。</w:t>
      </w:r>
      <w:r>
        <w:rPr>
          <w:rFonts w:hint="eastAsia"/>
          <w:highlight w:val="none"/>
        </w:rPr>
        <w:t>按照富硒产业高质量、跨越式发展要求，坚持质量兴产业、绿色促产业、文旅提产业、品牌强产业，加快发展富硒产品深加工、富硒旅游、富硒康养、智慧富硒、电子商务等新产业、新业态，推动一二三产融合，做强富硒茶旅融合发展、加快富硒康养发展、重视富硒文创开发，延长产业链、增加附加值、提升价值链，实现富硒产业又好、又快发展。</w:t>
      </w:r>
    </w:p>
    <w:p>
      <w:pPr>
        <w:bidi w:val="0"/>
        <w:rPr>
          <w:highlight w:val="none"/>
        </w:rPr>
      </w:pPr>
      <w:r>
        <w:rPr>
          <w:rFonts w:hint="eastAsia"/>
          <w:highlight w:val="none"/>
        </w:rPr>
        <w:t>——</w:t>
      </w:r>
      <w:r>
        <w:rPr>
          <w:rFonts w:hint="eastAsia" w:ascii="楷体_GB2312" w:hAnsi="楷体_GB2312" w:eastAsia="楷体_GB2312" w:cs="楷体_GB2312"/>
          <w:b/>
          <w:bCs/>
          <w:highlight w:val="none"/>
        </w:rPr>
        <w:t>城乡融合、坚守底线</w:t>
      </w:r>
      <w:r>
        <w:rPr>
          <w:rFonts w:hint="eastAsia"/>
          <w:b/>
          <w:bCs/>
          <w:highlight w:val="none"/>
        </w:rPr>
        <w:t>。</w:t>
      </w:r>
      <w:r>
        <w:rPr>
          <w:rFonts w:hint="eastAsia"/>
          <w:highlight w:val="none"/>
        </w:rPr>
        <w:t>发挥新型城镇化对富硒产业发展的辐射作用，重视引入人流对富硒产业发展的拉动作用，推动城乡要素自由流动、平等交换，形成产商互动、工农互促、城乡互补、融合联动、共同繁荣的富硒产业发展新格局。牢固树立“绿水青山就是金山银山”的理念，践行“人不负青山、青山定不负人”的方针，落实集约发展、保护优先、自然恢复为主的原则，统筹山、水、林、田、湖系统治理，严守保护生态底线，促进产业、生态协调发展。</w:t>
      </w:r>
    </w:p>
    <w:p>
      <w:pPr>
        <w:bidi w:val="0"/>
        <w:rPr>
          <w:highlight w:val="none"/>
        </w:rPr>
      </w:pPr>
      <w:r>
        <w:rPr>
          <w:rFonts w:hint="eastAsia"/>
          <w:highlight w:val="none"/>
        </w:rPr>
        <w:t>——</w:t>
      </w:r>
      <w:r>
        <w:rPr>
          <w:rFonts w:hint="eastAsia" w:ascii="楷体_GB2312" w:hAnsi="楷体_GB2312" w:eastAsia="楷体_GB2312" w:cs="楷体_GB2312"/>
          <w:b/>
          <w:bCs/>
          <w:highlight w:val="none"/>
        </w:rPr>
        <w:t>市场主体、政府引导</w:t>
      </w:r>
      <w:r>
        <w:rPr>
          <w:rFonts w:hint="eastAsia"/>
          <w:b/>
          <w:bCs/>
          <w:highlight w:val="none"/>
        </w:rPr>
        <w:t>。</w:t>
      </w:r>
      <w:r>
        <w:rPr>
          <w:rFonts w:hint="eastAsia"/>
          <w:highlight w:val="none"/>
        </w:rPr>
        <w:t>富硒产业发展要尊重农民意愿，调动农民的积极性、主动性、创造性。要充分发挥富硒产业园区、富硒产业企业引领、带动、示范作用。要走三产融合、文旅结合、城乡联合的路子。要尊重经济规律、市场准则、交易法则，按市场规律办事。要充分发挥政府的政策引导、项目扶持、金融支持的重要作用。</w:t>
      </w:r>
    </w:p>
    <w:p>
      <w:pPr>
        <w:bidi w:val="0"/>
        <w:rPr>
          <w:highlight w:val="none"/>
        </w:rPr>
      </w:pPr>
      <w:r>
        <w:rPr>
          <w:rFonts w:hint="eastAsia"/>
          <w:highlight w:val="none"/>
        </w:rPr>
        <w:t>——</w:t>
      </w:r>
      <w:r>
        <w:rPr>
          <w:rFonts w:hint="eastAsia" w:ascii="楷体_GB2312" w:hAnsi="楷体_GB2312" w:eastAsia="楷体_GB2312" w:cs="楷体_GB2312"/>
          <w:b/>
          <w:bCs/>
          <w:highlight w:val="none"/>
        </w:rPr>
        <w:t>科技创新、人才支撑</w:t>
      </w:r>
      <w:r>
        <w:rPr>
          <w:rFonts w:hint="eastAsia"/>
          <w:b/>
          <w:bCs/>
          <w:highlight w:val="none"/>
        </w:rPr>
        <w:t>。</w:t>
      </w:r>
      <w:r>
        <w:rPr>
          <w:rFonts w:hint="eastAsia"/>
          <w:highlight w:val="none"/>
        </w:rPr>
        <w:t>富硒产业发展离不开富硒科学研究、科技创新，政府要进一步重视富硒科学研究、加强科研团队建设，保证科研经费，引进、培养科研人才，走科技创新之路。要创造更多、更好的富硒科技产品，增加产品科技含量、产品价值。要强化富硒品牌建设，打造知名品牌、扩大产品的知名度、影响力。通过富硒产业科学研究、科技创新、品牌影响，引领富硒产业发展。</w:t>
      </w:r>
    </w:p>
    <w:p>
      <w:pPr>
        <w:pStyle w:val="4"/>
        <w:bidi w:val="0"/>
        <w:rPr>
          <w:highlight w:val="none"/>
        </w:rPr>
      </w:pPr>
      <w:bookmarkStart w:id="16" w:name="_Toc13143"/>
      <w:r>
        <w:rPr>
          <w:rFonts w:hint="eastAsia"/>
          <w:highlight w:val="none"/>
        </w:rPr>
        <w:t>第</w:t>
      </w:r>
      <w:r>
        <w:rPr>
          <w:rFonts w:hint="eastAsia"/>
          <w:highlight w:val="none"/>
          <w:lang w:eastAsia="zh-CN"/>
        </w:rPr>
        <w:t>十</w:t>
      </w:r>
      <w:r>
        <w:rPr>
          <w:rFonts w:hint="eastAsia"/>
          <w:highlight w:val="none"/>
        </w:rPr>
        <w:t xml:space="preserve">三节 </w:t>
      </w:r>
      <w:r>
        <w:rPr>
          <w:highlight w:val="none"/>
        </w:rPr>
        <w:t xml:space="preserve"> </w:t>
      </w:r>
      <w:r>
        <w:rPr>
          <w:rFonts w:hint="eastAsia"/>
          <w:highlight w:val="none"/>
        </w:rPr>
        <w:t>发展定位</w:t>
      </w:r>
      <w:bookmarkEnd w:id="16"/>
    </w:p>
    <w:p>
      <w:pPr>
        <w:bidi w:val="0"/>
        <w:rPr>
          <w:highlight w:val="none"/>
        </w:rPr>
      </w:pPr>
      <w:r>
        <w:rPr>
          <w:rFonts w:hint="eastAsia"/>
          <w:highlight w:val="none"/>
        </w:rPr>
        <w:t>根据习近平总书记“硒资源变硒产业”的重要指示和省、市关于富硒产业的战略部署，依托紫阳富硒土壤和“紫阳富硒茶”品牌优势，紧密围绕“</w:t>
      </w:r>
      <w:r>
        <w:rPr>
          <w:rFonts w:hint="eastAsia" w:ascii="楷体_GB2312" w:hAnsi="楷体_GB2312" w:eastAsia="楷体_GB2312" w:cs="楷体_GB2312"/>
          <w:b/>
          <w:bCs/>
          <w:highlight w:val="none"/>
          <w:lang w:eastAsia="zh-CN"/>
        </w:rPr>
        <w:t>中国硒谷</w:t>
      </w:r>
      <w:r>
        <w:rPr>
          <w:rFonts w:hint="eastAsia" w:ascii="楷体_GB2312" w:hAnsi="楷体_GB2312" w:eastAsia="楷体_GB2312" w:cs="楷体_GB2312"/>
          <w:b/>
          <w:bCs/>
          <w:highlight w:val="none"/>
        </w:rPr>
        <w:t>·</w:t>
      </w:r>
      <w:r>
        <w:rPr>
          <w:rFonts w:hint="eastAsia" w:ascii="楷体_GB2312" w:hAnsi="楷体_GB2312" w:eastAsia="楷体_GB2312" w:cs="楷体_GB2312"/>
          <w:b/>
          <w:bCs/>
          <w:highlight w:val="none"/>
          <w:lang w:eastAsia="zh-CN"/>
        </w:rPr>
        <w:t>生态紫阳</w:t>
      </w:r>
      <w:r>
        <w:rPr>
          <w:rFonts w:hint="eastAsia"/>
          <w:highlight w:val="none"/>
        </w:rPr>
        <w:t>”的战略定位，打造“</w:t>
      </w:r>
      <w:r>
        <w:rPr>
          <w:rFonts w:hint="eastAsia" w:ascii="楷体_GB2312" w:hAnsi="楷体_GB2312" w:eastAsia="楷体_GB2312" w:cs="楷体_GB2312"/>
          <w:b/>
          <w:bCs/>
          <w:highlight w:val="none"/>
        </w:rPr>
        <w:t>世界硒源·中国硒谷</w:t>
      </w:r>
      <w:r>
        <w:rPr>
          <w:rFonts w:hint="eastAsia"/>
          <w:highlight w:val="none"/>
        </w:rPr>
        <w:t>”核心区，以富硒资源为基础，以富硒食品开发为核心，以富硒康养旅游为延伸，打通“绿水青山”向“金山银山”双向转化通道，</w:t>
      </w:r>
      <w:r>
        <w:rPr>
          <w:rFonts w:hint="eastAsia"/>
          <w:highlight w:val="none"/>
          <w:lang w:eastAsia="zh-CN"/>
        </w:rPr>
        <w:t>奠定</w:t>
      </w:r>
      <w:r>
        <w:rPr>
          <w:rFonts w:hint="eastAsia"/>
          <w:highlight w:val="none"/>
        </w:rPr>
        <w:t>安康千亿</w:t>
      </w:r>
      <w:r>
        <w:rPr>
          <w:rFonts w:hint="eastAsia"/>
          <w:highlight w:val="none"/>
          <w:lang w:eastAsia="zh-CN"/>
        </w:rPr>
        <w:t>富硒</w:t>
      </w:r>
      <w:r>
        <w:rPr>
          <w:rFonts w:hint="eastAsia"/>
          <w:highlight w:val="none"/>
        </w:rPr>
        <w:t>产业</w:t>
      </w:r>
      <w:r>
        <w:rPr>
          <w:rFonts w:hint="eastAsia"/>
          <w:highlight w:val="none"/>
          <w:lang w:eastAsia="zh-CN"/>
        </w:rPr>
        <w:t>基础</w:t>
      </w:r>
      <w:r>
        <w:rPr>
          <w:rFonts w:hint="eastAsia"/>
          <w:highlight w:val="none"/>
        </w:rPr>
        <w:t>，做稳“立市之业”核心地位，将紫阳打造成全市富硒资源综合利用示范区、全省富硒产业高质量发展引领区、全国</w:t>
      </w:r>
      <w:r>
        <w:rPr>
          <w:rFonts w:hint="eastAsia"/>
          <w:highlight w:val="none"/>
          <w:lang w:eastAsia="zh-CN"/>
        </w:rPr>
        <w:t>富硒产业</w:t>
      </w:r>
      <w:r>
        <w:rPr>
          <w:rFonts w:hint="eastAsia"/>
          <w:highlight w:val="none"/>
        </w:rPr>
        <w:t>样板区。</w:t>
      </w:r>
    </w:p>
    <w:p>
      <w:pPr>
        <w:pStyle w:val="4"/>
        <w:bidi w:val="0"/>
      </w:pPr>
      <w:bookmarkStart w:id="17" w:name="_Toc21076"/>
      <w:r>
        <w:rPr>
          <w:rFonts w:hint="eastAsia"/>
        </w:rPr>
        <w:t>第</w:t>
      </w:r>
      <w:r>
        <w:rPr>
          <w:rFonts w:hint="eastAsia"/>
          <w:lang w:eastAsia="zh-CN"/>
        </w:rPr>
        <w:t>十</w:t>
      </w:r>
      <w:r>
        <w:rPr>
          <w:rFonts w:hint="eastAsia"/>
        </w:rPr>
        <w:t>四节　预期目标</w:t>
      </w:r>
      <w:bookmarkEnd w:id="17"/>
    </w:p>
    <w:p>
      <w:pPr>
        <w:bidi w:val="0"/>
        <w:rPr>
          <w:highlight w:val="none"/>
        </w:rPr>
      </w:pPr>
      <w:r>
        <w:rPr>
          <w:rFonts w:hint="eastAsia"/>
          <w:highlight w:val="none"/>
        </w:rPr>
        <w:t>大力实施创新驱动发展战略，在“世界富硒发源地、中国硒谷核心区”上下功夫、做文章，充分显现富硒资源优势。有效推动创新链、产业链、资金链、人才链深度融合，大力构建县域创新生态系统，逐步形成产业发展快、基地建设优、园区效率高、创业环境好、创新企业强、科技支撑实、产品销售旺的富硒产业发展新格局。2025年，初步建成中国富硒</w:t>
      </w:r>
      <w:r>
        <w:rPr>
          <w:rFonts w:hint="eastAsia"/>
          <w:highlight w:val="none"/>
          <w:lang w:eastAsia="zh-CN"/>
        </w:rPr>
        <w:t>产业</w:t>
      </w:r>
      <w:r>
        <w:rPr>
          <w:rFonts w:hint="eastAsia"/>
          <w:highlight w:val="none"/>
        </w:rPr>
        <w:t>强县，让“</w:t>
      </w:r>
      <w:r>
        <w:rPr>
          <w:rFonts w:hint="eastAsia"/>
          <w:highlight w:val="none"/>
          <w:lang w:eastAsia="zh-CN"/>
        </w:rPr>
        <w:t>中国硒谷</w:t>
      </w:r>
      <w:r>
        <w:rPr>
          <w:rFonts w:hint="eastAsia"/>
          <w:highlight w:val="none"/>
        </w:rPr>
        <w:t>·</w:t>
      </w:r>
      <w:r>
        <w:rPr>
          <w:rFonts w:hint="eastAsia"/>
          <w:highlight w:val="none"/>
          <w:lang w:eastAsia="zh-CN"/>
        </w:rPr>
        <w:t>生态紫阳</w:t>
      </w:r>
      <w:r>
        <w:rPr>
          <w:rFonts w:hint="eastAsia"/>
          <w:highlight w:val="none"/>
        </w:rPr>
        <w:t>”走向世界。</w:t>
      </w:r>
    </w:p>
    <w:p>
      <w:pPr>
        <w:bidi w:val="0"/>
        <w:rPr>
          <w:highlight w:val="none"/>
        </w:rPr>
      </w:pPr>
      <w:r>
        <w:rPr>
          <w:rFonts w:hint="eastAsia"/>
          <w:highlight w:val="none"/>
        </w:rPr>
        <w:t>——</w:t>
      </w:r>
      <w:r>
        <w:rPr>
          <w:rFonts w:hint="eastAsia" w:ascii="楷体_GB2312" w:hAnsi="楷体_GB2312" w:eastAsia="楷体_GB2312" w:cs="楷体_GB2312"/>
          <w:b/>
          <w:bCs/>
          <w:highlight w:val="none"/>
        </w:rPr>
        <w:t>富硒产业规模不断壮大</w:t>
      </w:r>
      <w:r>
        <w:rPr>
          <w:rFonts w:hint="eastAsia"/>
          <w:highlight w:val="none"/>
        </w:rPr>
        <w:t>。2025年，力争紫阳富硒产业综合产值跨越</w:t>
      </w:r>
      <w:r>
        <w:rPr>
          <w:rFonts w:hint="eastAsia"/>
          <w:color w:val="auto"/>
          <w:highlight w:val="none"/>
          <w:lang w:val="en-US" w:eastAsia="zh-CN"/>
        </w:rPr>
        <w:t>200</w:t>
      </w:r>
      <w:r>
        <w:rPr>
          <w:rFonts w:hint="eastAsia"/>
          <w:highlight w:val="none"/>
        </w:rPr>
        <w:t>亿元台阶，高质量发展部分占比</w:t>
      </w:r>
      <w:r>
        <w:rPr>
          <w:rFonts w:hint="eastAsia"/>
          <w:highlight w:val="none"/>
          <w:lang w:eastAsia="zh-CN"/>
        </w:rPr>
        <w:t>达到</w:t>
      </w:r>
      <w:r>
        <w:rPr>
          <w:rFonts w:hint="eastAsia"/>
          <w:color w:val="auto"/>
          <w:highlight w:val="none"/>
          <w:lang w:val="en-US" w:eastAsia="zh-CN"/>
        </w:rPr>
        <w:t>2</w:t>
      </w:r>
      <w:r>
        <w:rPr>
          <w:rFonts w:hint="eastAsia"/>
          <w:color w:val="auto"/>
          <w:highlight w:val="none"/>
        </w:rPr>
        <w:t>0%</w:t>
      </w:r>
      <w:r>
        <w:rPr>
          <w:rFonts w:hint="eastAsia"/>
          <w:highlight w:val="none"/>
          <w:lang w:eastAsia="zh-CN"/>
        </w:rPr>
        <w:t>以上</w:t>
      </w:r>
      <w:r>
        <w:rPr>
          <w:rFonts w:hint="eastAsia"/>
          <w:highlight w:val="none"/>
        </w:rPr>
        <w:t>，成为安康千亿富硒产业排头兵，</w:t>
      </w:r>
      <w:r>
        <w:rPr>
          <w:rFonts w:hint="eastAsia"/>
          <w:highlight w:val="none"/>
          <w:lang w:eastAsia="zh-CN"/>
        </w:rPr>
        <w:t>陕西富硒产业发展龙头县，</w:t>
      </w:r>
      <w:r>
        <w:rPr>
          <w:rFonts w:hint="eastAsia"/>
          <w:highlight w:val="none"/>
        </w:rPr>
        <w:t>中国富硒产业强县。</w:t>
      </w:r>
    </w:p>
    <w:p>
      <w:pPr>
        <w:bidi w:val="0"/>
        <w:rPr>
          <w:highlight w:val="none"/>
        </w:rPr>
      </w:pPr>
      <w:r>
        <w:rPr>
          <w:rFonts w:hint="eastAsia"/>
          <w:highlight w:val="none"/>
        </w:rPr>
        <w:t>——</w:t>
      </w:r>
      <w:r>
        <w:rPr>
          <w:rFonts w:hint="eastAsia" w:ascii="楷体_GB2312" w:hAnsi="楷体_GB2312" w:eastAsia="楷体_GB2312" w:cs="楷体_GB2312"/>
          <w:b/>
          <w:bCs/>
          <w:highlight w:val="none"/>
        </w:rPr>
        <w:t>富硒产业结构持续优化</w:t>
      </w:r>
      <w:r>
        <w:rPr>
          <w:rFonts w:hint="eastAsia"/>
          <w:highlight w:val="none"/>
        </w:rPr>
        <w:t>。按照“一业主导、多业并举”的富硒产业发展思路，进一步明确“硒+</w:t>
      </w:r>
      <w:r>
        <w:rPr>
          <w:rFonts w:hint="eastAsia"/>
          <w:highlight w:val="none"/>
          <w:lang w:val="en-US" w:eastAsia="zh-CN"/>
        </w:rPr>
        <w:t>X</w:t>
      </w:r>
      <w:r>
        <w:rPr>
          <w:rFonts w:hint="eastAsia"/>
          <w:highlight w:val="none"/>
        </w:rPr>
        <w:t>”发展战略，高度重视产业融合发展，加快推进富硒产业进行结构调整、转型升级，以富硒茶为引领，提升标准化水平，开展紫阳富硒茶标准化基地认证工作，</w:t>
      </w:r>
      <w:r>
        <w:rPr>
          <w:rFonts w:hint="eastAsia"/>
          <w:highlight w:val="none"/>
          <w:lang w:eastAsia="zh-CN"/>
        </w:rPr>
        <w:t>标准化</w:t>
      </w:r>
      <w:r>
        <w:rPr>
          <w:rFonts w:hint="eastAsia"/>
          <w:highlight w:val="none"/>
        </w:rPr>
        <w:t>富硒茶基地占比</w:t>
      </w:r>
      <w:r>
        <w:rPr>
          <w:rFonts w:hint="eastAsia"/>
          <w:highlight w:val="none"/>
          <w:lang w:eastAsia="zh-CN"/>
        </w:rPr>
        <w:t>达到</w:t>
      </w:r>
      <w:r>
        <w:rPr>
          <w:rFonts w:hint="eastAsia"/>
          <w:highlight w:val="none"/>
        </w:rPr>
        <w:t>50%以上，打造国家级“单品冠军”，带动、辐射其他富硒产业创新协同、高质量发展。</w:t>
      </w:r>
    </w:p>
    <w:p>
      <w:pPr>
        <w:bidi w:val="0"/>
        <w:rPr>
          <w:color w:val="000000" w:themeColor="text1"/>
          <w:highlight w:val="none"/>
          <w14:textFill>
            <w14:solidFill>
              <w14:schemeClr w14:val="tx1"/>
            </w14:solidFill>
          </w14:textFill>
        </w:rPr>
      </w:pPr>
      <w:r>
        <w:rPr>
          <w:rFonts w:hint="eastAsia"/>
          <w:highlight w:val="none"/>
        </w:rPr>
        <w:t>——</w:t>
      </w:r>
      <w:r>
        <w:rPr>
          <w:rFonts w:hint="eastAsia" w:ascii="楷体_GB2312" w:hAnsi="楷体_GB2312" w:eastAsia="楷体_GB2312" w:cs="楷体_GB2312"/>
          <w:b/>
          <w:bCs/>
          <w:highlight w:val="none"/>
        </w:rPr>
        <w:t>富硒产业园区建设加快</w:t>
      </w:r>
      <w:r>
        <w:rPr>
          <w:rFonts w:hint="eastAsia"/>
          <w:highlight w:val="none"/>
        </w:rPr>
        <w:t>。按照富硒产业集聚发展、集群发展的目标，加快蒿坪、双安富硒集聚核心区建设，提升硒谷园区和恒紫园区建设，推进乡镇富硒产业科技园建设。2025年，力争硒谷园区建成省级</w:t>
      </w:r>
      <w:r>
        <w:rPr>
          <w:rFonts w:hint="eastAsia"/>
          <w:color w:val="000000" w:themeColor="text1"/>
          <w:highlight w:val="none"/>
          <w:lang w:eastAsia="zh-CN"/>
          <w14:textFill>
            <w14:solidFill>
              <w14:schemeClr w14:val="tx1"/>
            </w14:solidFill>
          </w14:textFill>
        </w:rPr>
        <w:t>高</w:t>
      </w:r>
      <w:r>
        <w:rPr>
          <w:rFonts w:hint="eastAsia"/>
          <w:color w:val="000000" w:themeColor="text1"/>
          <w:highlight w:val="none"/>
          <w14:textFill>
            <w14:solidFill>
              <w14:schemeClr w14:val="tx1"/>
            </w14:solidFill>
          </w14:textFill>
        </w:rPr>
        <w:t>科技园区。</w:t>
      </w:r>
    </w:p>
    <w:p>
      <w:pPr>
        <w:bidi w:val="0"/>
        <w:rPr>
          <w:highlight w:val="none"/>
        </w:rPr>
      </w:pPr>
      <w:r>
        <w:rPr>
          <w:rFonts w:hint="eastAsia"/>
          <w:color w:val="000000" w:themeColor="text1"/>
          <w:highlight w:val="none"/>
          <w14:textFill>
            <w14:solidFill>
              <w14:schemeClr w14:val="tx1"/>
            </w14:solidFill>
          </w14:textFill>
        </w:rPr>
        <w:t>——</w:t>
      </w:r>
      <w:r>
        <w:rPr>
          <w:rFonts w:hint="eastAsia" w:ascii="楷体_GB2312" w:hAnsi="楷体_GB2312" w:eastAsia="楷体_GB2312" w:cs="楷体_GB2312"/>
          <w:b/>
          <w:bCs/>
          <w:color w:val="000000" w:themeColor="text1"/>
          <w:highlight w:val="none"/>
          <w14:textFill>
            <w14:solidFill>
              <w14:schemeClr w14:val="tx1"/>
            </w14:solidFill>
          </w14:textFill>
        </w:rPr>
        <w:t>富硒产业龙头企业壮大</w:t>
      </w:r>
      <w:r>
        <w:rPr>
          <w:rFonts w:hint="eastAsia"/>
          <w:color w:val="000000" w:themeColor="text1"/>
          <w:highlight w:val="none"/>
          <w14:textFill>
            <w14:solidFill>
              <w14:schemeClr w14:val="tx1"/>
            </w14:solidFill>
          </w14:textFill>
        </w:rPr>
        <w:t>。富硒高科技企业、富硒龙头骨干企业、富硒产业园区发展成效显著，富硒产业生态不断优化，富硒大中小企业竞相发展。建成</w:t>
      </w:r>
      <w:r>
        <w:rPr>
          <w:rFonts w:hint="eastAsia"/>
          <w:color w:val="000000" w:themeColor="text1"/>
          <w:highlight w:val="none"/>
          <w:lang w:eastAsia="zh-CN"/>
          <w14:textFill>
            <w14:solidFill>
              <w14:schemeClr w14:val="tx1"/>
            </w14:solidFill>
          </w14:textFill>
        </w:rPr>
        <w:t>一批</w:t>
      </w:r>
      <w:r>
        <w:rPr>
          <w:rFonts w:hint="eastAsia"/>
          <w:color w:val="000000" w:themeColor="text1"/>
          <w:highlight w:val="none"/>
          <w14:textFill>
            <w14:solidFill>
              <w14:schemeClr w14:val="tx1"/>
            </w14:solidFill>
          </w14:textFill>
        </w:rPr>
        <w:t>综合收入过亿元的龙头企业</w:t>
      </w:r>
      <w:r>
        <w:rPr>
          <w:rFonts w:hint="eastAsia"/>
          <w:color w:val="000000" w:themeColor="text1"/>
          <w:highlight w:val="none"/>
          <w:lang w:eastAsia="zh-CN"/>
          <w14:textFill>
            <w14:solidFill>
              <w14:schemeClr w14:val="tx1"/>
            </w14:solidFill>
          </w14:textFill>
        </w:rPr>
        <w:t>，其中</w:t>
      </w:r>
      <w:r>
        <w:rPr>
          <w:rFonts w:hint="eastAsia"/>
          <w:color w:val="000000" w:themeColor="text1"/>
          <w:highlight w:val="none"/>
          <w14:textFill>
            <w14:solidFill>
              <w14:schemeClr w14:val="tx1"/>
            </w14:solidFill>
          </w14:textFill>
        </w:rPr>
        <w:t>省级</w:t>
      </w:r>
      <w:r>
        <w:rPr>
          <w:rFonts w:hint="eastAsia"/>
          <w:color w:val="000000" w:themeColor="text1"/>
          <w:highlight w:val="none"/>
          <w:lang w:val="en-US" w:eastAsia="zh-CN"/>
          <w14:textFill>
            <w14:solidFill>
              <w14:schemeClr w14:val="tx1"/>
            </w14:solidFill>
          </w14:textFill>
        </w:rPr>
        <w:t>以上</w:t>
      </w:r>
      <w:r>
        <w:rPr>
          <w:rFonts w:hint="eastAsia"/>
          <w:color w:val="000000" w:themeColor="text1"/>
          <w:highlight w:val="none"/>
          <w14:textFill>
            <w14:solidFill>
              <w14:schemeClr w14:val="tx1"/>
            </w14:solidFill>
          </w14:textFill>
        </w:rPr>
        <w:t>龙头企业</w:t>
      </w:r>
      <w:r>
        <w:rPr>
          <w:rFonts w:hint="eastAsia"/>
          <w:color w:val="000000" w:themeColor="text1"/>
          <w:highlight w:val="none"/>
          <w:lang w:val="en-US" w:eastAsia="zh-CN"/>
          <w14:textFill>
            <w14:solidFill>
              <w14:schemeClr w14:val="tx1"/>
            </w14:solidFill>
          </w14:textFill>
        </w:rPr>
        <w:t>10</w:t>
      </w:r>
      <w:r>
        <w:rPr>
          <w:rFonts w:hint="eastAsia"/>
          <w:highlight w:val="none"/>
        </w:rPr>
        <w:t>家，十亿元企业、百亿元产业集群取得突破。</w:t>
      </w:r>
    </w:p>
    <w:p>
      <w:pPr>
        <w:bidi w:val="0"/>
        <w:rPr>
          <w:highlight w:val="none"/>
        </w:rPr>
      </w:pPr>
      <w:r>
        <w:rPr>
          <w:rFonts w:hint="eastAsia"/>
          <w:highlight w:val="none"/>
        </w:rPr>
        <w:t>——</w:t>
      </w:r>
      <w:r>
        <w:rPr>
          <w:rFonts w:hint="eastAsia" w:ascii="楷体_GB2312" w:hAnsi="楷体_GB2312" w:eastAsia="楷体_GB2312" w:cs="楷体_GB2312"/>
          <w:b/>
          <w:bCs/>
          <w:highlight w:val="none"/>
        </w:rPr>
        <w:t>富硒产业创新能力提升</w:t>
      </w:r>
      <w:r>
        <w:rPr>
          <w:rFonts w:hint="eastAsia"/>
          <w:highlight w:val="none"/>
        </w:rPr>
        <w:t>。富硒科技创新与富硒产业升级结合日趋紧密，传统富硒产业转型升级日渐加快，高新技术、战略性新兴产业加快发展。每万人发明专利拥有量</w:t>
      </w:r>
      <w:r>
        <w:rPr>
          <w:rFonts w:hint="eastAsia"/>
          <w:highlight w:val="none"/>
          <w:lang w:val="en-US" w:eastAsia="zh-CN"/>
        </w:rPr>
        <w:t>3</w:t>
      </w:r>
      <w:r>
        <w:rPr>
          <w:rFonts w:hint="eastAsia"/>
          <w:highlight w:val="none"/>
        </w:rPr>
        <w:t>件，高新技术企业10家、科技型中小企业30家以上。</w:t>
      </w:r>
    </w:p>
    <w:p>
      <w:pPr>
        <w:bidi w:val="0"/>
        <w:rPr>
          <w:highlight w:val="none"/>
        </w:rPr>
      </w:pPr>
      <w:r>
        <w:rPr>
          <w:rFonts w:hint="eastAsia"/>
          <w:highlight w:val="none"/>
        </w:rPr>
        <w:t>——</w:t>
      </w:r>
      <w:r>
        <w:rPr>
          <w:rFonts w:hint="eastAsia" w:ascii="楷体_GB2312" w:hAnsi="楷体_GB2312" w:eastAsia="楷体_GB2312" w:cs="楷体_GB2312"/>
          <w:b/>
          <w:bCs/>
          <w:highlight w:val="none"/>
        </w:rPr>
        <w:t>富硒产业创业环境优化。</w:t>
      </w:r>
      <w:r>
        <w:rPr>
          <w:rFonts w:hint="eastAsia"/>
          <w:highlight w:val="none"/>
        </w:rPr>
        <w:t>大众创业、万众创新氛围更加浓厚，载体更加完备，平台更加健全，服务更加完善，科技企业孵化器、众创空间更加专业化、特色化。省级以上研发</w:t>
      </w:r>
      <w:r>
        <w:rPr>
          <w:rFonts w:hint="eastAsia"/>
          <w:highlight w:val="none"/>
          <w:lang w:eastAsia="zh-CN"/>
        </w:rPr>
        <w:t>机构</w:t>
      </w:r>
      <w:r>
        <w:rPr>
          <w:rFonts w:hint="eastAsia"/>
          <w:highlight w:val="none"/>
        </w:rPr>
        <w:t>3家，科技企业孵化器、众创空间</w:t>
      </w:r>
      <w:r>
        <w:rPr>
          <w:rFonts w:hint="eastAsia"/>
          <w:highlight w:val="none"/>
          <w:lang w:eastAsia="zh-CN"/>
        </w:rPr>
        <w:t>等创新创业平台</w:t>
      </w:r>
      <w:r>
        <w:rPr>
          <w:rFonts w:hint="eastAsia"/>
          <w:highlight w:val="none"/>
        </w:rPr>
        <w:t>5家，院士专家工作站2家。</w:t>
      </w:r>
    </w:p>
    <w:p>
      <w:pPr>
        <w:bidi w:val="0"/>
        <w:rPr>
          <w:highlight w:val="none"/>
        </w:rPr>
      </w:pPr>
      <w:r>
        <w:rPr>
          <w:rFonts w:hint="eastAsia"/>
          <w:highlight w:val="none"/>
        </w:rPr>
        <w:t>——</w:t>
      </w:r>
      <w:r>
        <w:rPr>
          <w:rFonts w:hint="eastAsia" w:ascii="楷体_GB2312" w:hAnsi="楷体_GB2312" w:eastAsia="楷体_GB2312" w:cs="楷体_GB2312"/>
          <w:b/>
          <w:bCs/>
          <w:highlight w:val="none"/>
        </w:rPr>
        <w:t>富硒产业带动农民致富</w:t>
      </w:r>
      <w:r>
        <w:rPr>
          <w:rFonts w:hint="eastAsia"/>
          <w:highlight w:val="none"/>
        </w:rPr>
        <w:t>。富硒产业发展基础在农村、主体是农民。富硒产业发展重要的目的就要让广大农民走上致富发家的道路。富硒产业发展要充分发挥农村集体经济组织的作用，进一步加大政府对农村集体经济组织的投入，让农民多种形式入股、多渠道参与富硒产业发展，使广大农民在富硒产业发展中经济收入显著提高。</w:t>
      </w:r>
    </w:p>
    <w:p>
      <w:pPr>
        <w:bidi w:val="0"/>
        <w:rPr>
          <w:rFonts w:hint="eastAsia"/>
          <w:highlight w:val="none"/>
        </w:rPr>
      </w:pPr>
      <w:r>
        <w:rPr>
          <w:rFonts w:hint="eastAsia"/>
          <w:highlight w:val="none"/>
        </w:rPr>
        <w:t>到2035年，与全国同步</w:t>
      </w:r>
      <w:r>
        <w:rPr>
          <w:rFonts w:hint="eastAsia"/>
          <w:highlight w:val="none"/>
          <w:lang w:eastAsia="zh-CN"/>
        </w:rPr>
        <w:t>基本</w:t>
      </w:r>
      <w:r>
        <w:rPr>
          <w:rFonts w:hint="eastAsia"/>
          <w:highlight w:val="none"/>
        </w:rPr>
        <w:t>实现社会主义现代化，富硒产业产值突破1000亿元，对县域经济贡献率达到60%以上，全面建成中国富硒产业强县。</w:t>
      </w:r>
    </w:p>
    <w:p>
      <w:pPr>
        <w:pStyle w:val="2"/>
        <w:rPr>
          <w:rFonts w:hint="eastAsia"/>
          <w:highlight w:val="none"/>
        </w:rPr>
      </w:pPr>
    </w:p>
    <w:p>
      <w:pPr>
        <w:pStyle w:val="3"/>
        <w:rPr>
          <w:rFonts w:hint="eastAsia"/>
        </w:rPr>
      </w:pPr>
    </w:p>
    <w:p>
      <w:pPr>
        <w:pStyle w:val="11"/>
        <w:bidi w:val="0"/>
        <w:outlineLvl w:val="0"/>
        <w:rPr>
          <w:highlight w:val="none"/>
        </w:rPr>
      </w:pPr>
      <w:bookmarkStart w:id="18" w:name="_Toc31146"/>
      <w:r>
        <w:rPr>
          <w:rFonts w:hint="eastAsia"/>
          <w:highlight w:val="none"/>
        </w:rPr>
        <w:t>第五章</w:t>
      </w:r>
      <w:r>
        <w:rPr>
          <w:rFonts w:hint="eastAsia"/>
          <w:highlight w:val="none"/>
          <w:lang w:eastAsia="zh-CN"/>
        </w:rPr>
        <w:t>　</w:t>
      </w:r>
      <w:r>
        <w:rPr>
          <w:rFonts w:hint="eastAsia"/>
          <w:highlight w:val="none"/>
        </w:rPr>
        <w:t>产业布局</w:t>
      </w:r>
      <w:bookmarkEnd w:id="18"/>
    </w:p>
    <w:p>
      <w:pPr>
        <w:pStyle w:val="4"/>
        <w:bidi w:val="0"/>
        <w:rPr>
          <w:highlight w:val="none"/>
        </w:rPr>
      </w:pPr>
      <w:bookmarkStart w:id="19" w:name="_Toc17969"/>
      <w:r>
        <w:rPr>
          <w:rFonts w:hint="eastAsia"/>
          <w:highlight w:val="none"/>
        </w:rPr>
        <w:t>第</w:t>
      </w:r>
      <w:r>
        <w:rPr>
          <w:rFonts w:hint="eastAsia"/>
          <w:highlight w:val="none"/>
          <w:lang w:eastAsia="zh-CN"/>
        </w:rPr>
        <w:t>十五</w:t>
      </w:r>
      <w:r>
        <w:rPr>
          <w:rFonts w:hint="eastAsia"/>
          <w:highlight w:val="none"/>
        </w:rPr>
        <w:t>节</w:t>
      </w:r>
      <w:r>
        <w:rPr>
          <w:rFonts w:hint="eastAsia"/>
          <w:highlight w:val="none"/>
          <w:lang w:eastAsia="zh-CN"/>
        </w:rPr>
        <w:t>　</w:t>
      </w:r>
      <w:r>
        <w:rPr>
          <w:rFonts w:hint="eastAsia"/>
          <w:highlight w:val="none"/>
        </w:rPr>
        <w:t>空间布局</w:t>
      </w:r>
      <w:bookmarkEnd w:id="19"/>
    </w:p>
    <w:p>
      <w:pPr>
        <w:bidi w:val="0"/>
        <w:rPr>
          <w:highlight w:val="none"/>
        </w:rPr>
      </w:pPr>
      <w:r>
        <w:rPr>
          <w:rFonts w:hint="eastAsia"/>
          <w:highlight w:val="none"/>
        </w:rPr>
        <w:t>根据紫阳县国家主体功能区建设方案、紫阳县汉江经济带发展规划、紫阳富硒产业发展行动计划，结合紫阳县乡村振兴实际，紫阳县富硒产业布局重点抓好“一心、两带、三园”建设，推动“三区”</w:t>
      </w:r>
      <w:r>
        <w:rPr>
          <w:rFonts w:hint="eastAsia"/>
          <w:highlight w:val="none"/>
          <w:lang w:eastAsia="zh-CN"/>
        </w:rPr>
        <w:t>协同</w:t>
      </w:r>
      <w:r>
        <w:rPr>
          <w:rFonts w:hint="eastAsia"/>
          <w:highlight w:val="none"/>
        </w:rPr>
        <w:t>发展。</w:t>
      </w:r>
    </w:p>
    <w:p>
      <w:pPr>
        <w:bidi w:val="0"/>
        <w:rPr>
          <w:highlight w:val="none"/>
        </w:rPr>
      </w:pPr>
      <w:r>
        <w:rPr>
          <w:rFonts w:hint="eastAsia"/>
          <w:highlight w:val="none"/>
        </w:rPr>
        <w:t>在产业链布局上，坚持以“富硒资源为依托、富硒产业为基础、富硒产品为核心、融合发展为路径”的发展模式</w:t>
      </w:r>
      <w:r>
        <w:rPr>
          <w:rFonts w:hint="eastAsia"/>
          <w:highlight w:val="none"/>
          <w:lang w:eastAsia="zh-CN"/>
        </w:rPr>
        <w:t>，</w:t>
      </w:r>
      <w:r>
        <w:rPr>
          <w:rFonts w:hint="eastAsia"/>
          <w:highlight w:val="none"/>
        </w:rPr>
        <w:t>打造“资源为上、产业为先、产品为王”的富硒产业发展新高地。</w:t>
      </w:r>
    </w:p>
    <w:p>
      <w:pPr>
        <w:bidi w:val="0"/>
        <w:rPr>
          <w:highlight w:val="none"/>
        </w:rPr>
      </w:pPr>
      <w:r>
        <w:rPr>
          <w:rFonts w:hint="eastAsia" w:ascii="楷体_GB2312" w:hAnsi="楷体_GB2312" w:eastAsia="楷体_GB2312" w:cs="楷体_GB2312"/>
          <w:b/>
          <w:bCs/>
          <w:highlight w:val="none"/>
        </w:rPr>
        <w:t>一心</w:t>
      </w:r>
      <w:r>
        <w:rPr>
          <w:rFonts w:hint="eastAsia"/>
          <w:highlight w:val="none"/>
        </w:rPr>
        <w:t>：以县城为中心，按照核心优化、外围拓展思路，推进“一城四区、一主两副”核心区建设。即：紫阳县城，老城区、江南新区、任河嘴新区、西门河新区；紫阳县城主城区，蒿坪、向阳两个副中心。重点发展紫阳富硒茶聚集贸易区和富硒产业标准化服务支撑板块，配套发展富硒科研、富硒茶旅、富硒文旅、商贸物流等为重点的富硒产业发展集群。</w:t>
      </w:r>
    </w:p>
    <w:p>
      <w:pPr>
        <w:bidi w:val="0"/>
        <w:rPr>
          <w:highlight w:val="none"/>
        </w:rPr>
      </w:pPr>
      <w:r>
        <w:rPr>
          <w:rFonts w:hint="eastAsia" w:ascii="楷体_GB2312" w:hAnsi="楷体_GB2312" w:eastAsia="楷体_GB2312" w:cs="楷体_GB2312"/>
          <w:b/>
          <w:bCs/>
          <w:highlight w:val="none"/>
        </w:rPr>
        <w:t>两带</w:t>
      </w:r>
      <w:r>
        <w:rPr>
          <w:rFonts w:hint="eastAsia"/>
          <w:highlight w:val="none"/>
        </w:rPr>
        <w:t>：依托包茂高速、541国道、汉江水域等交通优势，构建汉江富硒茶橘经济带和任河富硒水产、畜禽经济带。即以富硒茶叶、富硒金钱橘混种为主的生态观光型富硒产业经济带，以富硒高山冷水渔业、富硒魔芋、富硒生猪、富硒白山羊、富硒中药材、富硒茶旅等为重点的富硒生态产业经济带。</w:t>
      </w:r>
    </w:p>
    <w:p>
      <w:pPr>
        <w:bidi w:val="0"/>
        <w:rPr>
          <w:highlight w:val="none"/>
        </w:rPr>
      </w:pPr>
      <w:r>
        <w:rPr>
          <w:rFonts w:hint="eastAsia" w:ascii="楷体_GB2312" w:hAnsi="楷体_GB2312" w:eastAsia="楷体_GB2312" w:cs="楷体_GB2312"/>
          <w:b/>
          <w:bCs/>
          <w:highlight w:val="none"/>
        </w:rPr>
        <w:t>三园</w:t>
      </w:r>
      <w:r>
        <w:rPr>
          <w:rFonts w:hint="eastAsia"/>
          <w:highlight w:val="none"/>
        </w:rPr>
        <w:t>：蒿坪硒谷生态产业园区、恒紫“飞地”工业园区、现代农业科技园。硒谷产业园区重点完善园区道路、给排水、污水处理等基础设施，加快孵化中心建设，加强富硒产品研发，推动富硒产品深加工，延伸产业链，提升质量效益，打造全国富硒食饮品加工基地。恒紫“飞地”工业园区重点探索跨区域协作与利益共享机制，破解土地瓶颈制约，完善园区道路、标准化厂房、综合管沟、污水垃圾处理等基础设施，推进新型材料、生物医药、工业品物流等产业发展。现代农业科技园重点围绕富硒产业培育、品牌建设、提质增效，按照规模化、集约化、标准化、市场化要求，充分发挥富硒产业龙头企业的引领带动作用，用工业</w:t>
      </w:r>
      <w:r>
        <w:rPr>
          <w:rFonts w:hint="eastAsia"/>
          <w:highlight w:val="none"/>
          <w:lang w:eastAsia="zh-CN"/>
        </w:rPr>
        <w:t>化</w:t>
      </w:r>
      <w:r>
        <w:rPr>
          <w:rFonts w:hint="eastAsia"/>
          <w:highlight w:val="none"/>
        </w:rPr>
        <w:t>理念推动农业科技园区特色产业与现代加工业、物流业、生态观光有机结合，形成贸工农、产加销一体化的生产经营体系。</w:t>
      </w:r>
    </w:p>
    <w:p>
      <w:pPr>
        <w:bidi w:val="0"/>
        <w:rPr>
          <w:highlight w:val="none"/>
        </w:rPr>
      </w:pPr>
      <w:r>
        <w:rPr>
          <w:rFonts w:hint="eastAsia" w:ascii="楷体_GB2312" w:hAnsi="楷体_GB2312" w:eastAsia="楷体_GB2312" w:cs="楷体_GB2312"/>
          <w:b/>
          <w:bCs/>
          <w:highlight w:val="none"/>
        </w:rPr>
        <w:t>三区</w:t>
      </w:r>
      <w:r>
        <w:rPr>
          <w:rFonts w:hint="eastAsia"/>
          <w:highlight w:val="none"/>
        </w:rPr>
        <w:t>：东南部大巴山区、西南部米仓山区、北部凤凰山区。推动富硒产业标准化基地建设，因地制宜发展富硒产业种植区，重点推动已有基地实现标准化生产，通过检验检测，控制基地出产富硒产品质量，提升产品效益，引导一二三产融合发展。</w:t>
      </w:r>
    </w:p>
    <w:p>
      <w:pPr>
        <w:pStyle w:val="4"/>
        <w:bidi w:val="0"/>
        <w:rPr>
          <w:highlight w:val="none"/>
        </w:rPr>
      </w:pPr>
      <w:bookmarkStart w:id="20" w:name="_Toc27314"/>
      <w:r>
        <w:rPr>
          <w:rFonts w:hint="eastAsia"/>
          <w:highlight w:val="none"/>
        </w:rPr>
        <w:t>第</w:t>
      </w:r>
      <w:r>
        <w:rPr>
          <w:rFonts w:hint="eastAsia"/>
          <w:highlight w:val="none"/>
          <w:lang w:eastAsia="zh-CN"/>
        </w:rPr>
        <w:t>十六</w:t>
      </w:r>
      <w:r>
        <w:rPr>
          <w:rFonts w:hint="eastAsia"/>
          <w:highlight w:val="none"/>
        </w:rPr>
        <w:t>节</w:t>
      </w:r>
      <w:r>
        <w:rPr>
          <w:rFonts w:hint="eastAsia"/>
          <w:highlight w:val="none"/>
          <w:lang w:eastAsia="zh-CN"/>
        </w:rPr>
        <w:t>　</w:t>
      </w:r>
      <w:r>
        <w:rPr>
          <w:rFonts w:hint="eastAsia"/>
          <w:highlight w:val="none"/>
        </w:rPr>
        <w:t>基地建设</w:t>
      </w:r>
      <w:bookmarkEnd w:id="20"/>
    </w:p>
    <w:p>
      <w:pPr>
        <w:bidi w:val="0"/>
        <w:rPr>
          <w:highlight w:val="none"/>
        </w:rPr>
      </w:pPr>
      <w:r>
        <w:rPr>
          <w:rFonts w:hint="eastAsia"/>
          <w:highlight w:val="none"/>
        </w:rPr>
        <w:t>富硒产业标准化基地建设是富硒产业发展的基础，按照“低山茶叶、粮油、蔬菜，中山魔芋、林果，高山木本药材，发展渔业养殖，生猪养殖”的立体布局，坚持“一镇一业、一村一品”，大力推进“三区”富硒产业标准化基地建设。</w:t>
      </w:r>
    </w:p>
    <w:p>
      <w:pPr>
        <w:bidi w:val="0"/>
        <w:rPr>
          <w:highlight w:val="none"/>
        </w:rPr>
      </w:pPr>
      <w:r>
        <w:rPr>
          <w:rFonts w:hint="eastAsia"/>
          <w:highlight w:val="none"/>
        </w:rPr>
        <w:t>——</w:t>
      </w:r>
      <w:r>
        <w:rPr>
          <w:rFonts w:hint="eastAsia" w:ascii="楷体_GB2312" w:hAnsi="楷体_GB2312" w:eastAsia="楷体_GB2312" w:cs="楷体_GB2312"/>
          <w:b/>
          <w:bCs/>
          <w:highlight w:val="none"/>
        </w:rPr>
        <w:t>东南部大巴山区</w:t>
      </w:r>
      <w:r>
        <w:rPr>
          <w:rFonts w:hint="eastAsia"/>
          <w:highlight w:val="none"/>
        </w:rPr>
        <w:t>。围绕基础设施完善，依托集镇和大型安置社区，重点发展富硒山林经济、富硒畜禽养殖、富硒水产养殖、富硒食用菌、富硒蔬菜、中药材开发等。</w:t>
      </w:r>
    </w:p>
    <w:p>
      <w:pPr>
        <w:bidi w:val="0"/>
        <w:rPr>
          <w:highlight w:val="none"/>
        </w:rPr>
      </w:pPr>
      <w:r>
        <w:rPr>
          <w:rFonts w:hint="eastAsia"/>
          <w:highlight w:val="none"/>
        </w:rPr>
        <w:t>——</w:t>
      </w:r>
      <w:r>
        <w:rPr>
          <w:rFonts w:hint="eastAsia" w:ascii="楷体_GB2312" w:hAnsi="楷体_GB2312" w:eastAsia="楷体_GB2312" w:cs="楷体_GB2312"/>
          <w:b/>
          <w:bCs/>
          <w:highlight w:val="none"/>
        </w:rPr>
        <w:t>西南部米仓山区</w:t>
      </w:r>
      <w:r>
        <w:rPr>
          <w:rFonts w:hint="eastAsia"/>
          <w:highlight w:val="none"/>
        </w:rPr>
        <w:t>。围绕流域综合开发与治理、历史文化街区保护修复，重点发展田园综合体建设、特色小镇建设、民宿集群建设、生态康养建设，加快向阳五省会馆小镇建设、焕姑硒茶小镇建设，推动富硒茶旅、富硒文旅、富硒康养融合发展。</w:t>
      </w:r>
    </w:p>
    <w:p>
      <w:pPr>
        <w:bidi w:val="0"/>
        <w:rPr>
          <w:highlight w:val="none"/>
        </w:rPr>
      </w:pPr>
      <w:r>
        <w:rPr>
          <w:rFonts w:hint="eastAsia"/>
          <w:highlight w:val="none"/>
        </w:rPr>
        <w:t>——</w:t>
      </w:r>
      <w:r>
        <w:rPr>
          <w:rFonts w:hint="eastAsia" w:ascii="楷体_GB2312" w:hAnsi="楷体_GB2312" w:eastAsia="楷体_GB2312" w:cs="楷体_GB2312"/>
          <w:b/>
          <w:bCs/>
          <w:highlight w:val="none"/>
        </w:rPr>
        <w:t>北部凤凰山区</w:t>
      </w:r>
      <w:r>
        <w:rPr>
          <w:rFonts w:hint="eastAsia"/>
          <w:highlight w:val="none"/>
        </w:rPr>
        <w:t>。围绕硒资源开发利用、低产低效茶园改造，培育壮大特色富硒产业，重点发展高效富硒粮油、富硒食品加工业，硒资源开发与利用等。加快蒿坪硒谷生态产业园区扩容增效，加快蒿坪、双安富硒集聚核心区产业发展，推动蒿坪富硒生态康养小镇、双安闹热村世界硒源地、富硒博物馆建设，打造硒富硒科技文化旅游度假区。</w:t>
      </w:r>
    </w:p>
    <w:p>
      <w:pPr>
        <w:pStyle w:val="4"/>
        <w:bidi w:val="0"/>
        <w:rPr>
          <w:highlight w:val="none"/>
        </w:rPr>
      </w:pPr>
      <w:bookmarkStart w:id="21" w:name="_Toc10719"/>
      <w:r>
        <w:rPr>
          <w:rFonts w:hint="eastAsia"/>
          <w:highlight w:val="none"/>
        </w:rPr>
        <w:t>第</w:t>
      </w:r>
      <w:r>
        <w:rPr>
          <w:rFonts w:hint="eastAsia"/>
          <w:highlight w:val="none"/>
          <w:lang w:eastAsia="zh-CN"/>
        </w:rPr>
        <w:t>十七</w:t>
      </w:r>
      <w:r>
        <w:rPr>
          <w:rFonts w:hint="eastAsia"/>
          <w:highlight w:val="none"/>
        </w:rPr>
        <w:t>节</w:t>
      </w:r>
      <w:r>
        <w:rPr>
          <w:rFonts w:hint="eastAsia"/>
          <w:highlight w:val="none"/>
          <w:lang w:eastAsia="zh-CN"/>
        </w:rPr>
        <w:t>　</w:t>
      </w:r>
      <w:r>
        <w:rPr>
          <w:rFonts w:hint="eastAsia"/>
          <w:highlight w:val="none"/>
        </w:rPr>
        <w:t>重点产业</w:t>
      </w:r>
      <w:bookmarkEnd w:id="21"/>
    </w:p>
    <w:p>
      <w:pPr>
        <w:bidi w:val="0"/>
        <w:rPr>
          <w:highlight w:val="none"/>
        </w:rPr>
      </w:pPr>
      <w:r>
        <w:rPr>
          <w:rFonts w:hint="eastAsia"/>
          <w:highlight w:val="none"/>
        </w:rPr>
        <w:t>按照“一业主导、多业并举”</w:t>
      </w:r>
      <w:r>
        <w:rPr>
          <w:rFonts w:hint="eastAsia"/>
          <w:highlight w:val="none"/>
          <w:lang w:eastAsia="zh-CN"/>
        </w:rPr>
        <w:t>发</w:t>
      </w:r>
      <w:r>
        <w:rPr>
          <w:rFonts w:hint="eastAsia"/>
          <w:color w:val="000000" w:themeColor="text1"/>
          <w:highlight w:val="none"/>
          <w:lang w:eastAsia="zh-CN"/>
          <w14:textFill>
            <w14:solidFill>
              <w14:schemeClr w14:val="tx1"/>
            </w14:solidFill>
          </w14:textFill>
        </w:rPr>
        <w:t>展</w:t>
      </w:r>
      <w:r>
        <w:rPr>
          <w:rFonts w:hint="eastAsia"/>
          <w:color w:val="000000" w:themeColor="text1"/>
          <w:highlight w:val="none"/>
          <w14:textFill>
            <w14:solidFill>
              <w14:schemeClr w14:val="tx1"/>
            </w14:solidFill>
          </w14:textFill>
        </w:rPr>
        <w:t>思路，</w:t>
      </w:r>
      <w:r>
        <w:rPr>
          <w:rFonts w:hint="eastAsia"/>
          <w:color w:val="000000" w:themeColor="text1"/>
          <w:highlight w:val="none"/>
          <w:lang w:eastAsia="zh-CN"/>
          <w14:textFill>
            <w14:solidFill>
              <w14:schemeClr w14:val="tx1"/>
            </w14:solidFill>
          </w14:textFill>
        </w:rPr>
        <w:t>构建</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N</w:t>
      </w:r>
      <w:r>
        <w:rPr>
          <w:rFonts w:hint="eastAsia"/>
          <w:color w:val="000000" w:themeColor="text1"/>
          <w:highlight w:val="none"/>
          <w14:textFill>
            <w14:solidFill>
              <w14:schemeClr w14:val="tx1"/>
            </w14:solidFill>
          </w14:textFill>
        </w:rPr>
        <w:t>”富硒产业体系，即“1”以紫阳富硒茶为引领，</w:t>
      </w:r>
      <w:r>
        <w:rPr>
          <w:rFonts w:hint="eastAsia"/>
          <w:color w:val="000000" w:themeColor="text1"/>
          <w:highlight w:val="none"/>
          <w:lang w:eastAsia="zh-CN"/>
          <w14:textFill>
            <w14:solidFill>
              <w14:schemeClr w14:val="tx1"/>
            </w14:solidFill>
          </w14:textFill>
        </w:rPr>
        <w:t>打造</w:t>
      </w:r>
      <w:r>
        <w:rPr>
          <w:rFonts w:hint="eastAsia"/>
          <w:color w:val="000000" w:themeColor="text1"/>
          <w:highlight w:val="none"/>
          <w14:textFill>
            <w14:solidFill>
              <w14:schemeClr w14:val="tx1"/>
            </w14:solidFill>
          </w14:textFill>
        </w:rPr>
        <w:t>国家级“单品冠军”，带动</w:t>
      </w:r>
      <w:r>
        <w:rPr>
          <w:rFonts w:hint="eastAsia"/>
          <w:color w:val="000000" w:themeColor="text1"/>
          <w:highlight w:val="none"/>
          <w:lang w:eastAsia="zh-CN"/>
          <w14:textFill>
            <w14:solidFill>
              <w14:schemeClr w14:val="tx1"/>
            </w14:solidFill>
          </w14:textFill>
        </w:rPr>
        <w:t>粮油、</w:t>
      </w:r>
      <w:r>
        <w:rPr>
          <w:rFonts w:hint="eastAsia"/>
          <w:highlight w:val="none"/>
        </w:rPr>
        <w:t>饮用水、魔芋、蔬菜、生猪、白山羊、渔业、金钱橘等优势产业发展，兼顾其他特色、小众产业。</w:t>
      </w:r>
    </w:p>
    <w:p>
      <w:pPr>
        <w:bidi w:val="0"/>
        <w:rPr>
          <w:highlight w:val="none"/>
        </w:rPr>
      </w:pPr>
      <w:r>
        <w:rPr>
          <w:rFonts w:hint="eastAsia"/>
          <w:highlight w:val="none"/>
        </w:rPr>
        <w:t>⒈</w:t>
      </w:r>
      <w:r>
        <w:rPr>
          <w:rFonts w:hint="eastAsia" w:ascii="楷体_GB2312" w:hAnsi="楷体_GB2312" w:eastAsia="楷体_GB2312" w:cs="楷体_GB2312"/>
          <w:b/>
          <w:bCs/>
          <w:highlight w:val="none"/>
        </w:rPr>
        <w:t>重点发展富硒茶主导产业</w:t>
      </w:r>
      <w:r>
        <w:rPr>
          <w:rFonts w:hint="eastAsia"/>
          <w:highlight w:val="none"/>
        </w:rPr>
        <w:t>。把紫阳富硒茶作为全县首位产业持续打造，坚持园区承载、龙头带动、科技支撑、品牌引领，实施紫阳富硒茶基地授牌、产业科技创新、融合发展行动计划，加强富硒茶叶企业服务支撑，在提品质、强品牌、增效益上狠下功夫。</w:t>
      </w:r>
    </w:p>
    <w:p>
      <w:pPr>
        <w:bidi w:val="0"/>
        <w:rPr>
          <w:highlight w:val="none"/>
        </w:rPr>
      </w:pPr>
      <w:r>
        <w:rPr>
          <w:rFonts w:hint="eastAsia"/>
          <w:highlight w:val="none"/>
        </w:rPr>
        <w:t>⒉</w:t>
      </w:r>
      <w:r>
        <w:rPr>
          <w:rFonts w:hint="eastAsia" w:ascii="楷体_GB2312" w:hAnsi="楷体_GB2312" w:eastAsia="楷体_GB2312" w:cs="楷体_GB2312"/>
          <w:b/>
          <w:bCs/>
          <w:highlight w:val="none"/>
        </w:rPr>
        <w:t>加快发展富硒优势产业</w:t>
      </w:r>
      <w:r>
        <w:rPr>
          <w:rFonts w:hint="eastAsia"/>
          <w:highlight w:val="none"/>
        </w:rPr>
        <w:t>。</w:t>
      </w:r>
      <w:r>
        <w:rPr>
          <w:rFonts w:hint="eastAsia"/>
          <w:color w:val="000000" w:themeColor="text1"/>
          <w:highlight w:val="none"/>
          <w14:textFill>
            <w14:solidFill>
              <w14:schemeClr w14:val="tx1"/>
            </w14:solidFill>
          </w14:textFill>
        </w:rPr>
        <w:t>稳定富硒粮油种植面积，不断提高</w:t>
      </w:r>
      <w:r>
        <w:rPr>
          <w:rFonts w:hint="eastAsia"/>
          <w:color w:val="000000" w:themeColor="text1"/>
          <w:highlight w:val="none"/>
          <w:lang w:eastAsia="zh-CN"/>
          <w14:textFill>
            <w14:solidFill>
              <w14:schemeClr w14:val="tx1"/>
            </w14:solidFill>
          </w14:textFill>
        </w:rPr>
        <w:t>单</w:t>
      </w:r>
      <w:r>
        <w:rPr>
          <w:rFonts w:hint="eastAsia"/>
          <w:color w:val="000000" w:themeColor="text1"/>
          <w:highlight w:val="none"/>
          <w14:textFill>
            <w14:solidFill>
              <w14:schemeClr w14:val="tx1"/>
            </w14:solidFill>
          </w14:textFill>
        </w:rPr>
        <w:t>产、品质。</w:t>
      </w:r>
      <w:r>
        <w:rPr>
          <w:rFonts w:hint="eastAsia"/>
          <w:highlight w:val="none"/>
        </w:rPr>
        <w:t>按照“企业+合作社+基地+农户”“硒+X”模式，加快富硒魔芋产业发展，巩固“全国魔芋产业重点基地县”地位。大力推进标准化、规模化、生态化富硒生猪养殖，建设生猪繁育中心、加大标准化富硒生猪</w:t>
      </w:r>
      <w:r>
        <w:rPr>
          <w:rFonts w:hint="eastAsia"/>
          <w:highlight w:val="none"/>
          <w:lang w:eastAsia="zh-CN"/>
        </w:rPr>
        <w:t>养殖</w:t>
      </w:r>
      <w:r>
        <w:rPr>
          <w:rFonts w:hint="eastAsia"/>
          <w:highlight w:val="none"/>
        </w:rPr>
        <w:t>规模，加大富硒生猪产品开发，提高富硒生猪附加值。利用汉江、任河及其支流淡水资源优势，抓住国家长江流域</w:t>
      </w:r>
      <w:r>
        <w:rPr>
          <w:rFonts w:hint="eastAsia"/>
          <w:highlight w:val="none"/>
          <w:lang w:eastAsia="zh-CN"/>
        </w:rPr>
        <w:t>禁渔机</w:t>
      </w:r>
      <w:r>
        <w:rPr>
          <w:rFonts w:hint="eastAsia"/>
          <w:color w:val="000000" w:themeColor="text1"/>
          <w:highlight w:val="none"/>
          <w:lang w:eastAsia="zh-CN"/>
          <w14:textFill>
            <w14:solidFill>
              <w14:schemeClr w14:val="tx1"/>
            </w14:solidFill>
          </w14:textFill>
        </w:rPr>
        <w:t>遇</w:t>
      </w:r>
      <w:r>
        <w:rPr>
          <w:rFonts w:hint="eastAsia"/>
          <w:highlight w:val="none"/>
        </w:rPr>
        <w:t>，大力发展富硒高山冷水渔业，保护性发展任河流域钱鱼，汝河、洄水流域红尾负鳅珍稀鱼。</w:t>
      </w:r>
    </w:p>
    <w:p>
      <w:pPr>
        <w:bidi w:val="0"/>
        <w:rPr>
          <w:highlight w:val="none"/>
        </w:rPr>
      </w:pPr>
      <w:r>
        <w:rPr>
          <w:rFonts w:hint="eastAsia"/>
          <w:highlight w:val="none"/>
        </w:rPr>
        <w:t>⒊</w:t>
      </w:r>
      <w:r>
        <w:rPr>
          <w:rFonts w:hint="eastAsia" w:ascii="楷体_GB2312" w:hAnsi="楷体_GB2312" w:eastAsia="楷体_GB2312" w:cs="楷体_GB2312"/>
          <w:b/>
          <w:bCs/>
          <w:highlight w:val="none"/>
        </w:rPr>
        <w:t>大力发展富硒饮用水产业</w:t>
      </w:r>
      <w:r>
        <w:rPr>
          <w:rFonts w:hint="eastAsia"/>
          <w:highlight w:val="none"/>
        </w:rPr>
        <w:t>。把富硒饮用水作为全县重点产业发展，综合利用全县富硒水和洁净水源的资源禀赋优势，做好富硒水资源调查研究、开发利用基础工作，加快引进资金、技术、人才、品牌等要素，加大富硒水招商引资工作力度，大力发展富硒饮用水、富硒饮品，切实做足紫阳富硒水文章。</w:t>
      </w:r>
    </w:p>
    <w:p>
      <w:pPr>
        <w:bidi w:val="0"/>
        <w:rPr>
          <w:highlight w:val="none"/>
        </w:rPr>
      </w:pPr>
      <w:r>
        <w:rPr>
          <w:rFonts w:hint="eastAsia"/>
          <w:highlight w:val="none"/>
        </w:rPr>
        <w:t>⒋</w:t>
      </w:r>
      <w:r>
        <w:rPr>
          <w:rFonts w:hint="eastAsia" w:ascii="楷体_GB2312" w:hAnsi="楷体_GB2312" w:eastAsia="楷体_GB2312" w:cs="楷体_GB2312"/>
          <w:b/>
          <w:bCs/>
          <w:highlight w:val="none"/>
        </w:rPr>
        <w:t>积极发展富硒</w:t>
      </w:r>
      <w:r>
        <w:rPr>
          <w:rFonts w:hint="eastAsia" w:ascii="楷体_GB2312" w:hAnsi="楷体_GB2312" w:eastAsia="楷体_GB2312" w:cs="楷体_GB2312"/>
          <w:b/>
          <w:bCs/>
          <w:highlight w:val="none"/>
          <w:lang w:eastAsia="zh-CN"/>
        </w:rPr>
        <w:t>特色</w:t>
      </w:r>
      <w:r>
        <w:rPr>
          <w:rFonts w:hint="eastAsia" w:ascii="楷体_GB2312" w:hAnsi="楷体_GB2312" w:eastAsia="楷体_GB2312" w:cs="楷体_GB2312"/>
          <w:b/>
          <w:bCs/>
          <w:highlight w:val="none"/>
        </w:rPr>
        <w:t>小众产业</w:t>
      </w:r>
      <w:r>
        <w:rPr>
          <w:rFonts w:hint="eastAsia"/>
          <w:highlight w:val="none"/>
        </w:rPr>
        <w:t>。发挥生态优势、富硒资源优势，积极发展对劳动技能要求不高、适宜分散生产经营的富硒</w:t>
      </w:r>
      <w:r>
        <w:rPr>
          <w:rFonts w:hint="eastAsia"/>
          <w:highlight w:val="none"/>
          <w:lang w:eastAsia="zh-CN"/>
        </w:rPr>
        <w:t>金钱橘</w:t>
      </w:r>
      <w:r>
        <w:rPr>
          <w:rFonts w:hint="eastAsia"/>
          <w:highlight w:val="none"/>
        </w:rPr>
        <w:t>、猕猴桃、蔬菜、食用菌、中药材、白山羊等传统优势产业，丰富品种，拓展市场。</w:t>
      </w:r>
    </w:p>
    <w:p>
      <w:pPr>
        <w:bidi w:val="0"/>
        <w:rPr>
          <w:rFonts w:hint="eastAsia"/>
          <w:highlight w:val="none"/>
        </w:rPr>
      </w:pPr>
      <w:r>
        <w:rPr>
          <w:rFonts w:hint="eastAsia"/>
          <w:highlight w:val="none"/>
        </w:rPr>
        <w:t>⒌</w:t>
      </w:r>
      <w:r>
        <w:rPr>
          <w:rFonts w:hint="eastAsia" w:ascii="楷体_GB2312" w:hAnsi="楷体_GB2312" w:eastAsia="楷体_GB2312" w:cs="楷体_GB2312"/>
          <w:b/>
          <w:bCs/>
          <w:highlight w:val="none"/>
        </w:rPr>
        <w:t>融合发展</w:t>
      </w:r>
      <w:r>
        <w:rPr>
          <w:rFonts w:hint="eastAsia" w:ascii="楷体_GB2312" w:hAnsi="楷体_GB2312" w:eastAsia="楷体_GB2312" w:cs="楷体_GB2312"/>
          <w:b/>
          <w:bCs/>
          <w:highlight w:val="none"/>
          <w:lang w:eastAsia="zh-CN"/>
        </w:rPr>
        <w:t>硒</w:t>
      </w:r>
      <w:r>
        <w:rPr>
          <w:rFonts w:hint="eastAsia" w:ascii="楷体_GB2312" w:hAnsi="楷体_GB2312" w:eastAsia="楷体_GB2312" w:cs="楷体_GB2312"/>
          <w:b/>
          <w:bCs/>
          <w:highlight w:val="none"/>
        </w:rPr>
        <w:t>文旅</w:t>
      </w:r>
      <w:r>
        <w:rPr>
          <w:rFonts w:hint="eastAsia" w:ascii="楷体_GB2312" w:hAnsi="楷体_GB2312" w:eastAsia="楷体_GB2312" w:cs="楷体_GB2312"/>
          <w:b/>
          <w:bCs/>
          <w:highlight w:val="none"/>
          <w:lang w:eastAsia="zh-CN"/>
        </w:rPr>
        <w:t>养</w:t>
      </w:r>
      <w:r>
        <w:rPr>
          <w:rFonts w:hint="eastAsia" w:ascii="楷体_GB2312" w:hAnsi="楷体_GB2312" w:eastAsia="楷体_GB2312" w:cs="楷体_GB2312"/>
          <w:b/>
          <w:bCs/>
          <w:highlight w:val="none"/>
        </w:rPr>
        <w:t>产业</w:t>
      </w:r>
      <w:r>
        <w:rPr>
          <w:rFonts w:hint="eastAsia"/>
          <w:highlight w:val="none"/>
        </w:rPr>
        <w:t>。依托紫阳山、水、硒、茶、歌、道等特色资源与紫阳深厚的文化内涵，赋予紫阳富硒旅游独特的资源优势和文化灵魂，坚持“</w:t>
      </w:r>
      <w:r>
        <w:rPr>
          <w:rFonts w:hint="eastAsia"/>
          <w:b/>
          <w:bCs/>
          <w:highlight w:val="none"/>
        </w:rPr>
        <w:t>汉江画廊·茶歌紫阳</w:t>
      </w:r>
      <w:r>
        <w:rPr>
          <w:rFonts w:hint="eastAsia"/>
          <w:highlight w:val="none"/>
        </w:rPr>
        <w:t>”旅游品牌定位，唱响“</w:t>
      </w:r>
      <w:r>
        <w:rPr>
          <w:rFonts w:hint="eastAsia"/>
          <w:b/>
          <w:bCs/>
          <w:highlight w:val="none"/>
        </w:rPr>
        <w:t>秦巴汉水福地·中国紫阳富硒</w:t>
      </w:r>
      <w:r>
        <w:rPr>
          <w:rFonts w:hint="eastAsia"/>
          <w:highlight w:val="none"/>
        </w:rPr>
        <w:t>”富硒旅游主旋律，以“一城两镇四村八景”为重点，着力补短板、提质量、促升级，全力构建景城互动、产旅互补、文旅融合的富硒休闲、养生、度假、体验全域旅游新格局。打造西北地区一流的富硒特色旅游目的地和富硒山水休闲度假养生胜地，让富硒旅游成为紫阳新的经济增长极。</w:t>
      </w:r>
    </w:p>
    <w:p>
      <w:pPr>
        <w:pStyle w:val="3"/>
        <w:rPr>
          <w:rFonts w:hint="eastAsia"/>
        </w:rPr>
      </w:pPr>
    </w:p>
    <w:p>
      <w:pPr>
        <w:pStyle w:val="11"/>
        <w:bidi w:val="0"/>
        <w:outlineLvl w:val="0"/>
        <w:rPr>
          <w:rFonts w:hint="eastAsia"/>
          <w:highlight w:val="none"/>
        </w:rPr>
      </w:pPr>
      <w:bookmarkStart w:id="22" w:name="_Toc17790"/>
      <w:r>
        <w:rPr>
          <w:rFonts w:hint="eastAsia"/>
          <w:highlight w:val="none"/>
        </w:rPr>
        <w:t>第六章</w:t>
      </w:r>
      <w:r>
        <w:rPr>
          <w:rFonts w:hint="eastAsia"/>
          <w:highlight w:val="none"/>
          <w:lang w:eastAsia="zh-CN"/>
        </w:rPr>
        <w:t>　</w:t>
      </w:r>
      <w:r>
        <w:rPr>
          <w:rFonts w:hint="eastAsia"/>
          <w:highlight w:val="none"/>
        </w:rPr>
        <w:t>重</w:t>
      </w:r>
      <w:r>
        <w:rPr>
          <w:rFonts w:hint="eastAsia"/>
          <w:highlight w:val="none"/>
          <w:lang w:eastAsia="zh-CN"/>
        </w:rPr>
        <w:t>大</w:t>
      </w:r>
      <w:r>
        <w:rPr>
          <w:rFonts w:hint="eastAsia"/>
          <w:highlight w:val="none"/>
        </w:rPr>
        <w:t>工程</w:t>
      </w:r>
      <w:bookmarkEnd w:id="22"/>
    </w:p>
    <w:p>
      <w:pPr>
        <w:pStyle w:val="4"/>
        <w:bidi w:val="0"/>
        <w:rPr>
          <w:highlight w:val="none"/>
        </w:rPr>
      </w:pPr>
      <w:bookmarkStart w:id="23" w:name="_Toc2463"/>
      <w:r>
        <w:rPr>
          <w:rFonts w:hint="eastAsia"/>
          <w:highlight w:val="none"/>
        </w:rPr>
        <w:t>第</w:t>
      </w:r>
      <w:r>
        <w:rPr>
          <w:rFonts w:hint="eastAsia"/>
          <w:highlight w:val="none"/>
          <w:lang w:eastAsia="zh-CN"/>
        </w:rPr>
        <w:t>十八</w:t>
      </w:r>
      <w:r>
        <w:rPr>
          <w:rFonts w:hint="eastAsia"/>
          <w:highlight w:val="none"/>
        </w:rPr>
        <w:t>节</w:t>
      </w:r>
      <w:r>
        <w:rPr>
          <w:rFonts w:hint="eastAsia"/>
          <w:highlight w:val="none"/>
          <w:lang w:eastAsia="zh-CN"/>
        </w:rPr>
        <w:t>　</w:t>
      </w:r>
      <w:r>
        <w:rPr>
          <w:rFonts w:hint="eastAsia"/>
          <w:highlight w:val="none"/>
        </w:rPr>
        <w:t>富硒茶主导工程</w:t>
      </w:r>
      <w:bookmarkEnd w:id="23"/>
    </w:p>
    <w:p>
      <w:pPr>
        <w:bidi w:val="0"/>
        <w:rPr>
          <w:color w:val="000000" w:themeColor="text1"/>
          <w:highlight w:val="none"/>
          <w14:textFill>
            <w14:solidFill>
              <w14:schemeClr w14:val="tx1"/>
            </w14:solidFill>
          </w14:textFill>
        </w:rPr>
      </w:pPr>
      <w:r>
        <w:rPr>
          <w:rFonts w:hint="eastAsia"/>
          <w:highlight w:val="none"/>
          <w:lang w:eastAsia="zh-CN"/>
        </w:rPr>
        <w:t>认真抓好</w:t>
      </w:r>
      <w:r>
        <w:rPr>
          <w:rFonts w:hint="eastAsia"/>
          <w:highlight w:val="none"/>
        </w:rPr>
        <w:t>《紫阳县茶产业“十百千万”工程实施方案》《紫阳县茶产业全域绿色发展实施意见》</w:t>
      </w:r>
      <w:r>
        <w:rPr>
          <w:rFonts w:hint="eastAsia"/>
          <w:highlight w:val="none"/>
          <w:lang w:eastAsia="zh-CN"/>
        </w:rPr>
        <w:t>等政策措施落实，</w:t>
      </w:r>
      <w:r>
        <w:rPr>
          <w:rFonts w:hint="eastAsia"/>
          <w:highlight w:val="none"/>
        </w:rPr>
        <w:t>从种源种苗、产业基地、生产加工、品质控制、品牌培育、推广营销、茶旅融合等方面给予全方位扶持，推进茶产业转型升级、提质增效</w:t>
      </w:r>
      <w:r>
        <w:rPr>
          <w:rFonts w:hint="eastAsia"/>
          <w:color w:val="000000" w:themeColor="text1"/>
          <w:highlight w:val="none"/>
          <w:lang w:eastAsia="zh-CN"/>
          <w14:textFill>
            <w14:solidFill>
              <w14:schemeClr w14:val="tx1"/>
            </w14:solidFill>
          </w14:textFill>
        </w:rPr>
        <w:t>和高质量发展</w:t>
      </w:r>
      <w:r>
        <w:rPr>
          <w:rFonts w:hint="eastAsia"/>
          <w:color w:val="000000" w:themeColor="text1"/>
          <w:highlight w:val="none"/>
          <w14:textFill>
            <w14:solidFill>
              <w14:schemeClr w14:val="tx1"/>
            </w14:solidFill>
          </w14:textFill>
        </w:rPr>
        <w:t>。2025年，紫阳富硒茶面积达到2</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万亩，产量突破10000吨，综合产值达到100亿元，“紫阳富硒茶”享誉海内外。</w:t>
      </w:r>
    </w:p>
    <w:p>
      <w:pPr>
        <w:bidi w:val="0"/>
        <w:rPr>
          <w:highlight w:val="none"/>
        </w:rPr>
      </w:pPr>
      <w:r>
        <w:rPr>
          <w:rFonts w:hint="eastAsia" w:ascii="楷体_GB2312" w:hAnsi="楷体_GB2312" w:eastAsia="楷体_GB2312" w:cs="楷体_GB2312"/>
          <w:b/>
          <w:bCs/>
          <w:color w:val="000000" w:themeColor="text1"/>
          <w:highlight w:val="none"/>
          <w14:textFill>
            <w14:solidFill>
              <w14:schemeClr w14:val="tx1"/>
            </w14:solidFill>
          </w14:textFill>
        </w:rPr>
        <w:t>⒈做优基地建设</w:t>
      </w:r>
      <w:r>
        <w:rPr>
          <w:rFonts w:hint="eastAsia"/>
          <w:color w:val="000000" w:themeColor="text1"/>
          <w:highlight w:val="none"/>
          <w14:textFill>
            <w14:solidFill>
              <w14:schemeClr w14:val="tx1"/>
            </w14:solidFill>
          </w14:textFill>
        </w:rPr>
        <w:t>。“十四五”紫阳富硒茶基地建设主要任务在于优化升级，不在于盲目扩充。重点在转型升级、提质增效、高质量发展。通过改造老</w:t>
      </w:r>
      <w:r>
        <w:rPr>
          <w:rFonts w:hint="eastAsia"/>
          <w:color w:val="000000" w:themeColor="text1"/>
          <w:highlight w:val="none"/>
          <w:lang w:eastAsia="zh-CN"/>
          <w14:textFill>
            <w14:solidFill>
              <w14:schemeClr w14:val="tx1"/>
            </w14:solidFill>
          </w14:textFill>
        </w:rPr>
        <w:t>旧</w:t>
      </w:r>
      <w:r>
        <w:rPr>
          <w:rFonts w:hint="eastAsia"/>
          <w:color w:val="000000" w:themeColor="text1"/>
          <w:highlight w:val="none"/>
          <w14:textFill>
            <w14:solidFill>
              <w14:schemeClr w14:val="tx1"/>
            </w14:solidFill>
          </w14:textFill>
        </w:rPr>
        <w:t>茶园</w:t>
      </w:r>
      <w:r>
        <w:rPr>
          <w:rFonts w:hint="eastAsia"/>
          <w:color w:val="000000" w:themeColor="text1"/>
          <w:highlight w:val="none"/>
          <w:lang w:val="en-US" w:eastAsia="zh-CN"/>
          <w14:textFill>
            <w14:solidFill>
              <w14:schemeClr w14:val="tx1"/>
            </w14:solidFill>
          </w14:textFill>
        </w:rPr>
        <w:t>和低产茶园</w:t>
      </w:r>
      <w:r>
        <w:rPr>
          <w:rFonts w:hint="eastAsia"/>
          <w:color w:val="000000" w:themeColor="text1"/>
          <w:highlight w:val="none"/>
          <w14:textFill>
            <w14:solidFill>
              <w14:schemeClr w14:val="tx1"/>
            </w14:solidFill>
          </w14:textFill>
        </w:rPr>
        <w:t>、</w:t>
      </w:r>
      <w:r>
        <w:rPr>
          <w:rFonts w:hint="eastAsia"/>
          <w:highlight w:val="none"/>
        </w:rPr>
        <w:t>优化品种、标准化富硒、建设茶园集群、发展高品质茶、提高品牌价值，让紫阳富硒茶以独特的品质取胜。</w:t>
      </w:r>
    </w:p>
    <w:p>
      <w:pPr>
        <w:bidi w:val="0"/>
        <w:rPr>
          <w:color w:val="000000" w:themeColor="text1"/>
          <w:highlight w:val="none"/>
          <w14:textFill>
            <w14:solidFill>
              <w14:schemeClr w14:val="tx1"/>
            </w14:solidFill>
          </w14:textFill>
        </w:rPr>
      </w:pPr>
      <w:r>
        <w:rPr>
          <w:rFonts w:hint="eastAsia" w:ascii="楷体_GB2312" w:hAnsi="楷体_GB2312" w:eastAsia="楷体_GB2312" w:cs="楷体_GB2312"/>
          <w:b/>
          <w:bCs/>
          <w:highlight w:val="none"/>
        </w:rPr>
        <w:t>⒉提高加工水平</w:t>
      </w:r>
      <w:r>
        <w:rPr>
          <w:rFonts w:hint="eastAsia"/>
          <w:highlight w:val="none"/>
        </w:rPr>
        <w:t>。传承传统工艺的精华、继承非物质文化遗产，引进新技术、新工艺，不断创新、超越</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加快转型升级。</w:t>
      </w:r>
      <w:r>
        <w:rPr>
          <w:rFonts w:hint="eastAsia"/>
          <w:color w:val="000000" w:themeColor="text1"/>
          <w:highlight w:val="none"/>
          <w14:textFill>
            <w14:solidFill>
              <w14:schemeClr w14:val="tx1"/>
            </w14:solidFill>
          </w14:textFill>
        </w:rPr>
        <w:t>把绿茶、红茶、白茶、黑茶、金钱橘茶、花茶、调味茶、茶点、茶饮等做细、做精、做出标准，做成名优产品。</w:t>
      </w:r>
    </w:p>
    <w:p>
      <w:pPr>
        <w:bidi w:val="0"/>
        <w:rPr>
          <w:color w:val="000000" w:themeColor="text1"/>
          <w:highlight w:val="none"/>
          <w14:textFill>
            <w14:solidFill>
              <w14:schemeClr w14:val="tx1"/>
            </w14:solidFill>
          </w14:textFill>
        </w:rPr>
      </w:pPr>
      <w:r>
        <w:rPr>
          <w:rFonts w:hint="eastAsia" w:ascii="楷体_GB2312" w:hAnsi="楷体_GB2312" w:eastAsia="楷体_GB2312" w:cs="楷体_GB2312"/>
          <w:b/>
          <w:bCs/>
          <w:color w:val="000000" w:themeColor="text1"/>
          <w:highlight w:val="none"/>
          <w14:textFill>
            <w14:solidFill>
              <w14:schemeClr w14:val="tx1"/>
            </w14:solidFill>
          </w14:textFill>
        </w:rPr>
        <w:t>⒊提升品牌价值</w:t>
      </w:r>
      <w:r>
        <w:rPr>
          <w:rFonts w:hint="eastAsia"/>
          <w:color w:val="000000" w:themeColor="text1"/>
          <w:highlight w:val="none"/>
          <w14:textFill>
            <w14:solidFill>
              <w14:schemeClr w14:val="tx1"/>
            </w14:solidFill>
          </w14:textFill>
        </w:rPr>
        <w:t>。大</w:t>
      </w:r>
      <w:r>
        <w:rPr>
          <w:rFonts w:hint="eastAsia"/>
          <w:color w:val="000000" w:themeColor="text1"/>
          <w:highlight w:val="none"/>
          <w:lang w:eastAsia="zh-CN"/>
          <w14:textFill>
            <w14:solidFill>
              <w14:schemeClr w14:val="tx1"/>
            </w14:solidFill>
          </w14:textFill>
        </w:rPr>
        <w:t>力实施</w:t>
      </w:r>
      <w:r>
        <w:rPr>
          <w:rFonts w:hint="eastAsia"/>
          <w:color w:val="000000" w:themeColor="text1"/>
          <w:highlight w:val="none"/>
          <w14:textFill>
            <w14:solidFill>
              <w14:schemeClr w14:val="tx1"/>
            </w14:solidFill>
          </w14:textFill>
        </w:rPr>
        <w:t>品牌战略，</w:t>
      </w:r>
      <w:r>
        <w:rPr>
          <w:rFonts w:hint="eastAsia"/>
          <w:color w:val="000000" w:themeColor="text1"/>
          <w:highlight w:val="none"/>
          <w:lang w:eastAsia="zh-CN"/>
          <w14:textFill>
            <w14:solidFill>
              <w14:schemeClr w14:val="tx1"/>
            </w14:solidFill>
          </w14:textFill>
        </w:rPr>
        <w:t>加快推进</w:t>
      </w:r>
      <w:r>
        <w:rPr>
          <w:rFonts w:hint="eastAsia"/>
          <w:color w:val="000000" w:themeColor="text1"/>
          <w:highlight w:val="none"/>
          <w14:textFill>
            <w14:solidFill>
              <w14:schemeClr w14:val="tx1"/>
            </w14:solidFill>
          </w14:textFill>
        </w:rPr>
        <w:t>多渠道品牌开发、多品种品牌创建、高品质品牌</w:t>
      </w:r>
      <w:r>
        <w:rPr>
          <w:rFonts w:hint="eastAsia"/>
          <w:color w:val="000000" w:themeColor="text1"/>
          <w:highlight w:val="none"/>
          <w:lang w:eastAsia="zh-CN"/>
          <w14:textFill>
            <w14:solidFill>
              <w14:schemeClr w14:val="tx1"/>
            </w14:solidFill>
          </w14:textFill>
        </w:rPr>
        <w:t>宣传</w:t>
      </w:r>
      <w:r>
        <w:rPr>
          <w:rFonts w:hint="eastAsia"/>
          <w:color w:val="000000" w:themeColor="text1"/>
          <w:highlight w:val="none"/>
          <w14:textFill>
            <w14:solidFill>
              <w14:schemeClr w14:val="tx1"/>
            </w14:solidFill>
          </w14:textFill>
        </w:rPr>
        <w:t>，把紫阳富硒茶提升至中国富硒茶第一品牌、世界富硒茶知名品牌</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品牌价值</w:t>
      </w:r>
      <w:r>
        <w:rPr>
          <w:rFonts w:hint="eastAsia"/>
          <w:color w:val="000000" w:themeColor="text1"/>
          <w:highlight w:val="none"/>
          <w:lang w:eastAsia="zh-CN"/>
          <w14:textFill>
            <w14:solidFill>
              <w14:schemeClr w14:val="tx1"/>
            </w14:solidFill>
          </w14:textFill>
        </w:rPr>
        <w:t>超过</w:t>
      </w:r>
      <w:r>
        <w:rPr>
          <w:rFonts w:hint="eastAsia"/>
          <w:color w:val="000000" w:themeColor="text1"/>
          <w:highlight w:val="none"/>
          <w14:textFill>
            <w14:solidFill>
              <w14:schemeClr w14:val="tx1"/>
            </w14:solidFill>
          </w14:textFill>
        </w:rPr>
        <w:t>100亿元。</w:t>
      </w:r>
    </w:p>
    <w:p>
      <w:pPr>
        <w:bidi w:val="0"/>
        <w:rPr>
          <w:highlight w:val="none"/>
        </w:rPr>
      </w:pPr>
      <w:r>
        <w:rPr>
          <w:rFonts w:hint="eastAsia" w:ascii="楷体_GB2312" w:hAnsi="楷体_GB2312" w:eastAsia="楷体_GB2312" w:cs="楷体_GB2312"/>
          <w:b/>
          <w:bCs/>
          <w:color w:val="000000" w:themeColor="text1"/>
          <w:highlight w:val="none"/>
          <w14:textFill>
            <w14:solidFill>
              <w14:schemeClr w14:val="tx1"/>
            </w14:solidFill>
          </w14:textFill>
        </w:rPr>
        <w:t>⒋培育紫阳茶种</w:t>
      </w:r>
      <w:r>
        <w:rPr>
          <w:rFonts w:hint="eastAsia"/>
          <w:color w:val="000000" w:themeColor="text1"/>
          <w:highlight w:val="none"/>
          <w14:textFill>
            <w14:solidFill>
              <w14:schemeClr w14:val="tx1"/>
            </w14:solidFill>
          </w14:textFill>
        </w:rPr>
        <w:t>。紫阳富硒茶</w:t>
      </w:r>
      <w:r>
        <w:rPr>
          <w:rFonts w:hint="eastAsia"/>
          <w:color w:val="000000" w:themeColor="text1"/>
          <w:highlight w:val="none"/>
          <w:lang w:eastAsia="zh-CN"/>
          <w14:textFill>
            <w14:solidFill>
              <w14:schemeClr w14:val="tx1"/>
            </w14:solidFill>
          </w14:textFill>
        </w:rPr>
        <w:t>具有</w:t>
      </w:r>
      <w:r>
        <w:rPr>
          <w:rFonts w:hint="eastAsia"/>
          <w:color w:val="000000" w:themeColor="text1"/>
          <w:highlight w:val="none"/>
          <w:lang w:val="en-US" w:eastAsia="zh-CN"/>
          <w14:textFill>
            <w14:solidFill>
              <w14:schemeClr w14:val="tx1"/>
            </w14:solidFill>
          </w14:textFill>
        </w:rPr>
        <w:t>有益成分丰富</w:t>
      </w:r>
      <w:r>
        <w:rPr>
          <w:rFonts w:hint="eastAsia"/>
          <w:color w:val="000000" w:themeColor="text1"/>
          <w:highlight w:val="none"/>
          <w14:textFill>
            <w14:solidFill>
              <w14:schemeClr w14:val="tx1"/>
            </w14:solidFill>
          </w14:textFill>
        </w:rPr>
        <w:t>、</w:t>
      </w:r>
      <w:r>
        <w:rPr>
          <w:rFonts w:hint="eastAsia"/>
          <w:highlight w:val="none"/>
        </w:rPr>
        <w:t>甘甜回味、耐冲泡</w:t>
      </w:r>
      <w:r>
        <w:rPr>
          <w:rFonts w:hint="eastAsia"/>
          <w:highlight w:val="none"/>
          <w:lang w:eastAsia="zh-CN"/>
        </w:rPr>
        <w:t>等独特</w:t>
      </w:r>
      <w:r>
        <w:rPr>
          <w:rFonts w:hint="eastAsia"/>
          <w:highlight w:val="none"/>
        </w:rPr>
        <w:t>优势。</w:t>
      </w:r>
      <w:r>
        <w:rPr>
          <w:rFonts w:hint="eastAsia"/>
          <w:highlight w:val="none"/>
          <w:lang w:eastAsia="zh-CN"/>
        </w:rPr>
        <w:t>“十四五”期间，要把</w:t>
      </w:r>
      <w:r>
        <w:rPr>
          <w:rFonts w:hint="eastAsia"/>
          <w:highlight w:val="none"/>
        </w:rPr>
        <w:t>紫阳茶种</w:t>
      </w:r>
      <w:r>
        <w:rPr>
          <w:rFonts w:hint="eastAsia"/>
          <w:highlight w:val="none"/>
          <w:lang w:eastAsia="zh-CN"/>
        </w:rPr>
        <w:t>培育作为</w:t>
      </w:r>
      <w:r>
        <w:rPr>
          <w:rFonts w:hint="eastAsia"/>
          <w:highlight w:val="none"/>
        </w:rPr>
        <w:t>紫阳茶叶发展的基础产业</w:t>
      </w:r>
      <w:r>
        <w:rPr>
          <w:rFonts w:hint="eastAsia"/>
          <w:highlight w:val="none"/>
          <w:lang w:eastAsia="zh-CN"/>
        </w:rPr>
        <w:t>，在继承中创新，在创新中发展，实现新的</w:t>
      </w:r>
      <w:r>
        <w:rPr>
          <w:rFonts w:hint="eastAsia"/>
          <w:highlight w:val="none"/>
        </w:rPr>
        <w:t>突破，</w:t>
      </w:r>
      <w:r>
        <w:rPr>
          <w:rFonts w:hint="eastAsia"/>
          <w:highlight w:val="none"/>
          <w:lang w:eastAsia="zh-CN"/>
        </w:rPr>
        <w:t>提升</w:t>
      </w:r>
      <w:r>
        <w:rPr>
          <w:rFonts w:hint="eastAsia"/>
          <w:highlight w:val="none"/>
        </w:rPr>
        <w:t>紫阳茶种的知名度、影响力，提高紫阳茶种的经济效益，</w:t>
      </w:r>
      <w:r>
        <w:rPr>
          <w:rFonts w:hint="eastAsia"/>
          <w:highlight w:val="none"/>
          <w:lang w:eastAsia="zh-CN"/>
        </w:rPr>
        <w:t>为</w:t>
      </w:r>
      <w:r>
        <w:rPr>
          <w:rFonts w:hint="eastAsia"/>
          <w:highlight w:val="none"/>
        </w:rPr>
        <w:t>紫阳茶叶</w:t>
      </w:r>
      <w:r>
        <w:rPr>
          <w:rFonts w:hint="eastAsia"/>
          <w:highlight w:val="none"/>
          <w:lang w:eastAsia="zh-CN"/>
        </w:rPr>
        <w:t>、富硒</w:t>
      </w:r>
      <w:r>
        <w:rPr>
          <w:rFonts w:hint="eastAsia"/>
          <w:highlight w:val="none"/>
        </w:rPr>
        <w:t>产业发展</w:t>
      </w:r>
      <w:r>
        <w:rPr>
          <w:rFonts w:hint="eastAsia"/>
          <w:highlight w:val="none"/>
          <w:lang w:eastAsia="zh-CN"/>
        </w:rPr>
        <w:t>奠定更加</w:t>
      </w:r>
      <w:r>
        <w:rPr>
          <w:rFonts w:hint="eastAsia"/>
          <w:highlight w:val="none"/>
        </w:rPr>
        <w:t>坚实的基础。</w:t>
      </w:r>
    </w:p>
    <w:p>
      <w:pPr>
        <w:bidi w:val="0"/>
        <w:rPr>
          <w:highlight w:val="none"/>
        </w:rPr>
      </w:pPr>
      <w:r>
        <w:rPr>
          <w:rFonts w:hint="eastAsia" w:ascii="楷体_GB2312" w:hAnsi="楷体_GB2312" w:eastAsia="楷体_GB2312" w:cs="楷体_GB2312"/>
          <w:b/>
          <w:bCs/>
          <w:highlight w:val="none"/>
        </w:rPr>
        <w:t>⒌</w:t>
      </w:r>
      <w:r>
        <w:rPr>
          <w:rFonts w:hint="eastAsia" w:ascii="楷体_GB2312" w:hAnsi="楷体_GB2312" w:eastAsia="楷体_GB2312" w:cs="楷体_GB2312"/>
          <w:b/>
          <w:bCs/>
          <w:highlight w:val="none"/>
          <w:lang w:eastAsia="zh-CN"/>
        </w:rPr>
        <w:t>大力开拓</w:t>
      </w:r>
      <w:r>
        <w:rPr>
          <w:rFonts w:hint="eastAsia" w:ascii="楷体_GB2312" w:hAnsi="楷体_GB2312" w:eastAsia="楷体_GB2312" w:cs="楷体_GB2312"/>
          <w:b/>
          <w:bCs/>
          <w:highlight w:val="none"/>
        </w:rPr>
        <w:t>市场</w:t>
      </w:r>
      <w:r>
        <w:rPr>
          <w:rFonts w:hint="eastAsia"/>
          <w:highlight w:val="none"/>
        </w:rPr>
        <w:t>。充分发挥紫阳中国富硒茶交易与信息发布中心、中国富硒茶产业研发中心、中国富硒茶文化研究中心的价值作用。推动紫阳富硒茶企业合并重组</w:t>
      </w:r>
      <w:r>
        <w:rPr>
          <w:rFonts w:hint="eastAsia"/>
          <w:highlight w:val="none"/>
          <w:lang w:eastAsia="zh-CN"/>
        </w:rPr>
        <w:t>，</w:t>
      </w:r>
      <w:r>
        <w:rPr>
          <w:rFonts w:hint="eastAsia"/>
          <w:highlight w:val="none"/>
        </w:rPr>
        <w:t>将更多安康、陕南及川北茶叶基地、企业纳入到紫阳富硒茶</w:t>
      </w:r>
      <w:r>
        <w:rPr>
          <w:rFonts w:hint="eastAsia"/>
          <w:highlight w:val="none"/>
          <w:lang w:eastAsia="zh-CN"/>
        </w:rPr>
        <w:t>产业</w:t>
      </w:r>
      <w:r>
        <w:rPr>
          <w:rFonts w:hint="eastAsia"/>
          <w:highlight w:val="none"/>
        </w:rPr>
        <w:t>集群</w:t>
      </w:r>
      <w:r>
        <w:rPr>
          <w:rFonts w:hint="eastAsia"/>
          <w:highlight w:val="none"/>
          <w:lang w:eastAsia="zh-CN"/>
        </w:rPr>
        <w:t>，</w:t>
      </w:r>
      <w:r>
        <w:rPr>
          <w:rFonts w:hint="eastAsia"/>
          <w:highlight w:val="none"/>
        </w:rPr>
        <w:t>搭建营销平台、创新营销手段、让紫阳富硒茶营销影响中国茶叶市场。</w:t>
      </w:r>
    </w:p>
    <w:p>
      <w:pPr>
        <w:bidi w:val="0"/>
        <w:rPr>
          <w:rFonts w:hint="eastAsia"/>
          <w:highlight w:val="none"/>
        </w:rPr>
      </w:pPr>
      <w:r>
        <w:rPr>
          <w:rFonts w:hint="eastAsia" w:ascii="楷体_GB2312" w:hAnsi="楷体_GB2312" w:eastAsia="楷体_GB2312" w:cs="楷体_GB2312"/>
          <w:b/>
          <w:bCs/>
          <w:highlight w:val="none"/>
        </w:rPr>
        <w:t>⒍</w:t>
      </w:r>
      <w:r>
        <w:rPr>
          <w:rFonts w:hint="eastAsia" w:ascii="楷体_GB2312" w:hAnsi="楷体_GB2312" w:eastAsia="楷体_GB2312" w:cs="楷体_GB2312"/>
          <w:b/>
          <w:bCs/>
          <w:highlight w:val="none"/>
          <w:lang w:eastAsia="zh-CN"/>
        </w:rPr>
        <w:t>加快茶旅融合</w:t>
      </w:r>
      <w:r>
        <w:rPr>
          <w:rFonts w:hint="eastAsia"/>
          <w:highlight w:val="none"/>
        </w:rPr>
        <w:t>。富硒茶旅是紫阳乡村旅游最早发展的茶旅融合产业，农家乐、茶山观光、茶事体验、休闲运动、民宿等都以紫阳山水田园风光、富硒茶作为资源依托，以紫阳茶文化为灵魂，打造出“汉江画廊</w:t>
      </w:r>
      <w:r>
        <w:rPr>
          <w:rFonts w:hint="eastAsia"/>
          <w:color w:val="FF0000"/>
          <w:highlight w:val="none"/>
          <w:lang w:val="en-US" w:eastAsia="zh-CN"/>
        </w:rPr>
        <w:t>·</w:t>
      </w:r>
      <w:r>
        <w:rPr>
          <w:rFonts w:hint="eastAsia"/>
          <w:highlight w:val="none"/>
        </w:rPr>
        <w:t>茶歌紫阳”旅游品牌。做强紫阳富硒茶旅融合发展产业，重点打造向阳魔芋包生态观光茶园、城关青中茶事体验民宿集群、焕古硒茶小镇、蒿坪富生态康养小镇等茶旅融合发展项目，使之成为紫阳经济发展新的增长极。</w:t>
      </w:r>
    </w:p>
    <w:p>
      <w:pPr>
        <w:rPr>
          <w:rFonts w:hint="eastAsia"/>
          <w:highlight w:val="none"/>
        </w:rPr>
      </w:pPr>
      <w:r>
        <w:rPr>
          <w:rFonts w:hint="eastAsia"/>
          <w:highlight w:val="none"/>
        </w:rPr>
        <w:br w:type="page"/>
      </w: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8" w:type="dxa"/>
          <w:trHeight w:val="453" w:hRule="atLeast"/>
          <w:jc w:val="center"/>
        </w:trPr>
        <w:tc>
          <w:tcPr>
            <w:tcW w:w="85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楷体_GB2312" w:hAnsi="楷体_GB2312" w:eastAsia="楷体_GB2312" w:cs="楷体_GB2312"/>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专栏1</w:t>
            </w:r>
            <w:r>
              <w:rPr>
                <w:rFonts w:hint="eastAsia" w:ascii="宋体" w:hAnsi="宋体" w:eastAsia="宋体" w:cs="宋体"/>
                <w:b/>
                <w:bCs/>
                <w:color w:val="000000" w:themeColor="text1"/>
                <w:sz w:val="28"/>
                <w:szCs w:val="28"/>
                <w:highlight w:val="none"/>
                <w:lang w:eastAsia="zh-CN"/>
                <w14:textFill>
                  <w14:solidFill>
                    <w14:schemeClr w14:val="tx1"/>
                  </w14:solidFill>
                </w14:textFill>
              </w:rPr>
              <w:t>　</w:t>
            </w:r>
            <w:r>
              <w:rPr>
                <w:rFonts w:hint="eastAsia" w:ascii="宋体" w:hAnsi="宋体" w:eastAsia="宋体" w:cs="宋体"/>
                <w:b/>
                <w:bCs/>
                <w:color w:val="000000" w:themeColor="text1"/>
                <w:sz w:val="28"/>
                <w:szCs w:val="28"/>
                <w:highlight w:val="none"/>
                <w14:textFill>
                  <w14:solidFill>
                    <w14:schemeClr w14:val="tx1"/>
                  </w14:solidFill>
                </w14:textFill>
              </w:rPr>
              <w:t>富硒茶提升工程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2"/>
          </w:tcPr>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建设内容：</w:t>
            </w:r>
            <w:r>
              <w:rPr>
                <w:rFonts w:hint="eastAsia" w:ascii="仿宋_GB2312" w:hAnsi="仿宋_GB2312" w:eastAsia="仿宋_GB2312" w:cs="仿宋_GB2312"/>
                <w:color w:val="000000" w:themeColor="text1"/>
                <w:sz w:val="24"/>
                <w:szCs w:val="24"/>
                <w:highlight w:val="none"/>
                <w14:textFill>
                  <w14:solidFill>
                    <w14:schemeClr w14:val="tx1"/>
                  </w14:solidFill>
                </w14:textFill>
              </w:rPr>
              <w:t>老旧茶园改造、新茶园升级、智慧茶园建设、紫阳茶种培育；按富硒标准梳理产品质量，授牌一批标准化“紫阳富硒茶”生产基地；茶园基础设施建设、茶园美化绿化、茶园休闲配套设施建设；茶叶加工生产基地建设，茶叶加工生产设备购置，茶叶新工艺、新技术创新；茶叶营销市场建设，茶叶营销平台创建，茶叶文创产品创意，茶叶宣传推介，茶叶广告发布。</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地址</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紫阳主产茶区、规模500亩以上茶园，重点涵盖焕古、城关、向阳、红春、蒿坪、毛坝、麻柳、龙潭、双桥、洄水等乡镇。</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项目投资：</w:t>
            </w:r>
            <w:r>
              <w:rPr>
                <w:rFonts w:hint="eastAsia" w:ascii="仿宋_GB2312" w:hAnsi="仿宋_GB2312" w:eastAsia="仿宋_GB2312" w:cs="仿宋_GB2312"/>
                <w:color w:val="000000" w:themeColor="text1"/>
                <w:sz w:val="24"/>
                <w:szCs w:val="24"/>
                <w:highlight w:val="none"/>
                <w14:textFill>
                  <w14:solidFill>
                    <w14:schemeClr w14:val="tx1"/>
                  </w14:solidFill>
                </w14:textFill>
              </w:rPr>
              <w:t>10亿元。</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资金</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来源</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政府项目扶持资金、企业投资、招商引资。</w:t>
            </w:r>
          </w:p>
        </w:tc>
      </w:tr>
    </w:tbl>
    <w:p>
      <w:pPr>
        <w:pStyle w:val="4"/>
        <w:bidi w:val="0"/>
        <w:rPr>
          <w:color w:val="000000" w:themeColor="text1"/>
          <w:highlight w:val="none"/>
          <w14:textFill>
            <w14:solidFill>
              <w14:schemeClr w14:val="tx1"/>
            </w14:solidFill>
          </w14:textFill>
        </w:rPr>
      </w:pPr>
      <w:bookmarkStart w:id="24" w:name="_Toc20719"/>
      <w:r>
        <w:rPr>
          <w:rFonts w:hint="eastAsia"/>
          <w:color w:val="000000" w:themeColor="text1"/>
          <w:highlight w:val="none"/>
          <w14:textFill>
            <w14:solidFill>
              <w14:schemeClr w14:val="tx1"/>
            </w14:solidFill>
          </w14:textFill>
        </w:rPr>
        <w:t>第</w:t>
      </w:r>
      <w:r>
        <w:rPr>
          <w:rFonts w:hint="eastAsia"/>
          <w:color w:val="000000" w:themeColor="text1"/>
          <w:highlight w:val="none"/>
          <w:lang w:eastAsia="zh-CN"/>
          <w14:textFill>
            <w14:solidFill>
              <w14:schemeClr w14:val="tx1"/>
            </w14:solidFill>
          </w14:textFill>
        </w:rPr>
        <w:t>十九</w:t>
      </w:r>
      <w:r>
        <w:rPr>
          <w:rFonts w:hint="eastAsia"/>
          <w:color w:val="000000" w:themeColor="text1"/>
          <w:highlight w:val="none"/>
          <w14:textFill>
            <w14:solidFill>
              <w14:schemeClr w14:val="tx1"/>
            </w14:solidFill>
          </w14:textFill>
        </w:rPr>
        <w:t>节　富硒粮油提升工程</w:t>
      </w:r>
      <w:bookmarkEnd w:id="24"/>
    </w:p>
    <w:p>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严守耕地红线，稳定粮食、油料种植面积，在确保粮食安全</w:t>
      </w:r>
      <w:r>
        <w:rPr>
          <w:rFonts w:hint="eastAsia"/>
          <w:color w:val="000000" w:themeColor="text1"/>
          <w:highlight w:val="none"/>
          <w:lang w:eastAsia="zh-CN"/>
          <w14:textFill>
            <w14:solidFill>
              <w14:schemeClr w14:val="tx1"/>
            </w14:solidFill>
          </w14:textFill>
        </w:rPr>
        <w:t>的</w:t>
      </w:r>
      <w:r>
        <w:rPr>
          <w:rFonts w:hint="eastAsia"/>
          <w:color w:val="000000" w:themeColor="text1"/>
          <w:highlight w:val="none"/>
          <w14:textFill>
            <w14:solidFill>
              <w14:schemeClr w14:val="tx1"/>
            </w14:solidFill>
          </w14:textFill>
        </w:rPr>
        <w:t>前提下，逐步提高富硒粮油亩产、品质，不断扩大市场占有率和竞争力。2025年，粮食、油料播种面积稳定在50万亩、10万亩以上，产量稳定在10.5万吨、1.2万吨以上。</w:t>
      </w:r>
    </w:p>
    <w:p>
      <w:pPr>
        <w:bidi w:val="0"/>
        <w:rPr>
          <w:rFonts w:hint="eastAsia"/>
          <w:color w:val="000000" w:themeColor="text1"/>
          <w:highlight w:val="none"/>
          <w14:textFill>
            <w14:solidFill>
              <w14:schemeClr w14:val="tx1"/>
            </w14:solidFill>
          </w14:textFill>
        </w:rPr>
      </w:pPr>
      <w:r>
        <w:rPr>
          <w:rFonts w:hint="eastAsia" w:ascii="仿宋_GB2312" w:hAnsi="仿宋_GB2312" w:eastAsia="仿宋_GB2312" w:cs="仿宋_GB2312"/>
          <w:b w:val="0"/>
          <w:bCs w:val="0"/>
          <w:color w:val="000000" w:themeColor="text1"/>
          <w:highlight w:val="none"/>
          <w14:textFill>
            <w14:solidFill>
              <w14:schemeClr w14:val="tx1"/>
            </w14:solidFill>
          </w14:textFill>
        </w:rPr>
        <w:t>⒈</w:t>
      </w:r>
      <w:r>
        <w:rPr>
          <w:rFonts w:hint="eastAsia" w:ascii="楷体_GB2312" w:hAnsi="楷体_GB2312" w:eastAsia="楷体_GB2312" w:cs="楷体_GB2312"/>
          <w:b/>
          <w:bCs/>
          <w:color w:val="000000" w:themeColor="text1"/>
          <w:highlight w:val="none"/>
          <w14:textFill>
            <w14:solidFill>
              <w14:schemeClr w14:val="tx1"/>
            </w14:solidFill>
          </w14:textFill>
        </w:rPr>
        <w:t>建设现代粮油基地。</w:t>
      </w:r>
      <w:r>
        <w:rPr>
          <w:rFonts w:hint="eastAsia"/>
          <w:color w:val="000000" w:themeColor="text1"/>
          <w:highlight w:val="none"/>
          <w14:textFill>
            <w14:solidFill>
              <w14:schemeClr w14:val="tx1"/>
            </w14:solidFill>
          </w14:textFill>
        </w:rPr>
        <w:t>建设高标准农田10万亩，新增灌溉面积10万亩以上。在农田基础设施、地力建设、科技支撑等方面改造提升，将现代建筑工程技术、信息技术、生物技术、农业工程技术、生态工程技术运用到高标准农田创建过程中，全面提升农田综合生产力。因地制宜构建生态沟渠、道路和塘堰湿地系统，改善农田生态环境，增强农田防灾减灾能力，大力开展良种良法、测土配方施肥、病虫害统防统治、水肥一体化、新型农机装备示范等农业科技应用推广，建设绿色示范农田，为提高富硒粮油生产能力、品质奠定基础。</w:t>
      </w:r>
    </w:p>
    <w:p>
      <w:pPr>
        <w:bidi w:val="0"/>
        <w:rPr>
          <w:rFonts w:hint="eastAsia"/>
          <w:color w:val="000000" w:themeColor="text1"/>
          <w:highlight w:val="none"/>
          <w14:textFill>
            <w14:solidFill>
              <w14:schemeClr w14:val="tx1"/>
            </w14:solidFill>
          </w14:textFill>
        </w:rPr>
      </w:pPr>
      <w:r>
        <w:rPr>
          <w:rFonts w:hint="eastAsia" w:ascii="仿宋_GB2312" w:hAnsi="仿宋_GB2312" w:eastAsia="仿宋_GB2312" w:cs="仿宋_GB2312"/>
          <w:b w:val="0"/>
          <w:bCs w:val="0"/>
          <w:color w:val="000000" w:themeColor="text1"/>
          <w:highlight w:val="none"/>
          <w14:textFill>
            <w14:solidFill>
              <w14:schemeClr w14:val="tx1"/>
            </w14:solidFill>
          </w14:textFill>
        </w:rPr>
        <w:t>⒉</w:t>
      </w:r>
      <w:r>
        <w:rPr>
          <w:rFonts w:hint="eastAsia" w:ascii="楷体_GB2312" w:hAnsi="楷体_GB2312" w:eastAsia="楷体_GB2312" w:cs="楷体_GB2312"/>
          <w:b/>
          <w:bCs/>
          <w:color w:val="000000" w:themeColor="text1"/>
          <w:highlight w:val="none"/>
          <w14:textFill>
            <w14:solidFill>
              <w14:schemeClr w14:val="tx1"/>
            </w14:solidFill>
          </w14:textFill>
        </w:rPr>
        <w:t>加强土壤治理改良。</w:t>
      </w:r>
      <w:r>
        <w:rPr>
          <w:rFonts w:hint="eastAsia"/>
          <w:color w:val="000000" w:themeColor="text1"/>
          <w:highlight w:val="none"/>
          <w14:textFill>
            <w14:solidFill>
              <w14:schemeClr w14:val="tx1"/>
            </w14:solidFill>
          </w14:textFill>
        </w:rPr>
        <w:t>科学合理、减少使用肥料，增加有机肥使用量，做到科学配肥，平衡施肥，有效降低土壤污染、结构性能变差、土壤肥力下降、酸碱化、盐渍化等问题。科学使用土壤改良剂、调理剂，以及发展间作套种、合理轮作倒茬等农业技术，不断改善土壤理化性状和生产性能。推广使用微生物菌剂、有机物腐熟肥料、秸秆还田、种植绿肥等，加强富硒有机肥料研发、生产，不断降低生产成本，推广施用技术，逐步扩大使用面积，稳定粮油含硒水平。加强土壤环境质量监测网点体系建设，做好土地环境质量工跟踪监测，随时掌握土地污染、水土流失、土地侵占、地力衰退、土地破坏等方面的数据动态，及时作出评价，提出相应保护治理对策，确保土地资源永续利用。</w:t>
      </w:r>
    </w:p>
    <w:p>
      <w:pPr>
        <w:bidi w:val="0"/>
        <w:rPr>
          <w:rFonts w:hint="eastAsia"/>
          <w:color w:val="000000" w:themeColor="text1"/>
          <w:highlight w:val="none"/>
          <w14:textFill>
            <w14:solidFill>
              <w14:schemeClr w14:val="tx1"/>
            </w14:solidFill>
          </w14:textFill>
        </w:rPr>
      </w:pPr>
      <w:r>
        <w:rPr>
          <w:rFonts w:hint="eastAsia" w:ascii="仿宋_GB2312" w:hAnsi="仿宋_GB2312" w:eastAsia="仿宋_GB2312" w:cs="仿宋_GB2312"/>
          <w:b w:val="0"/>
          <w:bCs w:val="0"/>
          <w:color w:val="000000" w:themeColor="text1"/>
          <w:highlight w:val="none"/>
          <w14:textFill>
            <w14:solidFill>
              <w14:schemeClr w14:val="tx1"/>
            </w14:solidFill>
          </w14:textFill>
        </w:rPr>
        <w:t>⒊</w:t>
      </w:r>
      <w:r>
        <w:rPr>
          <w:rFonts w:hint="eastAsia" w:ascii="楷体_GB2312" w:hAnsi="楷体_GB2312" w:eastAsia="楷体_GB2312" w:cs="楷体_GB2312"/>
          <w:b/>
          <w:bCs/>
          <w:color w:val="000000" w:themeColor="text1"/>
          <w:highlight w:val="none"/>
          <w14:textFill>
            <w14:solidFill>
              <w14:schemeClr w14:val="tx1"/>
            </w14:solidFill>
          </w14:textFill>
        </w:rPr>
        <w:t>提高科技支撑能力。</w:t>
      </w:r>
      <w:r>
        <w:rPr>
          <w:rFonts w:hint="eastAsia"/>
          <w:color w:val="000000" w:themeColor="text1"/>
          <w:highlight w:val="none"/>
          <w14:textFill>
            <w14:solidFill>
              <w14:schemeClr w14:val="tx1"/>
            </w14:solidFill>
          </w14:textFill>
        </w:rPr>
        <w:t>加快高产优质优良品种的选用和示范推广，实施“引”“育”相结合，加大对优良新品种选育和引进推广力度，并集成与之配套的栽培加工技术，实现良种良法配套推广。加快科技成果的引进与技术集成，有针对性地引进适宜对路的新技术、新工艺、新设备、新装备、新模式，将水肥一体化、立体种养、绿色防控、配方施肥等领域先进技术、模式集成组装应用，实现提质增效。加强与高校、院所合作，围绕富硒粮油种植、加工、品牌等领域，开展联合攻关，研发、生产有机、绿色富硒粮油，丰富紫阳“富硒”品牌。</w:t>
      </w: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黑体" w:hAnsi="黑体" w:eastAsia="黑体"/>
                <w:color w:val="000000" w:themeColor="text1"/>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专栏2　富硒粮油提升工程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建设内容：</w:t>
            </w:r>
            <w:r>
              <w:rPr>
                <w:rFonts w:hint="eastAsia" w:ascii="仿宋_GB2312" w:hAnsi="仿宋_GB2312" w:eastAsia="仿宋_GB2312" w:cs="仿宋_GB2312"/>
                <w:color w:val="000000" w:themeColor="text1"/>
                <w:sz w:val="24"/>
                <w:szCs w:val="24"/>
                <w:highlight w:val="none"/>
                <w14:textFill>
                  <w14:solidFill>
                    <w14:schemeClr w14:val="tx1"/>
                  </w14:solidFill>
                </w14:textFill>
              </w:rPr>
              <w:t>建设高标准农田10万亩，新增灌溉面积10万亩以上，建设一批现代农业产业园、有机农产品标准化示范基地10个，集中发展粮食、油料、果蔬特富硒产品。</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地址</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cs="仿宋_GB2312"/>
                <w:color w:val="000000" w:themeColor="text1"/>
                <w:sz w:val="24"/>
                <w:szCs w:val="24"/>
                <w:highlight w:val="none"/>
                <w:lang w:eastAsia="zh-CN"/>
                <w14:textFill>
                  <w14:solidFill>
                    <w14:schemeClr w14:val="tx1"/>
                  </w14:solidFill>
                </w14:textFill>
              </w:rPr>
              <w:t>蒿坪、汉王、城关、向阳等适宜乡镇</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项目投资：</w:t>
            </w:r>
            <w:r>
              <w:rPr>
                <w:rFonts w:hint="eastAsia" w:cs="仿宋_GB2312"/>
                <w:color w:val="000000" w:themeColor="text1"/>
                <w:sz w:val="24"/>
                <w:szCs w:val="24"/>
                <w:highlight w:val="none"/>
                <w:lang w:val="en-US" w:eastAsia="zh-CN"/>
                <w14:textFill>
                  <w14:solidFill>
                    <w14:schemeClr w14:val="tx1"/>
                  </w14:solidFill>
                </w14:textFill>
              </w:rPr>
              <w:t>20</w:t>
            </w:r>
            <w:r>
              <w:rPr>
                <w:rFonts w:hint="eastAsia" w:ascii="仿宋_GB2312" w:hAnsi="仿宋_GB2312" w:eastAsia="仿宋_GB2312" w:cs="仿宋_GB2312"/>
                <w:color w:val="000000" w:themeColor="text1"/>
                <w:sz w:val="24"/>
                <w:szCs w:val="24"/>
                <w:highlight w:val="none"/>
                <w14:textFill>
                  <w14:solidFill>
                    <w14:schemeClr w14:val="tx1"/>
                  </w14:solidFill>
                </w14:textFill>
              </w:rPr>
              <w:t>亿元。</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heme="minorEastAsia" w:hAnsiTheme="minorEastAsia" w:cstheme="minorEastAsia"/>
                <w:color w:val="000000" w:themeColor="text1"/>
                <w:sz w:val="20"/>
                <w:szCs w:val="22"/>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资金</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来潮</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政府项目扶持资金、企业投资、招商引资。</w:t>
            </w:r>
          </w:p>
        </w:tc>
      </w:tr>
    </w:tbl>
    <w:p>
      <w:pPr>
        <w:pStyle w:val="4"/>
        <w:bidi w:val="0"/>
        <w:rPr>
          <w:highlight w:val="none"/>
        </w:rPr>
      </w:pPr>
      <w:bookmarkStart w:id="25" w:name="_Toc30161"/>
      <w:r>
        <w:rPr>
          <w:rFonts w:hint="eastAsia"/>
          <w:color w:val="000000" w:themeColor="text1"/>
          <w:highlight w:val="none"/>
          <w14:textFill>
            <w14:solidFill>
              <w14:schemeClr w14:val="tx1"/>
            </w14:solidFill>
          </w14:textFill>
        </w:rPr>
        <w:t>第</w:t>
      </w:r>
      <w:r>
        <w:rPr>
          <w:rFonts w:hint="eastAsia"/>
          <w:color w:val="000000" w:themeColor="text1"/>
          <w:highlight w:val="none"/>
          <w:lang w:eastAsia="zh-CN"/>
          <w14:textFill>
            <w14:solidFill>
              <w14:schemeClr w14:val="tx1"/>
            </w14:solidFill>
          </w14:textFill>
        </w:rPr>
        <w:t>二十</w:t>
      </w:r>
      <w:r>
        <w:rPr>
          <w:rFonts w:hint="eastAsia"/>
          <w:highlight w:val="none"/>
        </w:rPr>
        <w:t>节　富硒水开发工程</w:t>
      </w:r>
      <w:bookmarkEnd w:id="25"/>
    </w:p>
    <w:p>
      <w:pPr>
        <w:bidi w:val="0"/>
        <w:rPr>
          <w:highlight w:val="none"/>
        </w:rPr>
      </w:pPr>
      <w:r>
        <w:rPr>
          <w:rFonts w:hint="eastAsia"/>
          <w:highlight w:val="none"/>
        </w:rPr>
        <w:t>2025年，紫阳富硒饮用水产能达到100万吨，富硒饮用水及富硒饮品综合产值超过10亿元。</w:t>
      </w:r>
    </w:p>
    <w:p>
      <w:pPr>
        <w:bidi w:val="0"/>
        <w:rPr>
          <w:color w:val="000000" w:themeColor="text1"/>
          <w:highlight w:val="none"/>
          <w14:textFill>
            <w14:solidFill>
              <w14:schemeClr w14:val="tx1"/>
            </w14:solidFill>
          </w14:textFill>
        </w:rPr>
      </w:pPr>
      <w:r>
        <w:rPr>
          <w:rFonts w:hint="eastAsia"/>
          <w:highlight w:val="none"/>
        </w:rPr>
        <w:t>⒈</w:t>
      </w:r>
      <w:r>
        <w:rPr>
          <w:rFonts w:hint="eastAsia" w:ascii="楷体_GB2312" w:hAnsi="楷体_GB2312" w:eastAsia="楷体_GB2312" w:cs="楷体_GB2312"/>
          <w:b/>
          <w:bCs/>
          <w:color w:val="000000" w:themeColor="text1"/>
          <w:sz w:val="32"/>
          <w:szCs w:val="32"/>
          <w:highlight w:val="none"/>
          <w:lang w:eastAsia="zh-CN"/>
          <w14:textFill>
            <w14:solidFill>
              <w14:schemeClr w14:val="tx1"/>
            </w14:solidFill>
          </w14:textFill>
        </w:rPr>
        <w:t>不断提高</w:t>
      </w:r>
      <w:r>
        <w:rPr>
          <w:rFonts w:hint="eastAsia" w:ascii="楷体_GB2312" w:hAnsi="楷体_GB2312" w:eastAsia="楷体_GB2312" w:cs="楷体_GB2312"/>
          <w:b/>
          <w:bCs/>
          <w:color w:val="000000" w:themeColor="text1"/>
          <w:sz w:val="32"/>
          <w:szCs w:val="32"/>
          <w:highlight w:val="none"/>
          <w14:textFill>
            <w14:solidFill>
              <w14:schemeClr w14:val="tx1"/>
            </w14:solidFill>
          </w14:textFill>
        </w:rPr>
        <w:t>生产能力</w:t>
      </w:r>
      <w:r>
        <w:rPr>
          <w:rFonts w:hint="eastAsia"/>
          <w:highlight w:val="none"/>
        </w:rPr>
        <w:t>。全力推进陕煤集团富硒矿泉水生产线达产</w:t>
      </w:r>
      <w:r>
        <w:rPr>
          <w:rFonts w:hint="eastAsia"/>
          <w:color w:val="000000" w:themeColor="text1"/>
          <w:highlight w:val="none"/>
          <w:lang w:eastAsia="zh-CN"/>
          <w14:textFill>
            <w14:solidFill>
              <w14:schemeClr w14:val="tx1"/>
            </w14:solidFill>
          </w14:textFill>
        </w:rPr>
        <w:t>达</w:t>
      </w:r>
      <w:r>
        <w:rPr>
          <w:rFonts w:hint="eastAsia"/>
          <w:color w:val="000000" w:themeColor="text1"/>
          <w:highlight w:val="none"/>
          <w14:textFill>
            <w14:solidFill>
              <w14:schemeClr w14:val="tx1"/>
            </w14:solidFill>
          </w14:textFill>
        </w:rPr>
        <w:t>效，让陕煤集团真硒矿泉水公司真正成为紫阳富硒饮用水和</w:t>
      </w:r>
      <w:r>
        <w:rPr>
          <w:rFonts w:hint="eastAsia"/>
          <w:color w:val="000000" w:themeColor="text1"/>
          <w:highlight w:val="none"/>
          <w:lang w:eastAsia="zh-CN"/>
          <w14:textFill>
            <w14:solidFill>
              <w14:schemeClr w14:val="tx1"/>
            </w14:solidFill>
          </w14:textFill>
        </w:rPr>
        <w:t>硒谷</w:t>
      </w:r>
      <w:r>
        <w:rPr>
          <w:rFonts w:hint="eastAsia"/>
          <w:color w:val="000000" w:themeColor="text1"/>
          <w:highlight w:val="none"/>
          <w14:textFill>
            <w14:solidFill>
              <w14:schemeClr w14:val="tx1"/>
            </w14:solidFill>
          </w14:textFill>
        </w:rPr>
        <w:t>园区的骨干龙头企业，带动紫阳富硒饮用水开发。积极扶持安康稀硒泉水开发有限公司扩容增效，市场营销、品牌创建。</w:t>
      </w:r>
    </w:p>
    <w:p>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⒉</w:t>
      </w:r>
      <w:r>
        <w:rPr>
          <w:rFonts w:hint="eastAsia" w:ascii="楷体_GB2312" w:hAnsi="楷体_GB2312" w:eastAsia="楷体_GB2312" w:cs="楷体_GB2312"/>
          <w:b/>
          <w:bCs/>
          <w:color w:val="000000" w:themeColor="text1"/>
          <w:sz w:val="32"/>
          <w:szCs w:val="32"/>
          <w:highlight w:val="none"/>
          <w:lang w:eastAsia="zh-CN"/>
          <w14:textFill>
            <w14:solidFill>
              <w14:schemeClr w14:val="tx1"/>
            </w14:solidFill>
          </w14:textFill>
        </w:rPr>
        <w:t>大力开发新产品</w:t>
      </w:r>
      <w:r>
        <w:rPr>
          <w:rFonts w:hint="eastAsia"/>
          <w:color w:val="000000" w:themeColor="text1"/>
          <w:highlight w:val="none"/>
          <w14:textFill>
            <w14:solidFill>
              <w14:schemeClr w14:val="tx1"/>
            </w14:solidFill>
          </w14:textFill>
        </w:rPr>
        <w:t>。统筹现有科技、服务资源，引进、培育一批中小企业，加强富硒功能复合饮品系列研发，开发健康生命补硒饮品，提高市场占有率，做大、做强紫阳富硒饮用水产业。</w:t>
      </w:r>
    </w:p>
    <w:p>
      <w:pPr>
        <w:bidi w:val="0"/>
        <w:rPr>
          <w:highlight w:val="none"/>
        </w:rPr>
      </w:pPr>
      <w:r>
        <w:rPr>
          <w:rFonts w:hint="eastAsia"/>
          <w:color w:val="000000" w:themeColor="text1"/>
          <w:highlight w:val="none"/>
          <w14:textFill>
            <w14:solidFill>
              <w14:schemeClr w14:val="tx1"/>
            </w14:solidFill>
          </w14:textFill>
        </w:rPr>
        <w:t>⒊</w:t>
      </w:r>
      <w:r>
        <w:rPr>
          <w:rFonts w:hint="eastAsia" w:ascii="楷体_GB2312" w:hAnsi="楷体_GB2312" w:eastAsia="楷体_GB2312" w:cs="楷体_GB2312"/>
          <w:b/>
          <w:bCs/>
          <w:color w:val="000000" w:themeColor="text1"/>
          <w:sz w:val="32"/>
          <w:szCs w:val="32"/>
          <w:highlight w:val="none"/>
          <w:lang w:eastAsia="zh-CN"/>
          <w14:textFill>
            <w14:solidFill>
              <w14:schemeClr w14:val="tx1"/>
            </w14:solidFill>
          </w14:textFill>
        </w:rPr>
        <w:t>创建富硒国家品牌</w:t>
      </w:r>
      <w:r>
        <w:rPr>
          <w:rFonts w:hint="eastAsia"/>
          <w:highlight w:val="none"/>
        </w:rPr>
        <w:t>。依托陕煤集团真硒矿泉水公司，发挥紫阳富硒矿泉水国家标准作用，加强质量监控、攻克技术难题、严格执行富硒食品硒含量国家标准（GB 8357-2008），打造紫阳真硒水国家级品牌，实现共创共享。</w:t>
      </w:r>
    </w:p>
    <w:p>
      <w:pPr>
        <w:bidi w:val="0"/>
        <w:rPr>
          <w:highlight w:val="none"/>
        </w:rPr>
      </w:pPr>
      <w:r>
        <w:rPr>
          <w:rFonts w:hint="eastAsia"/>
          <w:highlight w:val="none"/>
        </w:rPr>
        <w:t>⒋</w:t>
      </w:r>
      <w:r>
        <w:rPr>
          <w:rFonts w:hint="eastAsia" w:ascii="楷体_GB2312" w:hAnsi="楷体_GB2312" w:eastAsia="楷体_GB2312" w:cs="楷体_GB2312"/>
          <w:b/>
          <w:bCs/>
          <w:color w:val="000000" w:themeColor="text1"/>
          <w:sz w:val="32"/>
          <w:szCs w:val="32"/>
          <w:highlight w:val="none"/>
          <w:lang w:eastAsia="zh-CN"/>
          <w14:textFill>
            <w14:solidFill>
              <w14:schemeClr w14:val="tx1"/>
            </w14:solidFill>
          </w14:textFill>
        </w:rPr>
        <w:t>加大招商引资力度</w:t>
      </w:r>
      <w:r>
        <w:rPr>
          <w:rFonts w:hint="eastAsia"/>
          <w:highlight w:val="none"/>
        </w:rPr>
        <w:t>。紫阳富硒饮用水资源丰富、可开发利用率高，充分利用紫阳富硒水高硒、量大、质优、低钠、富锶的品牌影响力，把紫阳富硒饮用水产业作为重要富硒产业重点发展。</w:t>
      </w:r>
      <w:r>
        <w:rPr>
          <w:rFonts w:hint="eastAsia"/>
          <w:highlight w:val="none"/>
          <w:lang w:eastAsia="zh-CN"/>
        </w:rPr>
        <w:t>加大</w:t>
      </w:r>
      <w:r>
        <w:rPr>
          <w:rFonts w:hint="eastAsia"/>
          <w:highlight w:val="none"/>
        </w:rPr>
        <w:t>富硒饮用水招商引资</w:t>
      </w:r>
      <w:r>
        <w:rPr>
          <w:rFonts w:hint="eastAsia"/>
          <w:highlight w:val="none"/>
          <w:lang w:eastAsia="zh-CN"/>
        </w:rPr>
        <w:t>力度，不断实现</w:t>
      </w:r>
      <w:r>
        <w:rPr>
          <w:rFonts w:hint="eastAsia"/>
          <w:highlight w:val="none"/>
        </w:rPr>
        <w:t>新</w:t>
      </w:r>
      <w:r>
        <w:rPr>
          <w:rFonts w:hint="eastAsia"/>
          <w:highlight w:val="none"/>
          <w:lang w:eastAsia="zh-CN"/>
        </w:rPr>
        <w:t>的</w:t>
      </w:r>
      <w:r>
        <w:rPr>
          <w:rFonts w:hint="eastAsia"/>
          <w:highlight w:val="none"/>
        </w:rPr>
        <w:t>突破，新引进过亿元富硒饮用水</w:t>
      </w:r>
      <w:r>
        <w:rPr>
          <w:rFonts w:hint="eastAsia"/>
          <w:highlight w:val="none"/>
          <w:lang w:eastAsia="zh-CN"/>
        </w:rPr>
        <w:t>、</w:t>
      </w:r>
      <w:r>
        <w:rPr>
          <w:rFonts w:hint="eastAsia"/>
          <w:highlight w:val="none"/>
        </w:rPr>
        <w:t>富硒饮品开发企业5家。</w:t>
      </w: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黑体" w:hAnsi="黑体" w:eastAsia="黑体"/>
                <w:color w:val="000000" w:themeColor="text1"/>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专栏</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3</w:t>
            </w:r>
            <w:r>
              <w:rPr>
                <w:rFonts w:hint="eastAsia" w:ascii="宋体" w:hAnsi="宋体" w:eastAsia="宋体" w:cs="宋体"/>
                <w:b/>
                <w:bCs/>
                <w:color w:val="000000" w:themeColor="text1"/>
                <w:sz w:val="28"/>
                <w:szCs w:val="28"/>
                <w:highlight w:val="none"/>
                <w:lang w:eastAsia="zh-CN"/>
                <w14:textFill>
                  <w14:solidFill>
                    <w14:schemeClr w14:val="tx1"/>
                  </w14:solidFill>
                </w14:textFill>
              </w:rPr>
              <w:t>　富硒水开发工程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建设内容：</w:t>
            </w:r>
            <w:r>
              <w:rPr>
                <w:rFonts w:hint="eastAsia" w:ascii="仿宋_GB2312" w:hAnsi="仿宋_GB2312" w:eastAsia="仿宋_GB2312" w:cs="仿宋_GB2312"/>
                <w:color w:val="000000" w:themeColor="text1"/>
                <w:sz w:val="24"/>
                <w:szCs w:val="24"/>
                <w:highlight w:val="none"/>
                <w14:textFill>
                  <w14:solidFill>
                    <w14:schemeClr w14:val="tx1"/>
                  </w14:solidFill>
                </w14:textFill>
              </w:rPr>
              <w:t>紫阳富硒水水源、水质、水量勘查基础工作；富硒水科学研究工作；富硒水源地基础设施建设；富硒水品牌建设与推介工作；陕煤集团真硒矿泉水生产线达产提效，新产品开发；引进3家投资过亿元的富硒饮用水和富硒饮品开发企业。</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地址</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紫阳蒿坪硒谷生态工业园区、紫阳富硒水集聚区。</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项目投资：</w:t>
            </w:r>
            <w:r>
              <w:rPr>
                <w:rFonts w:hint="eastAsia" w:ascii="仿宋_GB2312" w:hAnsi="仿宋_GB2312" w:eastAsia="仿宋_GB2312" w:cs="仿宋_GB2312"/>
                <w:color w:val="000000" w:themeColor="text1"/>
                <w:sz w:val="24"/>
                <w:szCs w:val="24"/>
                <w:highlight w:val="none"/>
                <w14:textFill>
                  <w14:solidFill>
                    <w14:schemeClr w14:val="tx1"/>
                  </w14:solidFill>
                </w14:textFill>
              </w:rPr>
              <w:t>5亿元。</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heme="minorEastAsia" w:hAnsiTheme="minorEastAsia" w:cstheme="minorEastAsia"/>
                <w:color w:val="000000" w:themeColor="text1"/>
                <w:sz w:val="20"/>
                <w:szCs w:val="22"/>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资金</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来潮</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政府项目扶持资金、企业投资、招商引资。</w:t>
            </w:r>
          </w:p>
        </w:tc>
      </w:tr>
    </w:tbl>
    <w:p>
      <w:pPr>
        <w:pStyle w:val="4"/>
        <w:bidi w:val="0"/>
        <w:rPr>
          <w:highlight w:val="none"/>
        </w:rPr>
      </w:pPr>
      <w:bookmarkStart w:id="26" w:name="_Toc13543"/>
      <w:r>
        <w:rPr>
          <w:rFonts w:hint="eastAsia"/>
          <w:color w:val="000000" w:themeColor="text1"/>
          <w:highlight w:val="none"/>
          <w14:textFill>
            <w14:solidFill>
              <w14:schemeClr w14:val="tx1"/>
            </w14:solidFill>
          </w14:textFill>
        </w:rPr>
        <w:t>第</w:t>
      </w:r>
      <w:r>
        <w:rPr>
          <w:rFonts w:hint="eastAsia"/>
          <w:color w:val="000000" w:themeColor="text1"/>
          <w:highlight w:val="none"/>
          <w:lang w:eastAsia="zh-CN"/>
          <w14:textFill>
            <w14:solidFill>
              <w14:schemeClr w14:val="tx1"/>
            </w14:solidFill>
          </w14:textFill>
        </w:rPr>
        <w:t>二十一</w:t>
      </w:r>
      <w:r>
        <w:rPr>
          <w:rFonts w:hint="eastAsia"/>
          <w:highlight w:val="none"/>
        </w:rPr>
        <w:t>节　富硒园区建设工程</w:t>
      </w:r>
      <w:bookmarkEnd w:id="26"/>
    </w:p>
    <w:p>
      <w:pPr>
        <w:bidi w:val="0"/>
        <w:rPr>
          <w:highlight w:val="none"/>
        </w:rPr>
      </w:pPr>
      <w:r>
        <w:rPr>
          <w:rFonts w:hint="eastAsia"/>
          <w:highlight w:val="none"/>
        </w:rPr>
        <w:t>以创建紫阳国家级富硒现代农业科技园区和省级科技工业园区为抓手，采用“一区多园”方式，以蒿坪、双安富硒产业核心聚集区为基础，在其他镇设立“富硒现代农业科技园”，构建覆盖全县的富硒现代农业科技园，</w:t>
      </w:r>
      <w:r>
        <w:rPr>
          <w:rFonts w:hint="eastAsia"/>
          <w:highlight w:val="none"/>
          <w:lang w:eastAsia="zh-CN"/>
        </w:rPr>
        <w:t>引领、</w:t>
      </w:r>
      <w:r>
        <w:rPr>
          <w:rFonts w:hint="eastAsia"/>
          <w:highlight w:val="none"/>
        </w:rPr>
        <w:t>带动一二三产融合</w:t>
      </w:r>
      <w:r>
        <w:rPr>
          <w:rFonts w:hint="eastAsia"/>
          <w:highlight w:val="none"/>
          <w:lang w:eastAsia="zh-CN"/>
        </w:rPr>
        <w:t>发展</w:t>
      </w:r>
      <w:r>
        <w:rPr>
          <w:rFonts w:hint="eastAsia"/>
          <w:highlight w:val="none"/>
        </w:rPr>
        <w:t>的富硒</w:t>
      </w:r>
      <w:r>
        <w:rPr>
          <w:rFonts w:hint="eastAsia"/>
          <w:highlight w:val="none"/>
          <w:lang w:eastAsia="zh-CN"/>
        </w:rPr>
        <w:t>产业体系</w:t>
      </w:r>
      <w:r>
        <w:rPr>
          <w:rFonts w:hint="eastAsia"/>
          <w:highlight w:val="none"/>
        </w:rPr>
        <w:t>。</w:t>
      </w:r>
    </w:p>
    <w:p>
      <w:pPr>
        <w:bidi w:val="0"/>
        <w:rPr>
          <w:highlight w:val="none"/>
        </w:rPr>
      </w:pPr>
      <w:r>
        <w:rPr>
          <w:rFonts w:hint="eastAsia"/>
          <w:highlight w:val="none"/>
        </w:rPr>
        <w:t>2025年，硒谷园区综合产值达到100亿元，跻身陕南县域工业集中区十强。建设紫阳100亿富硒现代农业科技园集群，力争建成紫阳县国家级富硒现代农业科技园区</w:t>
      </w:r>
      <w:r>
        <w:rPr>
          <w:rFonts w:hint="eastAsia"/>
          <w:highlight w:val="none"/>
          <w:lang w:eastAsia="zh-CN"/>
        </w:rPr>
        <w:t>、省级</w:t>
      </w:r>
      <w:r>
        <w:rPr>
          <w:rFonts w:hint="eastAsia"/>
          <w:color w:val="000000" w:themeColor="text1"/>
          <w:highlight w:val="none"/>
          <w:lang w:eastAsia="zh-CN"/>
          <w14:textFill>
            <w14:solidFill>
              <w14:schemeClr w14:val="tx1"/>
            </w14:solidFill>
          </w14:textFill>
        </w:rPr>
        <w:t>高科技</w:t>
      </w:r>
      <w:r>
        <w:rPr>
          <w:rFonts w:hint="eastAsia"/>
          <w:highlight w:val="none"/>
        </w:rPr>
        <w:t>园区。</w:t>
      </w:r>
    </w:p>
    <w:p>
      <w:pPr>
        <w:bidi w:val="0"/>
        <w:rPr>
          <w:highlight w:val="none"/>
        </w:rPr>
      </w:pPr>
      <w:r>
        <w:rPr>
          <w:rFonts w:hint="eastAsia"/>
          <w:highlight w:val="none"/>
        </w:rPr>
        <w:t>⒈</w:t>
      </w:r>
      <w:r>
        <w:rPr>
          <w:rFonts w:hint="eastAsia" w:ascii="楷体_GB2312" w:hAnsi="楷体_GB2312" w:eastAsia="楷体_GB2312" w:cs="楷体_GB2312"/>
          <w:b/>
          <w:bCs/>
          <w:color w:val="000000" w:themeColor="text1"/>
          <w:sz w:val="32"/>
          <w:szCs w:val="32"/>
          <w:highlight w:val="none"/>
          <w14:textFill>
            <w14:solidFill>
              <w14:schemeClr w14:val="tx1"/>
            </w14:solidFill>
          </w14:textFill>
        </w:rPr>
        <w:t>加快富硒产业核心聚集区建设</w:t>
      </w:r>
      <w:r>
        <w:rPr>
          <w:rFonts w:hint="eastAsia"/>
          <w:highlight w:val="none"/>
        </w:rPr>
        <w:t>。以硒谷园区</w:t>
      </w:r>
      <w:r>
        <w:rPr>
          <w:rFonts w:hint="eastAsia"/>
          <w:highlight w:val="none"/>
          <w:lang w:eastAsia="zh-CN"/>
        </w:rPr>
        <w:t>、双安硒资源核心区</w:t>
      </w:r>
      <w:r>
        <w:rPr>
          <w:rFonts w:hint="eastAsia"/>
          <w:highlight w:val="none"/>
        </w:rPr>
        <w:t>为载体，搭建</w:t>
      </w:r>
      <w:r>
        <w:rPr>
          <w:rFonts w:hint="eastAsia"/>
          <w:highlight w:val="none"/>
          <w:lang w:eastAsia="zh-CN"/>
        </w:rPr>
        <w:t>富</w:t>
      </w:r>
      <w:r>
        <w:rPr>
          <w:rFonts w:hint="eastAsia"/>
          <w:highlight w:val="none"/>
        </w:rPr>
        <w:t>硒产业研究院创新平台，提升“中国紫阳富硒研究院”“中国紫阳</w:t>
      </w:r>
      <w:r>
        <w:rPr>
          <w:rFonts w:hint="eastAsia"/>
          <w:highlight w:val="none"/>
          <w:lang w:eastAsia="zh-CN"/>
        </w:rPr>
        <w:t>富硒</w:t>
      </w:r>
      <w:r>
        <w:rPr>
          <w:rFonts w:hint="eastAsia"/>
          <w:highlight w:val="none"/>
        </w:rPr>
        <w:t>产业</w:t>
      </w:r>
      <w:r>
        <w:rPr>
          <w:rFonts w:hint="eastAsia"/>
          <w:highlight w:val="none"/>
          <w:lang w:eastAsia="zh-CN"/>
        </w:rPr>
        <w:t>专家</w:t>
      </w:r>
      <w:r>
        <w:rPr>
          <w:rFonts w:hint="eastAsia"/>
          <w:highlight w:val="none"/>
        </w:rPr>
        <w:t>工作站”。聚集发展富硒产业、特色农产品加工制造业，完善物流仓储、电子商务、创新平台、检验检测、</w:t>
      </w:r>
      <w:r>
        <w:rPr>
          <w:rFonts w:hint="eastAsia"/>
          <w:highlight w:val="none"/>
          <w:lang w:eastAsia="zh-CN"/>
        </w:rPr>
        <w:t>创业</w:t>
      </w:r>
      <w:r>
        <w:rPr>
          <w:rFonts w:hint="eastAsia"/>
          <w:highlight w:val="none"/>
        </w:rPr>
        <w:t>孵化与知识产权等公共服务平台等，形成“科技创新—加工制造—流通贸易”一体化富硒特色产业体系，打造秦巴连片特困区特色产业高地。以</w:t>
      </w:r>
      <w:r>
        <w:rPr>
          <w:rFonts w:hint="eastAsia"/>
          <w:highlight w:val="none"/>
          <w:lang w:eastAsia="zh-CN"/>
        </w:rPr>
        <w:t>蒿坪生态园区、</w:t>
      </w:r>
      <w:r>
        <w:rPr>
          <w:rFonts w:hint="eastAsia"/>
          <w:highlight w:val="none"/>
        </w:rPr>
        <w:t>双安</w:t>
      </w:r>
      <w:r>
        <w:rPr>
          <w:rFonts w:hint="eastAsia"/>
          <w:highlight w:val="none"/>
          <w:lang w:eastAsia="zh-CN"/>
        </w:rPr>
        <w:t>镇</w:t>
      </w:r>
      <w:r>
        <w:rPr>
          <w:rFonts w:hint="eastAsia"/>
          <w:highlight w:val="none"/>
        </w:rPr>
        <w:t>闹热村富硒核心区为基地，建设“中国紫阳·世界硒源地”“中国紫阳·富硒博物馆”，打造紫阳富硒科技文化旅游区。</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highlight w:val="none"/>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⒉加快富硒现代农业科技园建设。</w:t>
      </w:r>
      <w:r>
        <w:rPr>
          <w:rFonts w:hint="eastAsia" w:ascii="Times New Roman" w:hAnsi="Times New Roman" w:eastAsia="仿宋-GB2312" w:cs="Times New Roman"/>
          <w:color w:val="000000" w:themeColor="text1"/>
          <w:sz w:val="32"/>
          <w:szCs w:val="32"/>
          <w:highlight w:val="none"/>
          <w14:textFill>
            <w14:solidFill>
              <w14:schemeClr w14:val="tx1"/>
            </w14:solidFill>
          </w14:textFill>
        </w:rPr>
        <w:t>按照“错位竞争、特色发展、突出加工、打响品牌”的发展策略，立足各乡镇实际，规划布局各乡镇富硒特色产品，推动统一技术标准种植养殖、集中精深加工与物流仓储，培育“一镇一园一特色”与“农工商一体化”的富硒特色产业，发挥村集体经济组织带动富硒产业发展的作用，调动农民参与园区建设发展的积极性，不断增加农民收入。</w:t>
      </w: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黑体" w:hAnsi="黑体" w:eastAsia="黑体" w:cs="方正仿宋_GB2312"/>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专栏</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4</w:t>
            </w:r>
            <w:r>
              <w:rPr>
                <w:rFonts w:hint="eastAsia" w:ascii="宋体" w:hAnsi="宋体" w:eastAsia="宋体" w:cs="宋体"/>
                <w:b/>
                <w:bCs/>
                <w:color w:val="000000" w:themeColor="text1"/>
                <w:sz w:val="28"/>
                <w:szCs w:val="28"/>
                <w:highlight w:val="none"/>
                <w:lang w:eastAsia="zh-CN"/>
                <w14:textFill>
                  <w14:solidFill>
                    <w14:schemeClr w14:val="tx1"/>
                  </w14:solidFill>
                </w14:textFill>
              </w:rPr>
              <w:t>　富硒园区建设工程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项目概况：</w:t>
            </w:r>
            <w:r>
              <w:rPr>
                <w:rFonts w:hint="eastAsia" w:ascii="仿宋_GB2312" w:hAnsi="仿宋_GB2312" w:eastAsia="仿宋_GB2312" w:cs="仿宋_GB2312"/>
                <w:color w:val="000000" w:themeColor="text1"/>
                <w:sz w:val="24"/>
                <w:szCs w:val="24"/>
                <w:highlight w:val="none"/>
                <w14:textFill>
                  <w14:solidFill>
                    <w14:schemeClr w14:val="tx1"/>
                  </w14:solidFill>
                </w14:textFill>
              </w:rPr>
              <w:t>2025年，紫阳蒿坪硒谷生态工业园区工业总产值达到100亿元，跻身陕南县域工业集中区十强。建设紫阳100亿富硒特色农业科技园集群，17个镇设立富硒特色农业科技园，力争建成紫阳县国家级富硒现代农业科技园区。</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建设内容：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highlight w:val="none"/>
                <w14:textFill>
                  <w14:solidFill>
                    <w14:schemeClr w14:val="tx1"/>
                  </w14:solidFill>
                </w14:textFill>
              </w:rPr>
              <w:t>17个镇富硒特色农业科技园建设；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蒿坪、双安富硒产业核心聚集区建设；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紫阳蒿坪硒谷生态工业园区建设。</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地址</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双安、蒿坪富硒产业核心集聚区，紫阳蒿坪硒谷生态工业园区，其他乡镇富硒特色农业科技园。</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项目投资：</w:t>
            </w:r>
            <w:r>
              <w:rPr>
                <w:rFonts w:hint="eastAsia" w:ascii="仿宋_GB2312" w:hAnsi="仿宋_GB2312" w:eastAsia="仿宋_GB2312" w:cs="仿宋_GB2312"/>
                <w:color w:val="000000" w:themeColor="text1"/>
                <w:sz w:val="24"/>
                <w:szCs w:val="24"/>
                <w:highlight w:val="none"/>
                <w14:textFill>
                  <w14:solidFill>
                    <w14:schemeClr w14:val="tx1"/>
                  </w14:solidFill>
                </w14:textFill>
              </w:rPr>
              <w:t>10亿元。</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imes New Roman" w:hAnsi="Times New Roman" w:eastAsia="仿宋-GB2312" w:cs="Times New Roman"/>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资金</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来源</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政府项目扶持资金、企业投资、招商引资。</w:t>
            </w:r>
          </w:p>
        </w:tc>
      </w:tr>
    </w:tbl>
    <w:p>
      <w:pPr>
        <w:pStyle w:val="4"/>
        <w:bidi w:val="0"/>
        <w:rPr>
          <w:highlight w:val="none"/>
        </w:rPr>
      </w:pPr>
      <w:bookmarkStart w:id="27" w:name="_Toc21477"/>
      <w:r>
        <w:rPr>
          <w:rFonts w:hint="eastAsia"/>
          <w:color w:val="000000" w:themeColor="text1"/>
          <w:highlight w:val="none"/>
          <w14:textFill>
            <w14:solidFill>
              <w14:schemeClr w14:val="tx1"/>
            </w14:solidFill>
          </w14:textFill>
        </w:rPr>
        <w:t>第</w:t>
      </w:r>
      <w:r>
        <w:rPr>
          <w:rFonts w:hint="eastAsia"/>
          <w:color w:val="000000" w:themeColor="text1"/>
          <w:highlight w:val="none"/>
          <w:lang w:eastAsia="zh-CN"/>
          <w14:textFill>
            <w14:solidFill>
              <w14:schemeClr w14:val="tx1"/>
            </w14:solidFill>
          </w14:textFill>
        </w:rPr>
        <w:t>二十二</w:t>
      </w:r>
      <w:r>
        <w:rPr>
          <w:rFonts w:hint="eastAsia"/>
          <w:highlight w:val="none"/>
        </w:rPr>
        <w:t>节　龙头企业培育工程</w:t>
      </w:r>
      <w:bookmarkEnd w:id="27"/>
    </w:p>
    <w:p>
      <w:pPr>
        <w:bidi w:val="0"/>
        <w:rPr>
          <w:highlight w:val="none"/>
        </w:rPr>
      </w:pPr>
      <w:r>
        <w:rPr>
          <w:rFonts w:hint="eastAsia"/>
          <w:highlight w:val="none"/>
        </w:rPr>
        <w:t>围绕“百亿级园区、十亿级企业”目标，大力培育富硒产业市场主体，发挥富硒龙头企业引领作用。</w:t>
      </w:r>
    </w:p>
    <w:p>
      <w:pPr>
        <w:bidi w:val="0"/>
        <w:rPr>
          <w:highlight w:val="none"/>
        </w:rPr>
      </w:pPr>
      <w:r>
        <w:rPr>
          <w:rFonts w:hint="eastAsia"/>
          <w:highlight w:val="none"/>
        </w:rPr>
        <w:t>⒈</w:t>
      </w:r>
      <w:r>
        <w:rPr>
          <w:rFonts w:hint="eastAsia" w:ascii="楷体_GB2312" w:hAnsi="楷体_GB2312" w:eastAsia="楷体_GB2312" w:cs="楷体_GB2312"/>
          <w:b/>
          <w:bCs/>
          <w:color w:val="000000" w:themeColor="text1"/>
          <w:sz w:val="32"/>
          <w:szCs w:val="32"/>
          <w:highlight w:val="none"/>
          <w:lang w:eastAsia="zh-CN"/>
          <w14:textFill>
            <w14:solidFill>
              <w14:schemeClr w14:val="tx1"/>
            </w14:solidFill>
          </w14:textFill>
        </w:rPr>
        <w:t>大</w:t>
      </w:r>
      <w:r>
        <w:rPr>
          <w:rFonts w:hint="eastAsia" w:ascii="楷体_GB2312" w:hAnsi="楷体_GB2312" w:eastAsia="楷体_GB2312" w:cs="楷体_GB2312"/>
          <w:b/>
          <w:bCs/>
          <w:color w:val="000000" w:themeColor="text1"/>
          <w:sz w:val="32"/>
          <w:szCs w:val="32"/>
          <w:highlight w:val="none"/>
          <w14:textFill>
            <w14:solidFill>
              <w14:schemeClr w14:val="tx1"/>
            </w14:solidFill>
          </w14:textFill>
        </w:rPr>
        <w:t>力培育龙头骨干企业</w:t>
      </w:r>
      <w:r>
        <w:rPr>
          <w:rFonts w:hint="eastAsia"/>
          <w:highlight w:val="none"/>
        </w:rPr>
        <w:t>。加大政策支持扶持力度，扩大对外开放，培育一批富硒龙头骨干企业，发挥产业支撑、带动作用。2025年，综合收入过亿元的富硒龙头企业超过10家，实现10亿元富硒龙头企业“零”的突破。</w:t>
      </w:r>
    </w:p>
    <w:p>
      <w:pPr>
        <w:bidi w:val="0"/>
        <w:rPr>
          <w:highlight w:val="none"/>
        </w:rPr>
      </w:pPr>
      <w:r>
        <w:rPr>
          <w:rFonts w:hint="eastAsia"/>
          <w:highlight w:val="none"/>
        </w:rPr>
        <w:t>⒉</w:t>
      </w:r>
      <w:r>
        <w:rPr>
          <w:rFonts w:hint="eastAsia" w:ascii="楷体_GB2312" w:hAnsi="楷体_GB2312" w:eastAsia="楷体_GB2312" w:cs="楷体_GB2312"/>
          <w:b/>
          <w:bCs/>
          <w:color w:val="000000" w:themeColor="text1"/>
          <w:sz w:val="32"/>
          <w:szCs w:val="32"/>
          <w:highlight w:val="none"/>
          <w:lang w:eastAsia="zh-CN"/>
          <w14:textFill>
            <w14:solidFill>
              <w14:schemeClr w14:val="tx1"/>
            </w14:solidFill>
          </w14:textFill>
        </w:rPr>
        <w:t>做大做强高新技术企业</w:t>
      </w:r>
      <w:r>
        <w:rPr>
          <w:rFonts w:hint="eastAsia"/>
          <w:highlight w:val="none"/>
        </w:rPr>
        <w:t>。重点围绕富硒茶、富硒水、富硒生猪、富硒食品、富硒饮品、食用菌、中药材、冷链物流等富硒产业与产品，依托科技企业数据库平台，筛选一批优质企业进行培育，加大政策聚焦，提供精准化服务，引导企业加大研发投入，建立研发创新机构，实施产学研用联动，助推发展成为高新技术企业，不断提高富硒龙头企业对紫阳经济发展的贡献率。2025年，创建</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家省级</w:t>
      </w:r>
      <w:r>
        <w:rPr>
          <w:rFonts w:hint="eastAsia"/>
          <w:color w:val="000000" w:themeColor="text1"/>
          <w:highlight w:val="none"/>
          <w:lang w:val="en-US" w:eastAsia="zh-CN"/>
          <w14:textFill>
            <w14:solidFill>
              <w14:schemeClr w14:val="tx1"/>
            </w14:solidFill>
          </w14:textFill>
        </w:rPr>
        <w:t>以上</w:t>
      </w:r>
      <w:r>
        <w:rPr>
          <w:rFonts w:hint="eastAsia"/>
          <w:highlight w:val="none"/>
        </w:rPr>
        <w:t>龙头企业，</w:t>
      </w:r>
      <w:r>
        <w:rPr>
          <w:rFonts w:hint="eastAsia"/>
          <w:highlight w:val="none"/>
          <w:lang w:val="en-US" w:eastAsia="zh-CN"/>
        </w:rPr>
        <w:t>30</w:t>
      </w:r>
      <w:r>
        <w:rPr>
          <w:rFonts w:hint="eastAsia"/>
          <w:highlight w:val="none"/>
        </w:rPr>
        <w:t>家科技型中小企业。实现</w:t>
      </w:r>
      <w:r>
        <w:rPr>
          <w:rFonts w:hint="eastAsia"/>
          <w:highlight w:val="none"/>
          <w:lang w:eastAsia="zh-CN"/>
        </w:rPr>
        <w:t>工业</w:t>
      </w:r>
      <w:r>
        <w:rPr>
          <w:rFonts w:hint="eastAsia"/>
          <w:highlight w:val="none"/>
        </w:rPr>
        <w:t>总</w:t>
      </w:r>
      <w:r>
        <w:rPr>
          <w:rFonts w:hint="eastAsia"/>
          <w:highlight w:val="none"/>
          <w:lang w:eastAsia="zh-CN"/>
        </w:rPr>
        <w:t>产</w:t>
      </w:r>
      <w:r>
        <w:rPr>
          <w:rFonts w:hint="eastAsia"/>
          <w:highlight w:val="none"/>
        </w:rPr>
        <w:t>值100亿元，创建绿色、有机产品100</w:t>
      </w:r>
      <w:r>
        <w:rPr>
          <w:rFonts w:hint="eastAsia"/>
          <w:highlight w:val="none"/>
          <w:lang w:eastAsia="zh-CN"/>
        </w:rPr>
        <w:t>个</w:t>
      </w:r>
      <w:r>
        <w:rPr>
          <w:rFonts w:hint="eastAsia"/>
          <w:highlight w:val="none"/>
        </w:rPr>
        <w:t>，国家地理标志产品2</w:t>
      </w:r>
      <w:r>
        <w:rPr>
          <w:rFonts w:hint="eastAsia"/>
          <w:highlight w:val="none"/>
          <w:lang w:eastAsia="zh-CN"/>
        </w:rPr>
        <w:t>个</w:t>
      </w:r>
      <w:r>
        <w:rPr>
          <w:rFonts w:hint="eastAsia"/>
          <w:highlight w:val="none"/>
        </w:rPr>
        <w:t>。</w:t>
      </w:r>
    </w:p>
    <w:p>
      <w:pPr>
        <w:bidi w:val="0"/>
        <w:rPr>
          <w:rFonts w:hint="eastAsia"/>
          <w:highlight w:val="none"/>
        </w:rPr>
      </w:pPr>
      <w:r>
        <w:rPr>
          <w:rFonts w:hint="eastAsia"/>
          <w:highlight w:val="none"/>
        </w:rPr>
        <w:t>⒊</w:t>
      </w:r>
      <w:r>
        <w:rPr>
          <w:rFonts w:hint="eastAsia" w:ascii="楷体_GB2312" w:hAnsi="楷体_GB2312" w:eastAsia="楷体_GB2312" w:cs="楷体_GB2312"/>
          <w:b/>
          <w:bCs/>
          <w:color w:val="000000" w:themeColor="text1"/>
          <w:sz w:val="32"/>
          <w:szCs w:val="32"/>
          <w:highlight w:val="none"/>
          <w:lang w:eastAsia="zh-CN"/>
          <w14:textFill>
            <w14:solidFill>
              <w14:schemeClr w14:val="tx1"/>
            </w14:solidFill>
          </w14:textFill>
        </w:rPr>
        <w:t>积极推进企业上市融资</w:t>
      </w:r>
      <w:r>
        <w:rPr>
          <w:rFonts w:hint="eastAsia"/>
          <w:highlight w:val="none"/>
        </w:rPr>
        <w:t>。加强企业上市培育，加快企业在主板、中小板、创业板、科创板、新三板、区域性股权交易市场等多层次资本市场上市步伐，</w:t>
      </w:r>
      <w:r>
        <w:rPr>
          <w:rFonts w:hint="eastAsia"/>
          <w:highlight w:val="none"/>
          <w:lang w:eastAsia="zh-CN"/>
        </w:rPr>
        <w:t>上市公司实现“零”的突破</w:t>
      </w:r>
      <w:r>
        <w:rPr>
          <w:rFonts w:hint="eastAsia"/>
          <w:highlight w:val="none"/>
        </w:rPr>
        <w:t>。</w:t>
      </w: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22" w:type="dxa"/>
            <w:vAlign w:val="center"/>
          </w:tcPr>
          <w:p>
            <w:pPr>
              <w:spacing w:line="240" w:lineRule="auto"/>
              <w:ind w:left="0" w:leftChars="0" w:firstLine="0" w:firstLineChars="0"/>
              <w:jc w:val="center"/>
              <w:rPr>
                <w:rFonts w:ascii="黑体" w:hAnsi="黑体" w:eastAsia="黑体" w:cs="方正仿宋_GB2312"/>
                <w:color w:val="000000" w:themeColor="text1"/>
                <w:sz w:val="32"/>
                <w:szCs w:val="32"/>
                <w:highlight w:val="none"/>
                <w14:textFill>
                  <w14:solidFill>
                    <w14:schemeClr w14:val="tx1"/>
                  </w14:solidFill>
                </w14:textFill>
              </w:rPr>
            </w:pPr>
            <w:r>
              <w:rPr>
                <w:rFonts w:hint="eastAsia"/>
                <w:highlight w:val="none"/>
              </w:rPr>
              <w:br w:type="page"/>
            </w:r>
            <w:r>
              <w:rPr>
                <w:rFonts w:hint="eastAsia" w:ascii="宋体" w:hAnsi="宋体" w:eastAsia="宋体" w:cs="宋体"/>
                <w:b/>
                <w:bCs/>
                <w:color w:val="000000" w:themeColor="text1"/>
                <w:sz w:val="28"/>
                <w:szCs w:val="28"/>
                <w:highlight w:val="none"/>
                <w:lang w:eastAsia="zh-CN"/>
                <w14:textFill>
                  <w14:solidFill>
                    <w14:schemeClr w14:val="tx1"/>
                  </w14:solidFill>
                </w14:textFill>
              </w:rPr>
              <w:t>专栏</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5</w:t>
            </w:r>
            <w:r>
              <w:rPr>
                <w:rFonts w:hint="eastAsia" w:ascii="宋体" w:hAnsi="宋体" w:eastAsia="宋体" w:cs="宋体"/>
                <w:b/>
                <w:bCs/>
                <w:color w:val="000000" w:themeColor="text1"/>
                <w:sz w:val="28"/>
                <w:szCs w:val="28"/>
                <w:highlight w:val="none"/>
                <w:lang w:eastAsia="zh-CN"/>
                <w14:textFill>
                  <w14:solidFill>
                    <w14:schemeClr w14:val="tx1"/>
                  </w14:solidFill>
                </w14:textFill>
              </w:rPr>
              <w:t>　龙头企业培育工程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项目概况：</w:t>
            </w:r>
            <w:r>
              <w:rPr>
                <w:rFonts w:hint="eastAsia" w:ascii="仿宋_GB2312" w:hAnsi="仿宋_GB2312" w:eastAsia="仿宋_GB2312" w:cs="仿宋_GB2312"/>
                <w:color w:val="000000" w:themeColor="text1"/>
                <w:sz w:val="24"/>
                <w:szCs w:val="24"/>
                <w:highlight w:val="none"/>
                <w14:textFill>
                  <w14:solidFill>
                    <w14:schemeClr w14:val="tx1"/>
                  </w14:solidFill>
                </w14:textFill>
              </w:rPr>
              <w:t>通过发展专项资金，以奖补、政府购买服务、科技平台支撑等形式，培育硒资源综合利用、硒产品开发龙头企业，到2025年，综合收入过亿元的富硒龙头企业超过</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highlight w:val="none"/>
                <w14:textFill>
                  <w14:solidFill>
                    <w14:schemeClr w14:val="tx1"/>
                  </w14:solidFill>
                </w14:textFill>
              </w:rPr>
              <w:t>0家，实现10亿元富硒龙头企业“零”的突破。</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地址</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紫阳相关乡镇富硒产业园区，紫阳蒿坪硒谷生态工业园区。</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项目内容：</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培育10家富硒产业种植、加工龙头骨干企业；</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培育10家高新技术富硒产品开发龙头企业；</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加快紫阳蒿坪硒谷生态工业园区基础配套建设。</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项目投资：</w:t>
            </w:r>
            <w:r>
              <w:rPr>
                <w:rFonts w:hint="eastAsia" w:ascii="仿宋_GB2312" w:hAnsi="仿宋_GB2312" w:eastAsia="仿宋_GB2312" w:cs="仿宋_GB2312"/>
                <w:color w:val="000000" w:themeColor="text1"/>
                <w:sz w:val="24"/>
                <w:szCs w:val="24"/>
                <w:highlight w:val="none"/>
                <w14:textFill>
                  <w14:solidFill>
                    <w14:schemeClr w14:val="tx1"/>
                  </w14:solidFill>
                </w14:textFill>
              </w:rPr>
              <w:t>10亿元。</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资金</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来源</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政府项目扶持资金、企业投资、招商引资。</w:t>
            </w:r>
          </w:p>
        </w:tc>
      </w:tr>
    </w:tbl>
    <w:p>
      <w:pPr>
        <w:pStyle w:val="4"/>
        <w:bidi w:val="0"/>
        <w:rPr>
          <w:highlight w:val="none"/>
        </w:rPr>
      </w:pPr>
      <w:bookmarkStart w:id="28" w:name="_Toc29145"/>
      <w:r>
        <w:rPr>
          <w:rFonts w:hint="eastAsia"/>
          <w:highlight w:val="none"/>
        </w:rPr>
        <w:t>第</w:t>
      </w:r>
      <w:r>
        <w:rPr>
          <w:rFonts w:hint="eastAsia"/>
          <w:highlight w:val="none"/>
          <w:lang w:eastAsia="zh-CN"/>
        </w:rPr>
        <w:t>二十</w:t>
      </w:r>
      <w:r>
        <w:rPr>
          <w:rFonts w:hint="eastAsia"/>
          <w:color w:val="000000" w:themeColor="text1"/>
          <w:highlight w:val="none"/>
          <w:lang w:eastAsia="zh-CN"/>
          <w14:textFill>
            <w14:solidFill>
              <w14:schemeClr w14:val="tx1"/>
            </w14:solidFill>
          </w14:textFill>
        </w:rPr>
        <w:t>三</w:t>
      </w:r>
      <w:r>
        <w:rPr>
          <w:rFonts w:hint="eastAsia"/>
          <w:highlight w:val="none"/>
        </w:rPr>
        <w:t>节　产业融合发展工程</w:t>
      </w:r>
      <w:bookmarkEnd w:id="28"/>
    </w:p>
    <w:p>
      <w:pPr>
        <w:bidi w:val="0"/>
        <w:rPr>
          <w:highlight w:val="none"/>
        </w:rPr>
      </w:pPr>
      <w:r>
        <w:rPr>
          <w:rFonts w:hint="eastAsia"/>
          <w:highlight w:val="none"/>
        </w:rPr>
        <w:t>按照“提升富硒茶旅、做好富硒文旅、发展富硒康养”的思路，大力发展文化、生态、康养旅游产业，丰富紫阳富硒产业一二三产全链，突出第三产业发展，拉动富硒产业高质量、跨越式发展，实现富硒产业综合收入爆发式增长。</w:t>
      </w:r>
    </w:p>
    <w:p>
      <w:pPr>
        <w:bidi w:val="0"/>
        <w:rPr>
          <w:rFonts w:hint="eastAsia"/>
          <w:highlight w:val="none"/>
          <w:lang w:eastAsia="zh-CN"/>
        </w:rPr>
      </w:pPr>
      <w:r>
        <w:rPr>
          <w:rFonts w:hint="eastAsia"/>
          <w:highlight w:val="none"/>
          <w:lang w:eastAsia="zh-CN"/>
        </w:rPr>
        <w:t>生态</w:t>
      </w:r>
      <w:r>
        <w:rPr>
          <w:rFonts w:hint="eastAsia"/>
          <w:highlight w:val="none"/>
        </w:rPr>
        <w:t>康养已经上升到国家大健康战略，是未来国家重点发展的万亿级朝阳产业。紫阳县具有独特的自然生态资源，优质的阳光、空气、水资源，良好的山水田园景色，保存完好的古村落、老院子，更具有健康生命的富硒资源，这使得紫阳将成为发展康养产业的最为理想的地方。重点发展富硒康养产业，加快康养基础设施建设，康养配套设施建设，打造一批富硒康养民宿集群</w:t>
      </w:r>
      <w:r>
        <w:rPr>
          <w:rFonts w:hint="eastAsia"/>
          <w:highlight w:val="none"/>
          <w:lang w:eastAsia="zh-CN"/>
        </w:rPr>
        <w:t>，</w:t>
      </w:r>
      <w:r>
        <w:rPr>
          <w:rFonts w:hint="eastAsia"/>
          <w:highlight w:val="none"/>
        </w:rPr>
        <w:t>建成3家国家级</w:t>
      </w:r>
      <w:r>
        <w:rPr>
          <w:rFonts w:hint="eastAsia"/>
          <w:highlight w:val="none"/>
          <w:lang w:eastAsia="zh-CN"/>
        </w:rPr>
        <w:t>森林</w:t>
      </w:r>
      <w:r>
        <w:rPr>
          <w:rFonts w:hint="eastAsia"/>
          <w:highlight w:val="none"/>
        </w:rPr>
        <w:t>康养人家、2</w:t>
      </w:r>
      <w:r>
        <w:rPr>
          <w:rFonts w:hint="eastAsia"/>
          <w:highlight w:val="none"/>
          <w:lang w:eastAsia="zh-CN"/>
        </w:rPr>
        <w:t>个</w:t>
      </w:r>
      <w:r>
        <w:rPr>
          <w:rFonts w:hint="eastAsia"/>
          <w:highlight w:val="none"/>
        </w:rPr>
        <w:t>国家级森林康养基地，吸引城市</w:t>
      </w:r>
      <w:r>
        <w:rPr>
          <w:rFonts w:hint="eastAsia"/>
          <w:highlight w:val="none"/>
          <w:lang w:eastAsia="zh-CN"/>
        </w:rPr>
        <w:t>居民</w:t>
      </w:r>
      <w:r>
        <w:rPr>
          <w:rFonts w:hint="eastAsia"/>
          <w:highlight w:val="none"/>
        </w:rPr>
        <w:t>来紫阳休息度假、研学旅行、颐养天年</w:t>
      </w:r>
      <w:r>
        <w:rPr>
          <w:rFonts w:hint="eastAsia"/>
          <w:highlight w:val="none"/>
          <w:lang w:eastAsia="zh-CN"/>
        </w:rPr>
        <w:t>。</w:t>
      </w:r>
    </w:p>
    <w:p>
      <w:pPr>
        <w:bidi w:val="0"/>
        <w:rPr>
          <w:highlight w:val="none"/>
        </w:rPr>
      </w:pPr>
      <w:r>
        <w:rPr>
          <w:rFonts w:hint="eastAsia"/>
          <w:highlight w:val="none"/>
        </w:rPr>
        <w:t>发挥紫阳茶、歌、山、水、硒等资源优势，</w:t>
      </w:r>
      <w:r>
        <w:rPr>
          <w:rFonts w:hint="eastAsia"/>
          <w:highlight w:val="none"/>
          <w:lang w:eastAsia="zh-CN"/>
        </w:rPr>
        <w:t>发展</w:t>
      </w:r>
      <w:r>
        <w:rPr>
          <w:rFonts w:hint="eastAsia"/>
          <w:highlight w:val="none"/>
        </w:rPr>
        <w:t>“水域风光、茶歌体验、乡村民宿、历史文化、休闲补硒、康养度假”六大旅游产品体系，</w:t>
      </w:r>
      <w:r>
        <w:rPr>
          <w:rFonts w:hint="eastAsia"/>
          <w:highlight w:val="none"/>
          <w:lang w:eastAsia="zh-CN"/>
        </w:rPr>
        <w:t>打</w:t>
      </w:r>
      <w:r>
        <w:rPr>
          <w:rFonts w:hint="eastAsia"/>
          <w:highlight w:val="none"/>
        </w:rPr>
        <w:t>造“汉江画廊·茶歌紫阳”生态富硒旅游品牌。</w:t>
      </w: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黑体" w:hAnsi="黑体" w:eastAsia="黑体" w:cstheme="minorEastAsia"/>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专栏</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6</w:t>
            </w:r>
            <w:r>
              <w:rPr>
                <w:rFonts w:hint="eastAsia" w:ascii="宋体" w:hAnsi="宋体" w:eastAsia="宋体" w:cs="宋体"/>
                <w:b/>
                <w:bCs/>
                <w:color w:val="000000" w:themeColor="text1"/>
                <w:sz w:val="28"/>
                <w:szCs w:val="28"/>
                <w:highlight w:val="none"/>
                <w:lang w:eastAsia="zh-CN"/>
                <w14:textFill>
                  <w14:solidFill>
                    <w14:schemeClr w14:val="tx1"/>
                  </w14:solidFill>
                </w14:textFill>
              </w:rPr>
              <w:t>　产业融合发展工程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项目概况：</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按照“提升富硒茶旅、做好富硒文旅、发展富硒康养”的思路，发展文</w:t>
            </w:r>
            <w:r>
              <w:rPr>
                <w:rFonts w:hint="eastAsia" w:ascii="仿宋_GB2312" w:hAnsi="仿宋_GB2312" w:eastAsia="仿宋_GB2312" w:cs="仿宋_GB2312"/>
                <w:color w:val="000000" w:themeColor="text1"/>
                <w:sz w:val="24"/>
                <w:szCs w:val="24"/>
                <w:highlight w:val="none"/>
                <w14:textFill>
                  <w14:solidFill>
                    <w14:schemeClr w14:val="tx1"/>
                  </w14:solidFill>
                </w14:textFill>
              </w:rPr>
              <w:t>化、生态、康养紫阳富硒旅游产业，丰富富硒产业一二三产全链，突出第三产业发展，拉动富硒产业高质量、跨越式发展。提升旅游景点、景区，打造5家富硒康养民宿集群、建成3家国家级康养人家、建成2家国家级森林康养基地。</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地址</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紫阳各旅游景点、景区，紫阳富硒生态观光茶园，紫阳富硒生态康养民宿集群地，紫阳森林康养基地、森林人家所在地。</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建设内容：</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县城环江文化旅游休闲长廊；</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权河任河漂流游综合体；</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向阳五省会馆小镇；</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魔芋包生态观光茶园；</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青中村生态康养民宿集群；</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蒿坪富硒茶康养小镇；</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7.</w:t>
            </w:r>
            <w:r>
              <w:rPr>
                <w:rFonts w:hint="eastAsia" w:ascii="仿宋_GB2312" w:hAnsi="仿宋_GB2312" w:eastAsia="仿宋_GB2312" w:cs="仿宋_GB2312"/>
                <w:sz w:val="24"/>
                <w:szCs w:val="24"/>
                <w:highlight w:val="none"/>
              </w:rPr>
              <w:t>焕古硒茶小镇；</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8.</w:t>
            </w:r>
            <w:r>
              <w:rPr>
                <w:rFonts w:hint="eastAsia" w:ascii="仿宋_GB2312" w:hAnsi="仿宋_GB2312" w:eastAsia="仿宋_GB2312" w:cs="仿宋_GB2312"/>
                <w:sz w:val="24"/>
                <w:szCs w:val="24"/>
                <w:highlight w:val="none"/>
              </w:rPr>
              <w:t>闹热村“世界硒源地”富硒文化科技旅游区；</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default" w:ascii="Times New Roman" w:hAnsi="Times New Roman" w:cs="Times New Roman" w:eastAsiaTheme="minorEastAsia"/>
                <w:sz w:val="28"/>
                <w:szCs w:val="22"/>
                <w:highlight w:val="none"/>
              </w:rPr>
            </w:pPr>
            <w:r>
              <w:rPr>
                <w:rFonts w:hint="eastAsia" w:ascii="仿宋_GB2312" w:hAnsi="仿宋_GB2312" w:eastAsia="仿宋_GB2312" w:cs="仿宋_GB2312"/>
                <w:sz w:val="24"/>
                <w:szCs w:val="24"/>
                <w:highlight w:val="none"/>
                <w:lang w:val="en-US" w:eastAsia="zh-CN"/>
              </w:rPr>
              <w:t>9.</w:t>
            </w:r>
            <w:r>
              <w:rPr>
                <w:rFonts w:hint="eastAsia" w:ascii="仿宋_GB2312" w:hAnsi="仿宋_GB2312" w:eastAsia="仿宋_GB2312" w:cs="仿宋_GB2312"/>
                <w:sz w:val="24"/>
                <w:szCs w:val="24"/>
                <w:highlight w:val="none"/>
              </w:rPr>
              <w:t>擂鼓台道教圣地森林康养基地。</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项目投资：</w:t>
            </w:r>
            <w:r>
              <w:rPr>
                <w:rFonts w:hint="eastAsia" w:ascii="仿宋_GB2312" w:hAnsi="仿宋_GB2312" w:eastAsia="仿宋_GB2312" w:cs="仿宋_GB2312"/>
                <w:color w:val="000000" w:themeColor="text1"/>
                <w:sz w:val="24"/>
                <w:szCs w:val="24"/>
                <w:highlight w:val="none"/>
                <w14:textFill>
                  <w14:solidFill>
                    <w14:schemeClr w14:val="tx1"/>
                  </w14:solidFill>
                </w14:textFill>
              </w:rPr>
              <w:t>10亿元。</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asciiTheme="minorEastAsia" w:hAnsiTheme="minorEastAsia" w:cstheme="minorEastAsia"/>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资金</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来源</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政府项目扶持资金、企业投资、招商引资。</w:t>
            </w:r>
          </w:p>
        </w:tc>
      </w:tr>
    </w:tbl>
    <w:p>
      <w:pPr>
        <w:pStyle w:val="4"/>
        <w:bidi w:val="0"/>
        <w:rPr>
          <w:highlight w:val="none"/>
        </w:rPr>
      </w:pPr>
      <w:bookmarkStart w:id="29" w:name="_Toc14368"/>
      <w:r>
        <w:rPr>
          <w:rFonts w:hint="eastAsia"/>
          <w:highlight w:val="none"/>
        </w:rPr>
        <w:t>第</w:t>
      </w:r>
      <w:r>
        <w:rPr>
          <w:rFonts w:hint="eastAsia"/>
          <w:highlight w:val="none"/>
          <w:lang w:eastAsia="zh-CN"/>
        </w:rPr>
        <w:t>二十</w:t>
      </w:r>
      <w:r>
        <w:rPr>
          <w:rFonts w:hint="eastAsia"/>
          <w:color w:val="000000" w:themeColor="text1"/>
          <w:highlight w:val="none"/>
          <w:lang w:eastAsia="zh-CN"/>
          <w14:textFill>
            <w14:solidFill>
              <w14:schemeClr w14:val="tx1"/>
            </w14:solidFill>
          </w14:textFill>
        </w:rPr>
        <w:t>四</w:t>
      </w:r>
      <w:r>
        <w:rPr>
          <w:rFonts w:hint="eastAsia"/>
          <w:highlight w:val="none"/>
        </w:rPr>
        <w:t>节　科技创新支撑工程</w:t>
      </w:r>
      <w:bookmarkEnd w:id="29"/>
    </w:p>
    <w:p>
      <w:pPr>
        <w:bidi w:val="0"/>
        <w:rPr>
          <w:highlight w:val="none"/>
        </w:rPr>
      </w:pPr>
      <w:r>
        <w:rPr>
          <w:rFonts w:hint="eastAsia"/>
          <w:highlight w:val="none"/>
        </w:rPr>
        <w:t>大力实施创新驱动发展战略，用科技创新支撑富硒产业发展，不断提高科技创新对富硒产业、经济发展的贡献率。</w:t>
      </w:r>
      <w:r>
        <w:rPr>
          <w:rFonts w:hint="eastAsia"/>
          <w:highlight w:val="none"/>
          <w:lang w:eastAsia="zh-CN"/>
        </w:rPr>
        <w:t>坚定不移地走</w:t>
      </w:r>
      <w:r>
        <w:rPr>
          <w:rFonts w:hint="eastAsia"/>
          <w:highlight w:val="none"/>
        </w:rPr>
        <w:t>科技创新发展之路，完善富硒产业科技创新体系</w:t>
      </w:r>
      <w:r>
        <w:rPr>
          <w:rFonts w:hint="eastAsia"/>
          <w:highlight w:val="none"/>
          <w:lang w:eastAsia="zh-CN"/>
        </w:rPr>
        <w:t>，</w:t>
      </w:r>
      <w:r>
        <w:rPr>
          <w:rFonts w:hint="eastAsia"/>
          <w:highlight w:val="none"/>
        </w:rPr>
        <w:t>加强富硒科技人才引进</w:t>
      </w:r>
      <w:r>
        <w:rPr>
          <w:rFonts w:hint="eastAsia"/>
          <w:highlight w:val="none"/>
          <w:lang w:eastAsia="zh-CN"/>
        </w:rPr>
        <w:t>、</w:t>
      </w:r>
      <w:r>
        <w:rPr>
          <w:rFonts w:hint="eastAsia"/>
          <w:highlight w:val="none"/>
        </w:rPr>
        <w:t>培养，加大科技投入</w:t>
      </w:r>
      <w:r>
        <w:rPr>
          <w:rFonts w:hint="eastAsia"/>
          <w:highlight w:val="none"/>
          <w:lang w:eastAsia="zh-CN"/>
        </w:rPr>
        <w:t>，</w:t>
      </w:r>
      <w:r>
        <w:rPr>
          <w:rFonts w:hint="eastAsia"/>
          <w:highlight w:val="none"/>
        </w:rPr>
        <w:t>依靠科技创新</w:t>
      </w:r>
      <w:r>
        <w:rPr>
          <w:rFonts w:hint="eastAsia"/>
          <w:highlight w:val="none"/>
          <w:lang w:eastAsia="zh-CN"/>
        </w:rPr>
        <w:t>，</w:t>
      </w:r>
      <w:r>
        <w:rPr>
          <w:rFonts w:hint="eastAsia"/>
          <w:highlight w:val="none"/>
        </w:rPr>
        <w:t>提高富硒资源综合利用水平与富硒产品技术含量。</w:t>
      </w:r>
    </w:p>
    <w:p>
      <w:pPr>
        <w:bidi w:val="0"/>
        <w:rPr>
          <w:highlight w:val="none"/>
        </w:rPr>
      </w:pPr>
      <w:r>
        <w:rPr>
          <w:rFonts w:hint="eastAsia"/>
          <w:highlight w:val="none"/>
        </w:rPr>
        <w:t>⒈</w:t>
      </w:r>
      <w:r>
        <w:rPr>
          <w:rFonts w:hint="eastAsia" w:ascii="楷体_GB2312" w:hAnsi="楷体_GB2312" w:eastAsia="楷体_GB2312" w:cs="楷体_GB2312"/>
          <w:b/>
          <w:bCs/>
          <w:highlight w:val="none"/>
          <w:lang w:eastAsia="zh-CN"/>
        </w:rPr>
        <w:t>加强</w:t>
      </w:r>
      <w:r>
        <w:rPr>
          <w:rFonts w:hint="eastAsia" w:ascii="楷体_GB2312" w:hAnsi="楷体_GB2312" w:eastAsia="楷体_GB2312" w:cs="楷体_GB2312"/>
          <w:b/>
          <w:bCs/>
          <w:highlight w:val="none"/>
        </w:rPr>
        <w:t>科研基础建设</w:t>
      </w:r>
      <w:r>
        <w:rPr>
          <w:rFonts w:hint="eastAsia" w:ascii="楷体_GB2312" w:hAnsi="楷体_GB2312" w:eastAsia="楷体_GB2312" w:cs="楷体_GB2312"/>
          <w:b/>
          <w:bCs/>
          <w:highlight w:val="none"/>
          <w:lang w:eastAsia="zh-CN"/>
        </w:rPr>
        <w:t>和产品研发</w:t>
      </w:r>
      <w:r>
        <w:rPr>
          <w:rFonts w:hint="eastAsia"/>
          <w:highlight w:val="none"/>
        </w:rPr>
        <w:t>。联合中国农业大学、</w:t>
      </w:r>
      <w:r>
        <w:rPr>
          <w:rFonts w:hint="eastAsia"/>
          <w:highlight w:val="none"/>
          <w:lang w:eastAsia="zh-CN"/>
        </w:rPr>
        <w:t>西北农林科技大学、中国富硒产业研究院、</w:t>
      </w:r>
      <w:r>
        <w:rPr>
          <w:rFonts w:hint="eastAsia"/>
          <w:highlight w:val="none"/>
        </w:rPr>
        <w:t>中国科学大学苏州研究院、国家功能农业科技创新联盟、安康学院等单位，</w:t>
      </w:r>
      <w:r>
        <w:rPr>
          <w:rFonts w:hint="eastAsia"/>
          <w:highlight w:val="none"/>
          <w:lang w:eastAsia="zh-CN"/>
        </w:rPr>
        <w:t>充实科研力量，加大资金投入，不断提高紫阳硒资源开发研究院、应用技术研究实验室建设、研发水平，建立专家</w:t>
      </w:r>
      <w:r>
        <w:rPr>
          <w:rFonts w:hint="eastAsia"/>
          <w:highlight w:val="none"/>
        </w:rPr>
        <w:t>工作站。充分发挥紫阳下寒武黄铁矿化炭质板岩含硒量高，且有害重金属不超标的独特优势，大力</w:t>
      </w:r>
      <w:r>
        <w:rPr>
          <w:rFonts w:hint="eastAsia"/>
          <w:highlight w:val="none"/>
          <w:lang w:eastAsia="zh-CN"/>
        </w:rPr>
        <w:t>推进</w:t>
      </w:r>
      <w:r>
        <w:rPr>
          <w:rFonts w:hint="eastAsia"/>
          <w:highlight w:val="none"/>
        </w:rPr>
        <w:t>产学研用协同创新。通过研制开发土壤富硒营养强化剂、生物纳米硒肥、引进硒酵母生产技术进行消化再创新等措施加快富硒肥料、富硒饲料研发、生产、施用，实现富硒农产品标准化、规模化、产业化开发生产，突破制约富硒产业升级发展的核心技术难题。</w:t>
      </w:r>
      <w:r>
        <w:rPr>
          <w:rFonts w:hint="eastAsia"/>
          <w:highlight w:val="none"/>
          <w:lang w:eastAsia="zh-CN"/>
        </w:rPr>
        <w:t>通过</w:t>
      </w:r>
      <w:r>
        <w:rPr>
          <w:rFonts w:hint="eastAsia"/>
          <w:highlight w:val="none"/>
          <w:lang w:val="en-US" w:eastAsia="zh-CN"/>
        </w:rPr>
        <w:t>3—5年的努力，在良种培育、生产加工、土壤改良、生态保护等方面取得一批原创核心技术，增强自主创新能力和核心竞争力。</w:t>
      </w:r>
    </w:p>
    <w:p>
      <w:pPr>
        <w:bidi w:val="0"/>
        <w:rPr>
          <w:highlight w:val="none"/>
        </w:rPr>
      </w:pPr>
      <w:r>
        <w:rPr>
          <w:rFonts w:hint="eastAsia"/>
          <w:highlight w:val="none"/>
        </w:rPr>
        <w:t>⒉</w:t>
      </w:r>
      <w:r>
        <w:rPr>
          <w:rFonts w:hint="eastAsia" w:ascii="楷体_GB2312" w:hAnsi="楷体_GB2312" w:eastAsia="楷体_GB2312" w:cs="楷体_GB2312"/>
          <w:b/>
          <w:bCs/>
          <w:highlight w:val="none"/>
          <w:lang w:eastAsia="zh-CN"/>
        </w:rPr>
        <w:t>建立完善产品标准化体系</w:t>
      </w:r>
      <w:r>
        <w:rPr>
          <w:rFonts w:hint="eastAsia"/>
          <w:highlight w:val="none"/>
        </w:rPr>
        <w:t>。不断提高富硒产品硒含量检验、检测能力，让消费者信赖紫阳富硒产品；积极主动组织参与大宗硒产品的国家标准制定，高度重视县域富硒特色产品企业标准、行业标准、团体标准的制定和管理；完成富硒茶国家标准制定，引领全县各类硒产品的省级地方标准制定；强化产品硒含量检测检验服务能力建设，确保紫阳生产的富硒产品硒含量的标准化，为国人健康科学补硒提供可靠信赖的硒产品。</w:t>
      </w:r>
    </w:p>
    <w:p>
      <w:pPr>
        <w:bidi w:val="0"/>
        <w:rPr>
          <w:highlight w:val="none"/>
        </w:rPr>
      </w:pPr>
      <w:r>
        <w:rPr>
          <w:rFonts w:hint="eastAsia"/>
          <w:highlight w:val="none"/>
        </w:rPr>
        <w:t>⒊</w:t>
      </w:r>
      <w:r>
        <w:rPr>
          <w:rFonts w:hint="eastAsia" w:ascii="楷体_GB2312" w:hAnsi="楷体_GB2312" w:eastAsia="楷体_GB2312" w:cs="楷体_GB2312"/>
          <w:b/>
          <w:bCs/>
          <w:highlight w:val="none"/>
          <w:lang w:eastAsia="zh-CN"/>
        </w:rPr>
        <w:t>促进“产学研用”深度融合</w:t>
      </w:r>
      <w:r>
        <w:rPr>
          <w:rFonts w:hint="eastAsia"/>
          <w:highlight w:val="none"/>
        </w:rPr>
        <w:t>。立足培育多样化、高端化的富硒产业，加快富硒产业研究孵化服务中心建设，深入推进院地、校企结合，创新建立高层次人才引进、科研成果转化、科技研发奖励、重大科研课题对外招标等机制，努力把紫阳建设成为全国富硒产品科技创新和精深加工孵化基地。</w:t>
      </w:r>
    </w:p>
    <w:p>
      <w:pPr>
        <w:bidi w:val="0"/>
        <w:rPr>
          <w:rFonts w:hint="eastAsia"/>
          <w:highlight w:val="none"/>
          <w:lang w:eastAsia="zh-CN"/>
        </w:rPr>
      </w:pPr>
      <w:r>
        <w:rPr>
          <w:rFonts w:hint="eastAsia"/>
          <w:highlight w:val="none"/>
        </w:rPr>
        <w:t>⒋</w:t>
      </w:r>
      <w:r>
        <w:rPr>
          <w:rFonts w:hint="eastAsia" w:ascii="楷体_GB2312" w:hAnsi="楷体_GB2312" w:eastAsia="楷体_GB2312" w:cs="楷体_GB2312"/>
          <w:b/>
          <w:bCs/>
          <w:highlight w:val="none"/>
          <w:lang w:eastAsia="zh-CN"/>
        </w:rPr>
        <w:t>加强人才队伍建设</w:t>
      </w:r>
      <w:r>
        <w:rPr>
          <w:rFonts w:hint="eastAsia"/>
          <w:highlight w:val="none"/>
        </w:rPr>
        <w:t>。富硒产业发展靠科技支撑，富硒产业科技靠人才创造。紫阳富硒产业发展要继承富硒科技人才辈出的传统，加强富硒科技人才引进与培养，充分发挥科技人才</w:t>
      </w:r>
      <w:r>
        <w:rPr>
          <w:rFonts w:hint="eastAsia"/>
          <w:highlight w:val="none"/>
          <w:lang w:eastAsia="zh-CN"/>
        </w:rPr>
        <w:t>支撑</w:t>
      </w:r>
      <w:r>
        <w:rPr>
          <w:rFonts w:hint="eastAsia"/>
          <w:highlight w:val="none"/>
        </w:rPr>
        <w:t>作用。</w:t>
      </w:r>
      <w:r>
        <w:rPr>
          <w:rFonts w:hint="eastAsia"/>
          <w:highlight w:val="none"/>
          <w:lang w:eastAsia="zh-CN"/>
        </w:rPr>
        <w:t>建立“师徒”传承机制，加强本土人才培养，传承“紫阳毛尖”等手工制传统生产工艺。通过合作交流，建立柔性人才引进机制，推进协同创新。</w:t>
      </w: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黑体" w:hAnsi="黑体" w:eastAsia="黑体" w:cs="方正仿宋_GB2312"/>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专栏</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7</w:t>
            </w:r>
            <w:r>
              <w:rPr>
                <w:rFonts w:hint="eastAsia" w:ascii="宋体" w:hAnsi="宋体" w:eastAsia="宋体" w:cs="宋体"/>
                <w:b/>
                <w:bCs/>
                <w:color w:val="000000" w:themeColor="text1"/>
                <w:sz w:val="28"/>
                <w:szCs w:val="28"/>
                <w:highlight w:val="none"/>
                <w:lang w:eastAsia="zh-CN"/>
                <w14:textFill>
                  <w14:solidFill>
                    <w14:schemeClr w14:val="tx1"/>
                  </w14:solidFill>
                </w14:textFill>
              </w:rPr>
              <w:t>　科技创新支撑工程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项目概况：</w:t>
            </w:r>
            <w:r>
              <w:rPr>
                <w:rFonts w:hint="eastAsia" w:ascii="仿宋_GB2312" w:hAnsi="仿宋_GB2312" w:eastAsia="仿宋_GB2312" w:cs="仿宋_GB2312"/>
                <w:color w:val="000000" w:themeColor="text1"/>
                <w:sz w:val="24"/>
                <w:szCs w:val="24"/>
                <w:highlight w:val="none"/>
                <w14:textFill>
                  <w14:solidFill>
                    <w14:schemeClr w14:val="tx1"/>
                  </w14:solidFill>
                </w14:textFill>
              </w:rPr>
              <w:t>实施创新驱动发展战略，用科技创新支撑富硒产业发展，不断提高科技创新对富硒产业、经济发展的贡献率。“十四五”紫阳富硒产业要坚定</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不移地走科</w:t>
            </w:r>
            <w:r>
              <w:rPr>
                <w:rFonts w:hint="eastAsia" w:ascii="仿宋_GB2312" w:hAnsi="仿宋_GB2312" w:eastAsia="仿宋_GB2312" w:cs="仿宋_GB2312"/>
                <w:color w:val="000000" w:themeColor="text1"/>
                <w:sz w:val="24"/>
                <w:szCs w:val="24"/>
                <w:highlight w:val="none"/>
                <w14:textFill>
                  <w14:solidFill>
                    <w14:schemeClr w14:val="tx1"/>
                  </w14:solidFill>
                </w14:textFill>
              </w:rPr>
              <w:t>技创新发展之路，完善紫阳富硒产业科技创新体系</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加强富硒科技人才引进、培养，加大富硒科技投入</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依靠科技创新</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提高富硒资源综合利用水平与富硒产品技术含量。</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地址</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紫阳蒿坪硒谷生态工业园区，紫阳县城、蒿坪镇、双安镇。</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建设内容：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highlight w:val="none"/>
                <w14:textFill>
                  <w14:solidFill>
                    <w14:schemeClr w14:val="tx1"/>
                  </w14:solidFill>
                </w14:textFill>
              </w:rPr>
              <w:t>富硒科学研究基础建设。建成“中国紫阳・富硒博物馆”，“中国紫阳・富硒研究院”，“中国紫阳・富硒产业</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专家</w:t>
            </w:r>
            <w:r>
              <w:rPr>
                <w:rFonts w:hint="eastAsia" w:ascii="仿宋_GB2312" w:hAnsi="仿宋_GB2312" w:eastAsia="仿宋_GB2312" w:cs="仿宋_GB2312"/>
                <w:color w:val="000000" w:themeColor="text1"/>
                <w:sz w:val="24"/>
                <w:szCs w:val="24"/>
                <w:highlight w:val="none"/>
                <w14:textFill>
                  <w14:solidFill>
                    <w14:schemeClr w14:val="tx1"/>
                  </w14:solidFill>
                </w14:textFill>
              </w:rPr>
              <w:t>工作站”。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highlight w:val="none"/>
                <w14:textFill>
                  <w14:solidFill>
                    <w14:schemeClr w14:val="tx1"/>
                  </w14:solidFill>
                </w14:textFill>
              </w:rPr>
              <w:t>富硒产品标准化体系建设。富硒产品硒含量检验、检测建设；富硒特色产品企业标准、行业标准、团体标准的制定和管理；富硒茶、富硒水国家标准制定。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富硒产业“产学研用”融合建设。富硒产业研究孵化服务中心建设；院地、校企结合，高层次人才引进、科研成果转化、科技研发奖励、重大科研课题对外招标机制建设。</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项目投资：</w:t>
            </w:r>
            <w:r>
              <w:rPr>
                <w:rFonts w:hint="eastAsia" w:ascii="仿宋_GB2312" w:hAnsi="仿宋_GB2312" w:eastAsia="仿宋_GB2312" w:cs="仿宋_GB2312"/>
                <w:color w:val="000000" w:themeColor="text1"/>
                <w:sz w:val="24"/>
                <w:szCs w:val="24"/>
                <w:highlight w:val="none"/>
                <w14:textFill>
                  <w14:solidFill>
                    <w14:schemeClr w14:val="tx1"/>
                  </w14:solidFill>
                </w14:textFill>
              </w:rPr>
              <w:t>10亿元。</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imes New Roman" w:hAnsi="Times New Roman" w:eastAsia="仿宋-GB2312" w:cs="Times New Roman"/>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资金</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来源</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政府项目扶持资金、企业投资、招商引资。</w:t>
            </w:r>
          </w:p>
        </w:tc>
      </w:tr>
    </w:tbl>
    <w:p>
      <w:pPr>
        <w:pStyle w:val="4"/>
        <w:bidi w:val="0"/>
        <w:rPr>
          <w:highlight w:val="none"/>
        </w:rPr>
      </w:pPr>
      <w:bookmarkStart w:id="30" w:name="_Toc4631"/>
      <w:r>
        <w:rPr>
          <w:rFonts w:hint="eastAsia"/>
          <w:highlight w:val="none"/>
        </w:rPr>
        <w:t>第</w:t>
      </w:r>
      <w:r>
        <w:rPr>
          <w:rFonts w:hint="eastAsia"/>
          <w:highlight w:val="none"/>
          <w:lang w:eastAsia="zh-CN"/>
        </w:rPr>
        <w:t>二十</w:t>
      </w:r>
      <w:r>
        <w:rPr>
          <w:rFonts w:hint="eastAsia"/>
          <w:color w:val="000000" w:themeColor="text1"/>
          <w:highlight w:val="none"/>
          <w:lang w:eastAsia="zh-CN"/>
          <w14:textFill>
            <w14:solidFill>
              <w14:schemeClr w14:val="tx1"/>
            </w14:solidFill>
          </w14:textFill>
        </w:rPr>
        <w:t>五</w:t>
      </w:r>
      <w:r>
        <w:rPr>
          <w:rFonts w:hint="eastAsia"/>
          <w:highlight w:val="none"/>
        </w:rPr>
        <w:t xml:space="preserve">节 </w:t>
      </w:r>
      <w:r>
        <w:rPr>
          <w:highlight w:val="none"/>
        </w:rPr>
        <w:t xml:space="preserve"> </w:t>
      </w:r>
      <w:r>
        <w:rPr>
          <w:rFonts w:hint="eastAsia"/>
          <w:highlight w:val="none"/>
        </w:rPr>
        <w:t>产业服务构建工程</w:t>
      </w:r>
      <w:bookmarkEnd w:id="30"/>
    </w:p>
    <w:p>
      <w:pPr>
        <w:bidi w:val="0"/>
        <w:rPr>
          <w:highlight w:val="none"/>
        </w:rPr>
      </w:pPr>
      <w:r>
        <w:rPr>
          <w:rFonts w:hint="eastAsia"/>
          <w:highlight w:val="none"/>
          <w:lang w:val="en-US" w:eastAsia="zh-CN"/>
        </w:rPr>
        <w:t>⒈</w:t>
      </w:r>
      <w:r>
        <w:rPr>
          <w:rFonts w:hint="eastAsia" w:ascii="楷体_GB2312" w:hAnsi="楷体_GB2312" w:eastAsia="楷体_GB2312" w:cs="楷体_GB2312"/>
          <w:b/>
          <w:bCs/>
          <w:highlight w:val="none"/>
          <w:lang w:val="en-US" w:eastAsia="zh-CN"/>
        </w:rPr>
        <w:t>高度重视服务体系建设</w:t>
      </w:r>
      <w:r>
        <w:rPr>
          <w:rFonts w:hint="eastAsia"/>
          <w:highlight w:val="none"/>
          <w:lang w:val="en-US" w:eastAsia="zh-CN"/>
        </w:rPr>
        <w:t>。</w:t>
      </w:r>
      <w:r>
        <w:rPr>
          <w:rFonts w:hint="eastAsia"/>
          <w:highlight w:val="none"/>
        </w:rPr>
        <w:t>构建紫阳富硒产业社会化服务体系，</w:t>
      </w:r>
      <w:r>
        <w:rPr>
          <w:highlight w:val="none"/>
        </w:rPr>
        <w:t>是硒科技、信息、资金、人才等现代生产要素有效植入富硒农业产业链的保障，既有利于富硒基地和经营主体的科技支撑，增强落地性；又能将服务贯穿于整个产业链，塑造富硒产业体系。能有效实现富硒生产资料的集约高效利用，促进富硒农业产业生产效率、综合效益和竞争力的全面提升。</w:t>
      </w:r>
    </w:p>
    <w:p>
      <w:pPr>
        <w:bidi w:val="0"/>
        <w:rPr>
          <w:rFonts w:hint="eastAsia"/>
          <w:highlight w:val="none"/>
          <w:lang w:eastAsia="zh-CN"/>
        </w:rPr>
      </w:pPr>
      <w:r>
        <w:rPr>
          <w:rFonts w:hint="eastAsia"/>
          <w:highlight w:val="none"/>
          <w:lang w:val="en-US" w:eastAsia="zh-CN"/>
        </w:rPr>
        <w:t>⒉</w:t>
      </w:r>
      <w:r>
        <w:rPr>
          <w:rFonts w:hint="eastAsia" w:ascii="楷体_GB2312" w:hAnsi="楷体_GB2312" w:eastAsia="楷体_GB2312" w:cs="楷体_GB2312"/>
          <w:b/>
          <w:bCs/>
          <w:highlight w:val="none"/>
          <w:lang w:val="en-US" w:eastAsia="zh-CN"/>
        </w:rPr>
        <w:t>逐步健全社会化服务体系</w:t>
      </w:r>
      <w:r>
        <w:rPr>
          <w:rFonts w:hint="eastAsia"/>
          <w:highlight w:val="none"/>
          <w:lang w:val="en-US" w:eastAsia="zh-CN"/>
        </w:rPr>
        <w:t>。</w:t>
      </w:r>
      <w:r>
        <w:rPr>
          <w:highlight w:val="none"/>
        </w:rPr>
        <w:t>完整的富硒产业社会化服务体系包括以下功能构成：富硒产业技术服务、</w:t>
      </w:r>
      <w:r>
        <w:rPr>
          <w:rFonts w:hint="eastAsia"/>
          <w:highlight w:val="none"/>
        </w:rPr>
        <w:t>检验检测服务、</w:t>
      </w:r>
      <w:r>
        <w:rPr>
          <w:highlight w:val="none"/>
        </w:rPr>
        <w:t>农产品信息服务、金融保险服务、品牌打造等。</w:t>
      </w:r>
      <w:r>
        <w:rPr>
          <w:rFonts w:hint="eastAsia"/>
          <w:highlight w:val="none"/>
        </w:rPr>
        <w:t>通过本地培育或引进国内富硒产业专业服务商落地发展，为全县富硒产业从企业提供标准化基地建设、深加工生产技术和投入品、品质把控、品牌塑造、文化塑造等系统性服务。通过制定政策，资金支持等充分发挥已有检测体系作用，为本地富硒企业提供检验检测服务，通过数据梳理，建立本地富硒产业数据库。为本地企业提供服务的同时，支撑管理部门制定政策、基地认证等，提升本地产业发展科学性，规范富硒产业发展</w:t>
      </w:r>
      <w:r>
        <w:rPr>
          <w:rFonts w:hint="eastAsia"/>
          <w:highlight w:val="none"/>
          <w:lang w:eastAsia="zh-CN"/>
        </w:rPr>
        <w:t>。</w:t>
      </w:r>
    </w:p>
    <w:p>
      <w:pPr>
        <w:bidi w:val="0"/>
        <w:rPr>
          <w:rFonts w:hint="eastAsia"/>
          <w:highlight w:val="none"/>
        </w:rPr>
      </w:pPr>
      <w:r>
        <w:rPr>
          <w:rFonts w:hint="eastAsia"/>
          <w:highlight w:val="none"/>
          <w:lang w:val="en-US" w:eastAsia="zh-CN"/>
        </w:rPr>
        <w:t>⒊</w:t>
      </w:r>
      <w:r>
        <w:rPr>
          <w:rFonts w:hint="eastAsia" w:ascii="楷体_GB2312" w:hAnsi="楷体_GB2312" w:eastAsia="楷体_GB2312" w:cs="楷体_GB2312"/>
          <w:b/>
          <w:bCs/>
          <w:highlight w:val="none"/>
          <w:lang w:val="en-US" w:eastAsia="zh-CN"/>
        </w:rPr>
        <w:t>加强对服务体系建设的领导</w:t>
      </w:r>
      <w:r>
        <w:rPr>
          <w:rFonts w:hint="eastAsia"/>
          <w:highlight w:val="none"/>
          <w:lang w:val="en-US" w:eastAsia="zh-CN"/>
        </w:rPr>
        <w:t>。</w:t>
      </w:r>
      <w:r>
        <w:rPr>
          <w:rFonts w:hint="eastAsia"/>
          <w:highlight w:val="none"/>
        </w:rPr>
        <w:t>以富硒科技创新为基础，</w:t>
      </w:r>
      <w:r>
        <w:rPr>
          <w:rFonts w:hint="eastAsia"/>
          <w:highlight w:val="none"/>
          <w:lang w:eastAsia="zh-CN"/>
        </w:rPr>
        <w:t>发挥县</w:t>
      </w:r>
      <w:r>
        <w:rPr>
          <w:rFonts w:hint="eastAsia"/>
          <w:highlight w:val="none"/>
        </w:rPr>
        <w:t>富硒办</w:t>
      </w:r>
      <w:r>
        <w:rPr>
          <w:rFonts w:hint="eastAsia"/>
          <w:highlight w:val="none"/>
          <w:lang w:eastAsia="zh-CN"/>
        </w:rPr>
        <w:t>的</w:t>
      </w:r>
      <w:r>
        <w:rPr>
          <w:rFonts w:hint="eastAsia"/>
          <w:highlight w:val="none"/>
        </w:rPr>
        <w:t>领导</w:t>
      </w:r>
      <w:r>
        <w:rPr>
          <w:rFonts w:hint="eastAsia"/>
          <w:highlight w:val="none"/>
          <w:lang w:eastAsia="zh-CN"/>
        </w:rPr>
        <w:t>、协调作用</w:t>
      </w:r>
      <w:r>
        <w:rPr>
          <w:rFonts w:hint="eastAsia"/>
          <w:highlight w:val="none"/>
        </w:rPr>
        <w:t>，以紫阳县硒资源开发研究所为主体，建立紫阳富硒产业社会化服务体系。以富硒基地标准化建设为主体，以硒产品检测为核心，并逐渐拓展到富硒技术服务、农资服务、培训服务、富硒农产品收储服务等，成为政府富硒产业工作的载体和抓手。</w:t>
      </w:r>
    </w:p>
    <w:tbl>
      <w:tblPr>
        <w:tblStyle w:val="15"/>
        <w:tblW w:w="9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仿宋-GB2312" w:cs="Times New Roman"/>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专栏</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8　</w:t>
            </w:r>
            <w:r>
              <w:rPr>
                <w:rFonts w:hint="eastAsia" w:ascii="宋体" w:hAnsi="宋体" w:eastAsia="宋体" w:cs="宋体"/>
                <w:b/>
                <w:bCs/>
                <w:color w:val="000000" w:themeColor="text1"/>
                <w:sz w:val="28"/>
                <w:szCs w:val="28"/>
                <w:highlight w:val="none"/>
                <w:lang w:eastAsia="zh-CN"/>
                <w14:textFill>
                  <w14:solidFill>
                    <w14:schemeClr w14:val="tx1"/>
                  </w14:solidFill>
                </w14:textFill>
              </w:rPr>
              <w:t>产业服务板块搭建工程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1" w:hRule="atLeast"/>
          <w:jc w:val="center"/>
        </w:trPr>
        <w:tc>
          <w:tcPr>
            <w:tcW w:w="9000" w:type="dxa"/>
          </w:tcPr>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项目概况：</w:t>
            </w:r>
            <w:r>
              <w:rPr>
                <w:rFonts w:hint="eastAsia" w:ascii="仿宋_GB2312" w:hAnsi="仿宋_GB2312" w:eastAsia="仿宋_GB2312" w:cs="仿宋_GB2312"/>
                <w:color w:val="000000" w:themeColor="text1"/>
                <w:sz w:val="24"/>
                <w:szCs w:val="24"/>
                <w:highlight w:val="none"/>
                <w14:textFill>
                  <w14:solidFill>
                    <w14:schemeClr w14:val="tx1"/>
                  </w14:solidFill>
                </w14:textFill>
              </w:rPr>
              <w:t>完善产业服务支撑板块，支撑产业科学发展。为本区富硒产业从业企业提供标准化基地建设、深加工生产技术和投入品、品质把控、品牌塑造、文化塑造等系统性服务。通过制定政策，资金支持等充分发挥已有检测体系作用，为本地富硒企业提供检验检测服务，通过数据梳理，建立本地富硒产业数据库。</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建设地</w:t>
            </w: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址</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高坪富硒产业园和双安富硒研究院</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建设内容：</w:t>
            </w:r>
            <w:r>
              <w:rPr>
                <w:rFonts w:hint="eastAsia" w:ascii="仿宋_GB2312" w:hAnsi="仿宋_GB2312" w:eastAsia="仿宋_GB2312" w:cs="仿宋_GB2312"/>
                <w:color w:val="000000" w:themeColor="text1"/>
                <w:sz w:val="24"/>
                <w:szCs w:val="24"/>
                <w:highlight w:val="none"/>
                <w14:textFill>
                  <w14:solidFill>
                    <w14:schemeClr w14:val="tx1"/>
                  </w14:solidFill>
                </w14:textFill>
              </w:rPr>
              <w:t>通过本地培育或引进国内富硒产业专业服务商落地发展；制定专项政策，并划拨专项扶持资金，开放富硒研究院实验室，为企业提供第三方检测服务，并建立紫阳县富硒产业数据库。</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项目投资：</w:t>
            </w:r>
            <w:r>
              <w:rPr>
                <w:rFonts w:hint="eastAsia" w:ascii="仿宋_GB2312" w:hAnsi="仿宋_GB2312" w:eastAsia="仿宋_GB2312" w:cs="仿宋_GB2312"/>
                <w:color w:val="000000" w:themeColor="text1"/>
                <w:sz w:val="24"/>
                <w:szCs w:val="24"/>
                <w:highlight w:val="none"/>
                <w14:textFill>
                  <w14:solidFill>
                    <w14:schemeClr w14:val="tx1"/>
                  </w14:solidFill>
                </w14:textFill>
              </w:rPr>
              <w:t>1500万元。</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仿宋-GB2312" w:cs="Times New Roman"/>
                <w:color w:val="000000" w:themeColor="text1"/>
                <w:sz w:val="30"/>
                <w:szCs w:val="30"/>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资金来源：</w:t>
            </w:r>
            <w:r>
              <w:rPr>
                <w:rFonts w:hint="eastAsia" w:ascii="仿宋_GB2312" w:hAnsi="仿宋_GB2312" w:eastAsia="仿宋_GB2312" w:cs="仿宋_GB2312"/>
                <w:color w:val="000000" w:themeColor="text1"/>
                <w:sz w:val="24"/>
                <w:szCs w:val="24"/>
                <w:highlight w:val="none"/>
                <w14:textFill>
                  <w14:solidFill>
                    <w14:schemeClr w14:val="tx1"/>
                  </w14:solidFill>
                </w14:textFill>
              </w:rPr>
              <w:t>政府项目扶持资金、企业自筹、招商引资</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p>
        </w:tc>
      </w:tr>
    </w:tbl>
    <w:p>
      <w:pPr>
        <w:bidi w:val="0"/>
        <w:rPr>
          <w:rFonts w:hint="eastAsia"/>
        </w:rPr>
      </w:pPr>
    </w:p>
    <w:p>
      <w:pPr>
        <w:bidi w:val="0"/>
        <w:rPr>
          <w:rFonts w:hint="eastAsia"/>
        </w:rPr>
      </w:pPr>
    </w:p>
    <w:p>
      <w:pPr>
        <w:pStyle w:val="11"/>
        <w:bidi w:val="0"/>
        <w:outlineLvl w:val="0"/>
        <w:rPr>
          <w:highlight w:val="none"/>
        </w:rPr>
      </w:pPr>
      <w:bookmarkStart w:id="31" w:name="_Toc5695"/>
      <w:r>
        <w:rPr>
          <w:rFonts w:hint="eastAsia"/>
          <w:highlight w:val="none"/>
        </w:rPr>
        <w:t>第七章</w:t>
      </w:r>
      <w:r>
        <w:rPr>
          <w:rFonts w:hint="eastAsia"/>
          <w:highlight w:val="none"/>
          <w:lang w:eastAsia="zh-CN"/>
        </w:rPr>
        <w:t>　</w:t>
      </w:r>
      <w:r>
        <w:rPr>
          <w:rFonts w:hint="eastAsia"/>
          <w:highlight w:val="none"/>
        </w:rPr>
        <w:t>保障措施</w:t>
      </w:r>
      <w:bookmarkEnd w:id="31"/>
    </w:p>
    <w:p>
      <w:pPr>
        <w:pStyle w:val="4"/>
        <w:bidi w:val="0"/>
        <w:rPr>
          <w:highlight w:val="none"/>
        </w:rPr>
      </w:pPr>
      <w:bookmarkStart w:id="32" w:name="_Toc19022"/>
      <w:r>
        <w:rPr>
          <w:rFonts w:hint="eastAsia"/>
          <w:highlight w:val="none"/>
        </w:rPr>
        <w:t>第</w:t>
      </w:r>
      <w:r>
        <w:rPr>
          <w:rFonts w:hint="eastAsia"/>
          <w:highlight w:val="none"/>
          <w:lang w:eastAsia="zh-CN"/>
        </w:rPr>
        <w:t>二十</w:t>
      </w:r>
      <w:r>
        <w:rPr>
          <w:rFonts w:hint="eastAsia"/>
          <w:color w:val="000000" w:themeColor="text1"/>
          <w:highlight w:val="none"/>
          <w:lang w:eastAsia="zh-CN"/>
          <w14:textFill>
            <w14:solidFill>
              <w14:schemeClr w14:val="tx1"/>
            </w14:solidFill>
          </w14:textFill>
        </w:rPr>
        <w:t>六</w:t>
      </w:r>
      <w:r>
        <w:rPr>
          <w:rFonts w:hint="eastAsia"/>
          <w:highlight w:val="none"/>
        </w:rPr>
        <w:t>节</w:t>
      </w:r>
      <w:r>
        <w:rPr>
          <w:rFonts w:hint="eastAsia"/>
          <w:highlight w:val="none"/>
          <w:lang w:eastAsia="zh-CN"/>
        </w:rPr>
        <w:t>　</w:t>
      </w:r>
      <w:r>
        <w:rPr>
          <w:rFonts w:hint="eastAsia"/>
          <w:highlight w:val="none"/>
        </w:rPr>
        <w:t>加强组织领导</w:t>
      </w:r>
      <w:bookmarkEnd w:id="32"/>
    </w:p>
    <w:p>
      <w:pPr>
        <w:bidi w:val="0"/>
        <w:rPr>
          <w:rFonts w:hint="eastAsia"/>
          <w:highlight w:val="none"/>
          <w:lang w:eastAsia="zh-CN"/>
        </w:rPr>
      </w:pPr>
      <w:r>
        <w:rPr>
          <w:rFonts w:hint="eastAsia"/>
          <w:highlight w:val="none"/>
          <w:lang w:eastAsia="zh-CN"/>
        </w:rPr>
        <w:t>调整、充实县</w:t>
      </w:r>
      <w:r>
        <w:rPr>
          <w:rFonts w:hint="eastAsia"/>
          <w:highlight w:val="none"/>
        </w:rPr>
        <w:t>富硒产业</w:t>
      </w:r>
      <w:r>
        <w:rPr>
          <w:rFonts w:hint="eastAsia"/>
          <w:highlight w:val="none"/>
          <w:lang w:eastAsia="zh-CN"/>
        </w:rPr>
        <w:t>发展领导小组，县政府主要领导挂帅，统筹谋划富硒产业</w:t>
      </w:r>
      <w:r>
        <w:rPr>
          <w:rFonts w:hint="eastAsia"/>
          <w:highlight w:val="none"/>
        </w:rPr>
        <w:t>发展</w:t>
      </w:r>
      <w:r>
        <w:rPr>
          <w:rFonts w:hint="eastAsia"/>
          <w:highlight w:val="none"/>
          <w:lang w:eastAsia="zh-CN"/>
        </w:rPr>
        <w:t>的重大事项，制定政策措施，推进规划落实。建立决策咨询机制，提高科学决策水平。将县富硒产业办公室作为县政府组成部门或直属机构，增加人员编制，落实工作经费，创造工作条件，统筹协调基地建设、研发生产、科技创新、综合服务，承担县富硒产业发展领导小组日常工作。</w:t>
      </w:r>
    </w:p>
    <w:p>
      <w:pPr>
        <w:bidi w:val="0"/>
        <w:rPr>
          <w:rFonts w:hint="eastAsia"/>
          <w:highlight w:val="none"/>
          <w:lang w:eastAsia="zh-CN"/>
        </w:rPr>
      </w:pPr>
      <w:r>
        <w:rPr>
          <w:rFonts w:hint="eastAsia"/>
          <w:highlight w:val="none"/>
          <w:lang w:eastAsia="zh-CN"/>
        </w:rPr>
        <w:t>根据中长期发展规划，制定实施计划，分解目标任务，夯实部门、乡镇责任。各有关部门、乡镇要将富硒产业发展列入重点工作，结合实际制定实施方案，确保措施到位，推进有力。富硒产业办公室、各部门、乡镇要不断增强服务意识，提高服务水平，建立健全重点项目、重点企业、基地建设、科技创新跟踪服务机制，切实解决存在的困难和问题。</w:t>
      </w:r>
    </w:p>
    <w:p>
      <w:pPr>
        <w:bidi w:val="0"/>
        <w:rPr>
          <w:highlight w:val="none"/>
        </w:rPr>
      </w:pPr>
      <w:r>
        <w:rPr>
          <w:rFonts w:hint="eastAsia"/>
          <w:highlight w:val="none"/>
          <w:lang w:eastAsia="zh-CN"/>
        </w:rPr>
        <w:t>切实加强宣传引导，加快</w:t>
      </w:r>
      <w:r>
        <w:rPr>
          <w:rFonts w:hint="eastAsia"/>
          <w:highlight w:val="none"/>
        </w:rPr>
        <w:t>中国紫阳・世界硒源地</w:t>
      </w:r>
      <w:r>
        <w:rPr>
          <w:rFonts w:hint="eastAsia"/>
          <w:highlight w:val="none"/>
          <w:lang w:eastAsia="zh-CN"/>
        </w:rPr>
        <w:t>、</w:t>
      </w:r>
      <w:r>
        <w:rPr>
          <w:rFonts w:hint="eastAsia"/>
          <w:highlight w:val="none"/>
        </w:rPr>
        <w:t>中国紫阳・富硒博物馆</w:t>
      </w:r>
      <w:r>
        <w:rPr>
          <w:rFonts w:hint="eastAsia"/>
          <w:highlight w:val="none"/>
          <w:lang w:eastAsia="zh-CN"/>
        </w:rPr>
        <w:t>等宣传展示工程建设，定期开展研讨、论坛、讲座和多种形式的宣传推介活动，普及富硒产业知识，提高紫阳富硒品牌的知名度和影响力，营造富硒产业高质量发展的社会氛围。</w:t>
      </w:r>
    </w:p>
    <w:p>
      <w:pPr>
        <w:pStyle w:val="4"/>
        <w:bidi w:val="0"/>
        <w:rPr>
          <w:rFonts w:hint="eastAsia"/>
          <w:highlight w:val="none"/>
          <w:lang w:eastAsia="zh-CN"/>
        </w:rPr>
      </w:pPr>
      <w:bookmarkStart w:id="33" w:name="_Toc18557"/>
      <w:r>
        <w:rPr>
          <w:rFonts w:hint="eastAsia"/>
          <w:highlight w:val="none"/>
        </w:rPr>
        <w:t>第二</w:t>
      </w:r>
      <w:r>
        <w:rPr>
          <w:rFonts w:hint="eastAsia"/>
          <w:highlight w:val="none"/>
          <w:lang w:eastAsia="zh-CN"/>
        </w:rPr>
        <w:t>十</w:t>
      </w:r>
      <w:r>
        <w:rPr>
          <w:rFonts w:hint="eastAsia"/>
          <w:color w:val="000000" w:themeColor="text1"/>
          <w:highlight w:val="none"/>
          <w:lang w:eastAsia="zh-CN"/>
          <w14:textFill>
            <w14:solidFill>
              <w14:schemeClr w14:val="tx1"/>
            </w14:solidFill>
          </w14:textFill>
        </w:rPr>
        <w:t>七</w:t>
      </w:r>
      <w:r>
        <w:rPr>
          <w:rFonts w:hint="eastAsia"/>
          <w:highlight w:val="none"/>
        </w:rPr>
        <w:t xml:space="preserve">节  </w:t>
      </w:r>
      <w:r>
        <w:rPr>
          <w:rFonts w:hint="eastAsia"/>
          <w:highlight w:val="none"/>
          <w:lang w:eastAsia="zh-CN"/>
        </w:rPr>
        <w:t>重视生态保护</w:t>
      </w:r>
      <w:bookmarkEnd w:id="33"/>
    </w:p>
    <w:p>
      <w:pPr>
        <w:bidi w:val="0"/>
        <w:rPr>
          <w:rFonts w:hint="eastAsia"/>
          <w:highlight w:val="none"/>
          <w:lang w:val="en-US" w:eastAsia="zh-CN"/>
        </w:rPr>
      </w:pPr>
      <w:r>
        <w:rPr>
          <w:rFonts w:hint="eastAsia"/>
          <w:highlight w:val="none"/>
          <w:lang w:val="en-US" w:eastAsia="zh-CN"/>
        </w:rPr>
        <w:t>统筹紫阳生态重要性、生态脆弱性、生态风险性，充分考虑水源保护、生态移民搬迁、产业发展和未来发展潜力等因素，处理保护与开发、政府与市场、主体功能与其他功能、相对稳定与动态调整之间的关系。富硒农业中，推荐发展富硒有机农业或者富硒绿色农业，逐步减少化肥、农药用量，尽量做到对环境影响最小化，保护好秦巴山区纯净无污染的天然环境。</w:t>
      </w:r>
    </w:p>
    <w:p>
      <w:pPr>
        <w:bidi w:val="0"/>
        <w:rPr>
          <w:rFonts w:hint="eastAsia"/>
          <w:highlight w:val="none"/>
          <w:lang w:val="en-US" w:eastAsia="zh-CN"/>
        </w:rPr>
      </w:pPr>
      <w:r>
        <w:rPr>
          <w:rFonts w:hint="eastAsia"/>
          <w:highlight w:val="none"/>
          <w:lang w:val="en-US" w:eastAsia="zh-CN"/>
        </w:rPr>
        <w:t>对于土壤高硒地区，要划立富硒土壤保护区，禁止开发为工业等其他用途。对于划定为国家主体功能区的地区，要做好生态环境保护建设，有污染的企业、产业需搬迁至非主体功能区划区，把生态文明贯穿经济社会发展全过程，建立美丽乡村建设和环境保护工作长效机制，扎实推进国家主体功能区建设试点示范。</w:t>
      </w:r>
    </w:p>
    <w:p>
      <w:pPr>
        <w:bidi w:val="0"/>
        <w:rPr>
          <w:rFonts w:hint="eastAsia"/>
          <w:highlight w:val="none"/>
        </w:rPr>
      </w:pPr>
      <w:r>
        <w:rPr>
          <w:rFonts w:hint="eastAsia"/>
          <w:highlight w:val="none"/>
          <w:lang w:val="en-US" w:eastAsia="zh-CN"/>
        </w:rPr>
        <w:t>充分发挥工业园区的聚焦、引领效应，加快基础设施建设，统一、集中进行“三废”治理，降低企业建设、生产成本，提高工业化承载能力，打造富硒产业引领示范区。</w:t>
      </w:r>
    </w:p>
    <w:p>
      <w:pPr>
        <w:pStyle w:val="4"/>
        <w:bidi w:val="0"/>
        <w:rPr>
          <w:rFonts w:hint="eastAsia"/>
          <w:highlight w:val="none"/>
          <w:lang w:eastAsia="zh-CN"/>
        </w:rPr>
      </w:pPr>
      <w:bookmarkStart w:id="34" w:name="_Toc11017"/>
      <w:r>
        <w:rPr>
          <w:rFonts w:hint="eastAsia"/>
          <w:highlight w:val="none"/>
        </w:rPr>
        <w:t>第</w:t>
      </w:r>
      <w:r>
        <w:rPr>
          <w:rFonts w:hint="eastAsia"/>
          <w:highlight w:val="none"/>
          <w:lang w:eastAsia="zh-CN"/>
        </w:rPr>
        <w:t>二十</w:t>
      </w:r>
      <w:r>
        <w:rPr>
          <w:rFonts w:hint="eastAsia"/>
          <w:color w:val="000000" w:themeColor="text1"/>
          <w:highlight w:val="none"/>
          <w:lang w:eastAsia="zh-CN"/>
          <w14:textFill>
            <w14:solidFill>
              <w14:schemeClr w14:val="tx1"/>
            </w14:solidFill>
          </w14:textFill>
        </w:rPr>
        <w:t>八</w:t>
      </w:r>
      <w:r>
        <w:rPr>
          <w:rFonts w:hint="eastAsia"/>
          <w:highlight w:val="none"/>
        </w:rPr>
        <w:t>节</w:t>
      </w:r>
      <w:r>
        <w:rPr>
          <w:rFonts w:hint="eastAsia"/>
          <w:highlight w:val="none"/>
          <w:lang w:eastAsia="zh-CN"/>
        </w:rPr>
        <w:t>　加大资金投入</w:t>
      </w:r>
      <w:bookmarkEnd w:id="34"/>
    </w:p>
    <w:p>
      <w:pPr>
        <w:bidi w:val="0"/>
        <w:rPr>
          <w:rFonts w:hint="eastAsia"/>
          <w:highlight w:val="none"/>
          <w:lang w:eastAsia="zh-CN"/>
        </w:rPr>
      </w:pPr>
      <w:r>
        <w:rPr>
          <w:rFonts w:hint="eastAsia"/>
          <w:highlight w:val="none"/>
          <w:lang w:eastAsia="zh-CN"/>
        </w:rPr>
        <w:t>创新富硒产业发展投入机制，统筹财政、金融和乡村振兴、新型工业化、新型城镇化建设各类资金，倾斜支持富硒产业发展。</w:t>
      </w:r>
    </w:p>
    <w:p>
      <w:pPr>
        <w:bidi w:val="0"/>
        <w:rPr>
          <w:rFonts w:hint="eastAsia"/>
          <w:highlight w:val="none"/>
          <w:lang w:val="en-US" w:eastAsia="zh-CN"/>
        </w:rPr>
      </w:pPr>
      <w:r>
        <w:rPr>
          <w:rFonts w:hint="eastAsia"/>
          <w:highlight w:val="none"/>
          <w:lang w:val="en-US" w:eastAsia="zh-CN"/>
        </w:rPr>
        <w:t>1.</w:t>
      </w:r>
      <w:r>
        <w:rPr>
          <w:rFonts w:hint="eastAsia" w:ascii="楷体_GB2312" w:hAnsi="楷体_GB2312" w:eastAsia="楷体_GB2312" w:cs="楷体_GB2312"/>
          <w:b/>
          <w:bCs/>
          <w:highlight w:val="none"/>
          <w:lang w:val="en-US" w:eastAsia="zh-CN"/>
        </w:rPr>
        <w:t>建立财政专项基金</w:t>
      </w:r>
      <w:r>
        <w:rPr>
          <w:rFonts w:hint="eastAsia"/>
          <w:highlight w:val="none"/>
          <w:lang w:val="en-US" w:eastAsia="zh-CN"/>
        </w:rPr>
        <w:t>。每年在财政预算中安排5000万元富硒产业发展专项基金，用于资源调查、良种培育、基地建设、产品研发、人才培养、重点项目和“五上”企业、高新技术企业、科技型中小企业、上市企业培育。制定相应的资金管理使用办法，直接投入、以奖代补、奖励有功人员和企业等多措并举，引导、推动富硒产业健康、有序发展。</w:t>
      </w:r>
    </w:p>
    <w:p>
      <w:pPr>
        <w:bidi w:val="0"/>
        <w:rPr>
          <w:rFonts w:hint="eastAsia"/>
          <w:highlight w:val="none"/>
          <w:lang w:val="en-US" w:eastAsia="zh-CN"/>
        </w:rPr>
      </w:pPr>
      <w:r>
        <w:rPr>
          <w:rFonts w:hint="eastAsia" w:ascii="楷体_GB2312" w:hAnsi="楷体_GB2312" w:eastAsia="楷体_GB2312" w:cs="楷体_GB2312"/>
          <w:b w:val="0"/>
          <w:bCs w:val="0"/>
          <w:highlight w:val="none"/>
          <w:lang w:val="en-US" w:eastAsia="zh-CN"/>
        </w:rPr>
        <w:t>2.</w:t>
      </w:r>
      <w:r>
        <w:rPr>
          <w:rFonts w:hint="eastAsia" w:ascii="楷体_GB2312" w:hAnsi="楷体_GB2312" w:eastAsia="楷体_GB2312" w:cs="楷体_GB2312"/>
          <w:b/>
          <w:bCs/>
          <w:highlight w:val="none"/>
          <w:lang w:val="en-US" w:eastAsia="zh-CN"/>
        </w:rPr>
        <w:t>建立产业发展基金</w:t>
      </w:r>
      <w:r>
        <w:rPr>
          <w:rFonts w:hint="eastAsia"/>
          <w:highlight w:val="none"/>
          <w:lang w:val="en-US" w:eastAsia="zh-CN"/>
        </w:rPr>
        <w:t>。建立政府出资引导、企业为主体、社会参与的富硒产业发展基金，保证产业发展的持续投入。基金可合可分，有利于发展的都可以试，都可以用。建立种子、天使基金，支持科技企业、初创企业，增强投资者信心，引导创新创业。</w:t>
      </w:r>
    </w:p>
    <w:p>
      <w:pPr>
        <w:bidi w:val="0"/>
        <w:rPr>
          <w:rFonts w:hint="eastAsia"/>
          <w:highlight w:val="none"/>
          <w:lang w:val="en-US" w:eastAsia="zh-CN"/>
        </w:rPr>
      </w:pPr>
      <w:r>
        <w:rPr>
          <w:rFonts w:hint="eastAsia"/>
          <w:highlight w:val="none"/>
          <w:lang w:val="en-US" w:eastAsia="zh-CN"/>
        </w:rPr>
        <w:t>3.</w:t>
      </w:r>
      <w:r>
        <w:rPr>
          <w:rFonts w:hint="eastAsia" w:ascii="楷体_GB2312" w:hAnsi="楷体_GB2312" w:eastAsia="楷体_GB2312" w:cs="楷体_GB2312"/>
          <w:b/>
          <w:bCs/>
          <w:highlight w:val="none"/>
          <w:lang w:val="en-US" w:eastAsia="zh-CN"/>
        </w:rPr>
        <w:t>创新金融产品和服务</w:t>
      </w:r>
      <w:r>
        <w:rPr>
          <w:rFonts w:hint="eastAsia"/>
          <w:highlight w:val="none"/>
          <w:lang w:val="en-US" w:eastAsia="zh-CN"/>
        </w:rPr>
        <w:t>。探索金融支持富硒产业的有效形式，创新具有紫阳特色的金融产品和服务。创新融资财信担保机制，推行科技型企业和生产经营正常、社会信誉好的小微企业无担保、抵押贷款，提高融资效率，降低融资成本。</w:t>
      </w:r>
    </w:p>
    <w:p>
      <w:pPr>
        <w:pStyle w:val="4"/>
        <w:bidi w:val="0"/>
        <w:rPr>
          <w:rFonts w:hint="eastAsia"/>
          <w:color w:val="000000" w:themeColor="text1"/>
          <w:lang w:eastAsia="zh-CN"/>
          <w14:textFill>
            <w14:solidFill>
              <w14:schemeClr w14:val="tx1"/>
            </w14:solidFill>
          </w14:textFill>
        </w:rPr>
      </w:pPr>
      <w:bookmarkStart w:id="35" w:name="_Toc10125"/>
      <w:r>
        <w:rPr>
          <w:rFonts w:hint="eastAsia"/>
          <w:color w:val="000000" w:themeColor="text1"/>
          <w:lang w:eastAsia="zh-CN"/>
          <w14:textFill>
            <w14:solidFill>
              <w14:schemeClr w14:val="tx1"/>
            </w14:solidFill>
          </w14:textFill>
        </w:rPr>
        <w:t>第二十九节　实施精准招商</w:t>
      </w:r>
      <w:bookmarkEnd w:id="35"/>
    </w:p>
    <w:p>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围绕重点产业、重点项目、重点产品和建链、延链、强链、补链，实施产业链精准招商，不断提高现代产业建设水平。</w:t>
      </w:r>
    </w:p>
    <w:p>
      <w:pPr>
        <w:bidi w:val="0"/>
        <w:rPr>
          <w:rFonts w:hint="eastAsia"/>
          <w:color w:val="000000" w:themeColor="text1"/>
          <w:highlight w:val="none"/>
          <w:lang w:eastAsia="zh-CN"/>
          <w14:textFill>
            <w14:solidFill>
              <w14:schemeClr w14:val="tx1"/>
            </w14:solidFill>
          </w14:textFill>
        </w:rPr>
      </w:pPr>
      <w:r>
        <w:rPr>
          <w:rFonts w:hint="eastAsia" w:ascii="楷体_GB2312" w:hAnsi="楷体_GB2312" w:eastAsia="楷体_GB2312" w:cs="楷体_GB2312"/>
          <w:b/>
          <w:bCs/>
          <w:color w:val="000000" w:themeColor="text1"/>
          <w:highlight w:val="none"/>
          <w:lang w:val="en-US" w:eastAsia="zh-CN"/>
          <w14:textFill>
            <w14:solidFill>
              <w14:schemeClr w14:val="tx1"/>
            </w14:solidFill>
          </w14:textFill>
        </w:rPr>
        <w:t>⒈提高招商水平</w:t>
      </w:r>
      <w:r>
        <w:rPr>
          <w:rFonts w:hint="eastAsia" w:ascii="楷体_GB2312" w:hAnsi="楷体_GB2312" w:eastAsia="楷体_GB2312" w:cs="楷体_GB2312"/>
          <w:b/>
          <w:bCs/>
          <w:color w:val="000000" w:themeColor="text1"/>
          <w:highlight w:val="no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在全国范围内遴选一批知名的技术专家、产业专家、政策专家、投资专家、企业家等，组建高新区招商引资专家咨询委员会，定期不定期地召开会议，开展招商引资、招才引智、高质量发展方面的对策研究，为有效深化“双招双引”、建设全国一流高新区出谋划策、贡献力量。</w:t>
      </w:r>
    </w:p>
    <w:p>
      <w:pPr>
        <w:bidi w:val="0"/>
        <w:rPr>
          <w:rFonts w:hint="eastAsia"/>
          <w:color w:val="000000" w:themeColor="text1"/>
          <w:highlight w:val="none"/>
          <w:lang w:eastAsia="zh-CN"/>
          <w14:textFill>
            <w14:solidFill>
              <w14:schemeClr w14:val="tx1"/>
            </w14:solidFill>
          </w14:textFill>
        </w:rPr>
      </w:pPr>
      <w:r>
        <w:rPr>
          <w:rFonts w:hint="eastAsia" w:ascii="楷体_GB2312" w:hAnsi="楷体_GB2312" w:eastAsia="楷体_GB2312" w:cs="楷体_GB2312"/>
          <w:b/>
          <w:bCs/>
          <w:color w:val="000000" w:themeColor="text1"/>
          <w:highlight w:val="none"/>
          <w:lang w:val="en-US" w:eastAsia="zh-CN"/>
          <w14:textFill>
            <w14:solidFill>
              <w14:schemeClr w14:val="tx1"/>
            </w14:solidFill>
          </w14:textFill>
        </w:rPr>
        <w:t>⒉创新服务模式。</w:t>
      </w:r>
      <w:r>
        <w:rPr>
          <w:rFonts w:hint="eastAsia"/>
          <w:color w:val="000000" w:themeColor="text1"/>
          <w:highlight w:val="none"/>
          <w:lang w:eastAsia="zh-CN"/>
          <w14:textFill>
            <w14:solidFill>
              <w14:schemeClr w14:val="tx1"/>
            </w14:solidFill>
          </w14:textFill>
        </w:rPr>
        <w:t>坚持多措并举，着力建立并强化各类服务平台，积极打造具有特色的服务模式，为招商进来的企业提供“看得见、摸得着、用得起”的服务。从而通过强化服务创新优化招商环境，不断增强招商引资新优势。</w:t>
      </w:r>
    </w:p>
    <w:p>
      <w:pPr>
        <w:bidi w:val="0"/>
        <w:rPr>
          <w:rFonts w:hint="eastAsia"/>
          <w:color w:val="000000" w:themeColor="text1"/>
          <w:highlight w:val="none"/>
          <w:lang w:eastAsia="zh-CN"/>
          <w14:textFill>
            <w14:solidFill>
              <w14:schemeClr w14:val="tx1"/>
            </w14:solidFill>
          </w14:textFill>
        </w:rPr>
      </w:pPr>
      <w:r>
        <w:rPr>
          <w:rFonts w:hint="eastAsia" w:ascii="楷体_GB2312" w:hAnsi="楷体_GB2312" w:eastAsia="楷体_GB2312" w:cs="楷体_GB2312"/>
          <w:b/>
          <w:bCs/>
          <w:color w:val="000000" w:themeColor="text1"/>
          <w:highlight w:val="none"/>
          <w:lang w:val="en-US" w:eastAsia="zh-CN"/>
          <w14:textFill>
            <w14:solidFill>
              <w14:schemeClr w14:val="tx1"/>
            </w14:solidFill>
          </w14:textFill>
        </w:rPr>
        <w:t>⒊强化融资服务。</w:t>
      </w:r>
      <w:r>
        <w:rPr>
          <w:rFonts w:hint="eastAsia"/>
          <w:color w:val="000000" w:themeColor="text1"/>
          <w:highlight w:val="none"/>
          <w:lang w:eastAsia="zh-CN"/>
          <w14:textFill>
            <w14:solidFill>
              <w14:schemeClr w14:val="tx1"/>
            </w14:solidFill>
          </w14:textFill>
        </w:rPr>
        <w:t>着力发挥财政资金撬动作用，推动建立各类发展基金、融资担保，拓宽融资渠道，让招商进来的企业能较好地解决融资问题。创新人才服务。注重发挥企业家在“招商引资”中的作用，大力弘扬企业家精神，运用各种形式着力培引一批企业发展急需的人才，让招商进来的企业能及时地解决人才需求问题。</w:t>
      </w:r>
    </w:p>
    <w:p>
      <w:pPr>
        <w:bidi w:val="0"/>
        <w:rPr>
          <w:rFonts w:hint="eastAsia"/>
          <w:color w:val="000000" w:themeColor="text1"/>
          <w:highlight w:val="none"/>
          <w:lang w:eastAsia="zh-CN"/>
          <w14:textFill>
            <w14:solidFill>
              <w14:schemeClr w14:val="tx1"/>
            </w14:solidFill>
          </w14:textFill>
        </w:rPr>
      </w:pPr>
      <w:r>
        <w:rPr>
          <w:rFonts w:hint="eastAsia" w:ascii="楷体_GB2312" w:hAnsi="楷体_GB2312" w:eastAsia="楷体_GB2312" w:cs="楷体_GB2312"/>
          <w:b/>
          <w:bCs/>
          <w:color w:val="000000" w:themeColor="text1"/>
          <w:highlight w:val="none"/>
          <w:lang w:val="en-US" w:eastAsia="zh-CN"/>
          <w14:textFill>
            <w14:solidFill>
              <w14:schemeClr w14:val="tx1"/>
            </w14:solidFill>
          </w14:textFill>
        </w:rPr>
        <w:t>⒋优化营商环境。</w:t>
      </w:r>
      <w:r>
        <w:rPr>
          <w:rFonts w:hint="eastAsia"/>
          <w:color w:val="000000" w:themeColor="text1"/>
          <w:highlight w:val="none"/>
          <w:lang w:eastAsia="zh-CN"/>
          <w14:textFill>
            <w14:solidFill>
              <w14:schemeClr w14:val="tx1"/>
            </w14:solidFill>
          </w14:textFill>
        </w:rPr>
        <w:t>坚持服务优先原则，强化服务提质，大力提升有利于招商引资发展的服务环境，积极营造亲商、重商、安商、扶商的良好氛围，增强招商服务吸引力，变“招商”为“吸商”，让良好的服务环境成为招商引资的强大磁场，发挥特殊作用。对重大项目实行“一企一策”“特事特办”，在建设用地、环境容量、资金筹措、技术人才支持等方面给予倾斜，积极为项目实施提供良好环境，切实保障项目顺利引进，助力产业高质量发展。</w:t>
      </w:r>
    </w:p>
    <w:p>
      <w:pPr>
        <w:pStyle w:val="4"/>
        <w:bidi w:val="0"/>
        <w:rPr>
          <w:rFonts w:hint="eastAsia"/>
          <w:highlight w:val="none"/>
          <w:lang w:eastAsia="zh-CN"/>
        </w:rPr>
      </w:pPr>
      <w:r>
        <w:rPr>
          <w:rFonts w:hint="eastAsia"/>
          <w:color w:val="000000" w:themeColor="text1"/>
          <w:highlight w:val="none"/>
          <w:lang w:val="en-US" w:eastAsia="zh-CN"/>
          <w14:textFill>
            <w14:solidFill>
              <w14:schemeClr w14:val="tx1"/>
            </w14:solidFill>
          </w14:textFill>
        </w:rPr>
        <w:t xml:space="preserve"> </w:t>
      </w:r>
      <w:bookmarkStart w:id="36" w:name="_Toc21304"/>
      <w:r>
        <w:rPr>
          <w:rFonts w:hint="eastAsia"/>
          <w:color w:val="000000" w:themeColor="text1"/>
          <w:highlight w:val="none"/>
          <w14:textFill>
            <w14:solidFill>
              <w14:schemeClr w14:val="tx1"/>
            </w14:solidFill>
          </w14:textFill>
        </w:rPr>
        <w:t>第</w:t>
      </w:r>
      <w:r>
        <w:rPr>
          <w:rFonts w:hint="eastAsia"/>
          <w:color w:val="000000" w:themeColor="text1"/>
          <w:highlight w:val="none"/>
          <w:lang w:eastAsia="zh-CN"/>
          <w14:textFill>
            <w14:solidFill>
              <w14:schemeClr w14:val="tx1"/>
            </w14:solidFill>
          </w14:textFill>
        </w:rPr>
        <w:t>三十</w:t>
      </w:r>
      <w:r>
        <w:rPr>
          <w:rFonts w:hint="eastAsia"/>
          <w:highlight w:val="none"/>
        </w:rPr>
        <w:t>节</w:t>
      </w:r>
      <w:r>
        <w:rPr>
          <w:rFonts w:hint="eastAsia"/>
          <w:highlight w:val="none"/>
          <w:lang w:eastAsia="zh-CN"/>
        </w:rPr>
        <w:t>　健全</w:t>
      </w:r>
      <w:r>
        <w:rPr>
          <w:rFonts w:hint="eastAsia"/>
          <w:highlight w:val="none"/>
        </w:rPr>
        <w:t>考核</w:t>
      </w:r>
      <w:r>
        <w:rPr>
          <w:rFonts w:hint="eastAsia"/>
          <w:highlight w:val="none"/>
          <w:lang w:eastAsia="zh-CN"/>
        </w:rPr>
        <w:t>机制</w:t>
      </w:r>
      <w:bookmarkEnd w:id="36"/>
    </w:p>
    <w:p>
      <w:pPr>
        <w:bidi w:val="0"/>
        <w:rPr>
          <w:rFonts w:hint="eastAsia"/>
          <w:highlight w:val="none"/>
          <w:lang w:eastAsia="zh-CN"/>
        </w:rPr>
      </w:pPr>
      <w:r>
        <w:rPr>
          <w:rFonts w:hint="eastAsia"/>
          <w:highlight w:val="none"/>
          <w:lang w:val="en-US" w:eastAsia="zh-CN"/>
        </w:rPr>
        <w:t>1.</w:t>
      </w:r>
      <w:r>
        <w:rPr>
          <w:rFonts w:hint="eastAsia" w:ascii="楷体_GB2312" w:hAnsi="楷体_GB2312" w:eastAsia="楷体_GB2312" w:cs="楷体_GB2312"/>
          <w:b/>
          <w:bCs/>
          <w:highlight w:val="none"/>
          <w:lang w:val="en-US" w:eastAsia="zh-CN"/>
        </w:rPr>
        <w:t>建立健全富硒产业发展考核制度</w:t>
      </w:r>
      <w:r>
        <w:rPr>
          <w:rFonts w:hint="eastAsia"/>
          <w:highlight w:val="none"/>
          <w:lang w:eastAsia="zh-CN"/>
        </w:rPr>
        <w:t>。创新富硒产业推进实施、督促检查、服务指导机制，定期组织对有关部门、乡镇工作推进情况的督查、检查，纳入年度综合目标进行考核。</w:t>
      </w:r>
    </w:p>
    <w:p>
      <w:pPr>
        <w:bidi w:val="0"/>
        <w:rPr>
          <w:rFonts w:hint="eastAsia"/>
          <w:highlight w:val="none"/>
          <w:lang w:eastAsia="zh-CN"/>
        </w:rPr>
      </w:pPr>
      <w:r>
        <w:rPr>
          <w:rFonts w:hint="eastAsia"/>
          <w:highlight w:val="none"/>
          <w:lang w:val="en-US" w:eastAsia="zh-CN"/>
        </w:rPr>
        <w:t>2.</w:t>
      </w:r>
      <w:r>
        <w:rPr>
          <w:rFonts w:hint="eastAsia" w:ascii="楷体_GB2312" w:hAnsi="楷体_GB2312" w:eastAsia="楷体_GB2312" w:cs="楷体_GB2312"/>
          <w:b/>
          <w:bCs/>
          <w:highlight w:val="none"/>
          <w:lang w:val="en-US" w:eastAsia="zh-CN"/>
        </w:rPr>
        <w:t>建立专项考核机制</w:t>
      </w:r>
      <w:r>
        <w:rPr>
          <w:rFonts w:hint="eastAsia"/>
          <w:highlight w:val="none"/>
          <w:lang w:eastAsia="zh-CN"/>
        </w:rPr>
        <w:t>。在日常督查、检查、综合考核的同时，建立相应的专项考核，对创新推进发展、绩效显著的予以表彰奖励，对工作推进不力、成效不高的予以惩戒，并与单位、个人评优、职务晋升挂钩。</w:t>
      </w:r>
    </w:p>
    <w:p>
      <w:pPr>
        <w:bidi w:val="0"/>
        <w:rPr>
          <w:rFonts w:hint="eastAsia"/>
          <w:highlight w:val="none"/>
          <w:lang w:eastAsia="zh-CN"/>
        </w:rPr>
      </w:pPr>
      <w:r>
        <w:rPr>
          <w:rFonts w:hint="eastAsia"/>
          <w:highlight w:val="none"/>
          <w:lang w:val="en-US" w:eastAsia="zh-CN"/>
        </w:rPr>
        <w:t>3.</w:t>
      </w:r>
      <w:r>
        <w:rPr>
          <w:rFonts w:hint="eastAsia" w:ascii="楷体_GB2312" w:hAnsi="楷体_GB2312" w:eastAsia="楷体_GB2312" w:cs="楷体_GB2312"/>
          <w:b/>
          <w:bCs/>
          <w:highlight w:val="none"/>
          <w:lang w:val="en-US" w:eastAsia="zh-CN"/>
        </w:rPr>
        <w:t>建立容错纠错机制</w:t>
      </w:r>
      <w:r>
        <w:rPr>
          <w:rFonts w:hint="eastAsia"/>
          <w:highlight w:val="none"/>
          <w:lang w:eastAsia="zh-CN"/>
        </w:rPr>
        <w:t>。营造“鼓励创新、宽容失败”的社会环境，保护改革者，鼓励创新者，厚待干事者，允许在发展中出“错”，但决不允许在“平庸”中创“优”。</w:t>
      </w:r>
    </w:p>
    <w:p>
      <w:pPr>
        <w:keepNext/>
        <w:keepLines/>
        <w:pageBreakBefore/>
        <w:widowControl/>
        <w:adjustRightInd w:val="0"/>
        <w:snapToGrid w:val="0"/>
        <w:spacing w:before="300" w:after="200" w:line="240" w:lineRule="auto"/>
        <w:ind w:left="0" w:leftChars="0" w:firstLine="0" w:firstLineChars="0"/>
        <w:jc w:val="left"/>
        <w:outlineLvl w:val="0"/>
        <w:rPr>
          <w:rFonts w:hint="eastAsia" w:ascii="黑体" w:hAnsi="黑体" w:eastAsia="黑体" w:cs="黑体"/>
          <w:b w:val="0"/>
          <w:bCs/>
          <w:color w:val="000000" w:themeColor="text1"/>
          <w:kern w:val="0"/>
          <w:sz w:val="32"/>
          <w:szCs w:val="32"/>
          <w:highlight w:val="none"/>
          <w14:textFill>
            <w14:solidFill>
              <w14:schemeClr w14:val="tx1"/>
            </w14:solidFill>
          </w14:textFill>
        </w:rPr>
        <w:sectPr>
          <w:footerReference r:id="rId5" w:type="default"/>
          <w:pgSz w:w="11906" w:h="16838"/>
          <w:pgMar w:top="2098" w:right="1474" w:bottom="1984" w:left="1587" w:header="851" w:footer="1417" w:gutter="0"/>
          <w:pgNumType w:fmt="numberInDash" w:start="1"/>
          <w:cols w:space="0" w:num="1"/>
          <w:rtlGutter w:val="0"/>
          <w:docGrid w:type="lines" w:linePitch="312" w:charSpace="0"/>
        </w:sectPr>
      </w:pPr>
      <w:bookmarkStart w:id="37" w:name="_Toc9217"/>
    </w:p>
    <w:p>
      <w:pPr>
        <w:keepNext/>
        <w:keepLines/>
        <w:pageBreakBefore/>
        <w:widowControl/>
        <w:adjustRightInd w:val="0"/>
        <w:snapToGrid w:val="0"/>
        <w:spacing w:before="300" w:after="200" w:line="240" w:lineRule="auto"/>
        <w:ind w:left="0" w:leftChars="0" w:firstLine="0" w:firstLineChars="0"/>
        <w:jc w:val="left"/>
        <w:outlineLvl w:val="0"/>
        <w:rPr>
          <w:rFonts w:hint="default" w:ascii="黑体" w:hAnsi="黑体" w:eastAsia="黑体" w:cs="黑体"/>
          <w:b w:val="0"/>
          <w:bCs/>
          <w:color w:val="000000" w:themeColor="text1"/>
          <w:kern w:val="0"/>
          <w:sz w:val="32"/>
          <w:szCs w:val="32"/>
          <w:highlight w:val="none"/>
          <w:lang w:val="en-US"/>
          <w14:textFill>
            <w14:solidFill>
              <w14:schemeClr w14:val="tx1"/>
            </w14:solidFill>
          </w14:textFill>
        </w:rPr>
      </w:pPr>
      <w:bookmarkStart w:id="38" w:name="_Toc892"/>
      <w:r>
        <w:rPr>
          <w:rFonts w:hint="eastAsia" w:ascii="黑体" w:hAnsi="黑体" w:eastAsia="黑体" w:cs="黑体"/>
          <w:b w:val="0"/>
          <w:bCs/>
          <w:color w:val="000000" w:themeColor="text1"/>
          <w:kern w:val="0"/>
          <w:sz w:val="32"/>
          <w:szCs w:val="32"/>
          <w:highlight w:val="none"/>
          <w14:textFill>
            <w14:solidFill>
              <w14:schemeClr w14:val="tx1"/>
            </w14:solidFill>
          </w14:textFill>
        </w:rPr>
        <w:t>附</w:t>
      </w:r>
      <w:r>
        <w:rPr>
          <w:rFonts w:hint="eastAsia" w:ascii="黑体" w:hAnsi="黑体" w:eastAsia="黑体" w:cs="黑体"/>
          <w:b w:val="0"/>
          <w:bCs/>
          <w:color w:val="000000" w:themeColor="text1"/>
          <w:kern w:val="0"/>
          <w:sz w:val="32"/>
          <w:szCs w:val="32"/>
          <w:highlight w:val="none"/>
          <w:lang w:eastAsia="zh-CN"/>
          <w14:textFill>
            <w14:solidFill>
              <w14:schemeClr w14:val="tx1"/>
            </w14:solidFill>
          </w14:textFill>
        </w:rPr>
        <w:t>件</w:t>
      </w:r>
      <w:r>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t>1：</w:t>
      </w:r>
      <w:bookmarkEnd w:id="37"/>
      <w:bookmarkEnd w:id="38"/>
    </w:p>
    <w:p>
      <w:pPr>
        <w:pStyle w:val="8"/>
        <w:bidi w:val="0"/>
        <w:rPr>
          <w:highlight w:val="none"/>
        </w:rPr>
      </w:pPr>
      <w:r>
        <w:rPr>
          <w:rFonts w:hint="eastAsia"/>
          <w:highlight w:val="none"/>
        </w:rPr>
        <w:drawing>
          <wp:inline distT="0" distB="0" distL="0" distR="0">
            <wp:extent cx="5267960" cy="692150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81107" cy="6938562"/>
                    </a:xfrm>
                    <a:prstGeom prst="rect">
                      <a:avLst/>
                    </a:prstGeom>
                  </pic:spPr>
                </pic:pic>
              </a:graphicData>
            </a:graphic>
          </wp:inline>
        </w:drawing>
      </w:r>
    </w:p>
    <w:p>
      <w:pPr>
        <w:pStyle w:val="2"/>
        <w:rPr>
          <w:color w:val="000000" w:themeColor="text1"/>
          <w:highlight w:val="none"/>
          <w14:textFill>
            <w14:solidFill>
              <w14:schemeClr w14:val="tx1"/>
            </w14:solidFill>
          </w14:textFill>
        </w:rPr>
        <w:sectPr>
          <w:footerReference r:id="rId6" w:type="default"/>
          <w:pgSz w:w="11906" w:h="16838"/>
          <w:pgMar w:top="2098" w:right="1474" w:bottom="1984" w:left="1587" w:header="851" w:footer="1417" w:gutter="0"/>
          <w:pgNumType w:fmt="numberInDash" w:start="1"/>
          <w:cols w:space="0" w:num="1"/>
          <w:rtlGutter w:val="0"/>
          <w:docGrid w:type="lines" w:linePitch="312" w:charSpace="0"/>
        </w:sectPr>
      </w:pPr>
    </w:p>
    <w:p>
      <w:pPr>
        <w:widowControl/>
        <w:adjustRightInd w:val="0"/>
        <w:snapToGrid w:val="0"/>
        <w:spacing w:before="200" w:after="100" w:line="240" w:lineRule="auto"/>
        <w:ind w:left="0" w:leftChars="0" w:firstLine="0" w:firstLineChars="0"/>
        <w:jc w:val="both"/>
        <w:outlineLvl w:val="0"/>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pPr>
      <w:bookmarkStart w:id="39" w:name="_Toc21522"/>
      <w:bookmarkStart w:id="40" w:name="_Toc2851"/>
      <w:r>
        <w:rPr>
          <w:rFonts w:hint="eastAsia" w:ascii="黑体" w:hAnsi="黑体" w:eastAsia="黑体" w:cs="黑体"/>
          <w:b w:val="0"/>
          <w:bCs/>
          <w:color w:val="000000" w:themeColor="text1"/>
          <w:kern w:val="0"/>
          <w:sz w:val="32"/>
          <w:szCs w:val="32"/>
          <w:highlight w:val="none"/>
          <w:lang w:eastAsia="zh-CN"/>
          <w14:textFill>
            <w14:solidFill>
              <w14:schemeClr w14:val="tx1"/>
            </w14:solidFill>
          </w14:textFill>
        </w:rPr>
        <w:t>附件</w:t>
      </w:r>
      <w:r>
        <w:rPr>
          <w:rFonts w:hint="eastAsia" w:ascii="黑体" w:hAnsi="黑体" w:eastAsia="黑体" w:cs="黑体"/>
          <w:b w:val="0"/>
          <w:bCs/>
          <w:color w:val="000000" w:themeColor="text1"/>
          <w:kern w:val="0"/>
          <w:sz w:val="32"/>
          <w:szCs w:val="32"/>
          <w:highlight w:val="none"/>
          <w:lang w:val="en-US" w:eastAsia="zh-CN"/>
          <w14:textFill>
            <w14:solidFill>
              <w14:schemeClr w14:val="tx1"/>
            </w14:solidFill>
          </w14:textFill>
        </w:rPr>
        <w:t>2：</w:t>
      </w:r>
      <w:bookmarkEnd w:id="39"/>
      <w:bookmarkEnd w:id="40"/>
    </w:p>
    <w:p>
      <w:pPr>
        <w:widowControl/>
        <w:adjustRightInd w:val="0"/>
        <w:snapToGrid w:val="0"/>
        <w:spacing w:before="200" w:after="100" w:line="240" w:lineRule="auto"/>
        <w:jc w:val="center"/>
        <w:outlineLvl w:val="0"/>
        <w:rPr>
          <w:rFonts w:hint="eastAsia" w:ascii="方正小标宋_GBK" w:hAnsi="方正小标宋_GBK" w:eastAsia="方正小标宋_GBK" w:cs="方正小标宋_GBK"/>
          <w:b w:val="0"/>
          <w:bCs/>
          <w:color w:val="000000" w:themeColor="text1"/>
          <w:kern w:val="0"/>
          <w:sz w:val="36"/>
          <w:szCs w:val="36"/>
          <w:highlight w:val="none"/>
          <w:lang w:eastAsia="zh-CN"/>
          <w14:textFill>
            <w14:solidFill>
              <w14:schemeClr w14:val="tx1"/>
            </w14:solidFill>
          </w14:textFill>
        </w:rPr>
      </w:pPr>
      <w:r>
        <w:rPr>
          <w:rFonts w:hint="eastAsia" w:ascii="方正小标宋_GBK" w:hAnsi="方正小标宋_GBK" w:eastAsia="方正小标宋_GBK" w:cs="方正小标宋_GBK"/>
          <w:b w:val="0"/>
          <w:bCs/>
          <w:color w:val="000000" w:themeColor="text1"/>
          <w:kern w:val="0"/>
          <w:sz w:val="36"/>
          <w:szCs w:val="36"/>
          <w:highlight w:val="none"/>
          <w:lang w:val="en-US" w:eastAsia="zh-CN"/>
          <w14:textFill>
            <w14:solidFill>
              <w14:schemeClr w14:val="tx1"/>
            </w14:solidFill>
          </w14:textFill>
        </w:rPr>
        <w:t>　</w:t>
      </w:r>
      <w:bookmarkStart w:id="41" w:name="_Toc3231"/>
      <w:bookmarkStart w:id="42" w:name="_Toc7550"/>
      <w:r>
        <w:rPr>
          <w:rFonts w:hint="eastAsia" w:ascii="方正小标宋_GBK" w:hAnsi="方正小标宋_GBK" w:eastAsia="方正小标宋_GBK" w:cs="方正小标宋_GBK"/>
          <w:b w:val="0"/>
          <w:bCs/>
          <w:color w:val="000000" w:themeColor="text1"/>
          <w:kern w:val="0"/>
          <w:sz w:val="36"/>
          <w:szCs w:val="36"/>
          <w:highlight w:val="none"/>
          <w:lang w:val="en-US" w:eastAsia="zh-CN"/>
          <w14:textFill>
            <w14:solidFill>
              <w14:schemeClr w14:val="tx1"/>
            </w14:solidFill>
          </w14:textFill>
        </w:rPr>
        <w:t>紫阳县“十四五”富硒产业发展</w:t>
      </w:r>
      <w:r>
        <w:rPr>
          <w:rFonts w:hint="eastAsia" w:ascii="方正小标宋_GBK" w:hAnsi="方正小标宋_GBK" w:eastAsia="方正小标宋_GBK" w:cs="方正小标宋_GBK"/>
          <w:b w:val="0"/>
          <w:bCs/>
          <w:color w:val="000000" w:themeColor="text1"/>
          <w:kern w:val="0"/>
          <w:sz w:val="36"/>
          <w:szCs w:val="36"/>
          <w:highlight w:val="none"/>
          <w:lang w:eastAsia="zh-CN"/>
          <w14:textFill>
            <w14:solidFill>
              <w14:schemeClr w14:val="tx1"/>
            </w14:solidFill>
          </w14:textFill>
        </w:rPr>
        <w:t>重大</w:t>
      </w:r>
      <w:r>
        <w:rPr>
          <w:rFonts w:hint="eastAsia" w:ascii="方正小标宋_GBK" w:hAnsi="方正小标宋_GBK" w:eastAsia="方正小标宋_GBK" w:cs="方正小标宋_GBK"/>
          <w:b w:val="0"/>
          <w:bCs/>
          <w:color w:val="000000" w:themeColor="text1"/>
          <w:kern w:val="0"/>
          <w:sz w:val="36"/>
          <w:szCs w:val="36"/>
          <w:highlight w:val="none"/>
          <w14:textFill>
            <w14:solidFill>
              <w14:schemeClr w14:val="tx1"/>
            </w14:solidFill>
          </w14:textFill>
        </w:rPr>
        <w:t>项目</w:t>
      </w:r>
      <w:bookmarkEnd w:id="41"/>
      <w:bookmarkEnd w:id="42"/>
    </w:p>
    <w:p>
      <w:pPr>
        <w:wordWrap w:val="0"/>
        <w:bidi w:val="0"/>
        <w:spacing w:line="240" w:lineRule="auto"/>
        <w:jc w:val="right"/>
        <w:outlineLvl w:val="0"/>
        <w:rPr>
          <w:rFonts w:hint="default"/>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32"/>
          <w:highlight w:val="none"/>
          <w:lang w:val="en-US" w:eastAsia="zh-CN"/>
          <w14:textFill>
            <w14:solidFill>
              <w14:schemeClr w14:val="tx1"/>
            </w14:solidFill>
          </w14:textFill>
        </w:rPr>
        <w:t>　　</w:t>
      </w:r>
      <w:bookmarkStart w:id="43" w:name="_Toc14528"/>
      <w:bookmarkStart w:id="44" w:name="_Toc9242"/>
      <w:r>
        <w:rPr>
          <w:rFonts w:hint="eastAsia" w:ascii="仿宋_GB2312" w:hAnsi="仿宋_GB2312" w:eastAsia="仿宋_GB2312" w:cs="仿宋_GB2312"/>
          <w:b w:val="0"/>
          <w:bCs w:val="0"/>
          <w:color w:val="000000" w:themeColor="text1"/>
          <w:sz w:val="28"/>
          <w:szCs w:val="36"/>
          <w:highlight w:val="none"/>
          <w:lang w:val="en-US" w:eastAsia="zh-CN"/>
          <w14:textFill>
            <w14:solidFill>
              <w14:schemeClr w14:val="tx1"/>
            </w14:solidFill>
          </w14:textFill>
        </w:rPr>
        <w:t>单位：亿元</w:t>
      </w:r>
      <w:bookmarkEnd w:id="43"/>
      <w:bookmarkEnd w:id="44"/>
      <w:r>
        <w:rPr>
          <w:rFonts w:hint="eastAsia" w:ascii="仿宋_GB2312" w:hAnsi="仿宋_GB2312" w:eastAsia="仿宋_GB2312" w:cs="仿宋_GB2312"/>
          <w:b/>
          <w:bCs/>
          <w:color w:val="000000" w:themeColor="text1"/>
          <w:sz w:val="24"/>
          <w:szCs w:val="32"/>
          <w:highlight w:val="none"/>
          <w:lang w:val="en-US" w:eastAsia="zh-CN"/>
          <w14:textFill>
            <w14:solidFill>
              <w14:schemeClr w14:val="tx1"/>
            </w14:solidFill>
          </w14:textFill>
        </w:rPr>
        <w:t xml:space="preserve"> </w:t>
      </w:r>
      <w:r>
        <w:rPr>
          <w:rFonts w:hint="eastAsia"/>
          <w:b/>
          <w:bCs/>
          <w:color w:val="000000" w:themeColor="text1"/>
          <w:highlight w:val="none"/>
          <w:lang w:val="en-US" w:eastAsia="zh-CN"/>
          <w14:textFill>
            <w14:solidFill>
              <w14:schemeClr w14:val="tx1"/>
            </w14:solidFill>
          </w14:textFill>
        </w:rPr>
        <w:t xml:space="preserve">   </w:t>
      </w:r>
    </w:p>
    <w:tbl>
      <w:tblPr>
        <w:tblStyle w:val="14"/>
        <w:tblW w:w="13906" w:type="dxa"/>
        <w:jc w:val="center"/>
        <w:tblInd w:w="0" w:type="dxa"/>
        <w:tblLayout w:type="fixed"/>
        <w:tblCellMar>
          <w:top w:w="0" w:type="dxa"/>
          <w:left w:w="0" w:type="dxa"/>
          <w:bottom w:w="0" w:type="dxa"/>
          <w:right w:w="0" w:type="dxa"/>
        </w:tblCellMar>
      </w:tblPr>
      <w:tblGrid>
        <w:gridCol w:w="660"/>
        <w:gridCol w:w="1560"/>
        <w:gridCol w:w="6594"/>
        <w:gridCol w:w="1083"/>
        <w:gridCol w:w="1400"/>
        <w:gridCol w:w="1513"/>
        <w:gridCol w:w="1096"/>
      </w:tblGrid>
      <w:tr>
        <w:tblPrEx>
          <w:tblLayout w:type="fixed"/>
          <w:tblCellMar>
            <w:top w:w="0" w:type="dxa"/>
            <w:left w:w="0" w:type="dxa"/>
            <w:bottom w:w="0" w:type="dxa"/>
            <w:right w:w="0" w:type="dxa"/>
          </w:tblCellMar>
        </w:tblPrEx>
        <w:trPr>
          <w:trHeight w:val="375"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tcMar>
              <w:top w:w="15" w:type="dxa"/>
              <w:left w:w="15" w:type="dxa"/>
              <w:right w:w="15" w:type="dxa"/>
            </w:tcMar>
            <w:vAlign w:val="center"/>
          </w:tcPr>
          <w:p>
            <w:pPr>
              <w:pStyle w:val="8"/>
              <w:bidi w:val="0"/>
              <w:jc w:val="center"/>
              <w:rPr>
                <w:rFonts w:hint="eastAsia"/>
                <w:b/>
                <w:bCs/>
                <w:highlight w:val="none"/>
              </w:rPr>
            </w:pPr>
            <w:r>
              <w:rPr>
                <w:rFonts w:hint="eastAsia"/>
                <w:b/>
                <w:bCs/>
                <w:highlight w:val="none"/>
                <w:lang w:val="en-US" w:eastAsia="zh-CN"/>
              </w:rPr>
              <w:t>序号</w:t>
            </w:r>
          </w:p>
        </w:tc>
        <w:tc>
          <w:tcPr>
            <w:tcW w:w="1560"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tcMar>
              <w:top w:w="15" w:type="dxa"/>
              <w:left w:w="15" w:type="dxa"/>
              <w:right w:w="15" w:type="dxa"/>
            </w:tcMar>
            <w:vAlign w:val="center"/>
          </w:tcPr>
          <w:p>
            <w:pPr>
              <w:pStyle w:val="8"/>
              <w:bidi w:val="0"/>
              <w:jc w:val="center"/>
              <w:rPr>
                <w:rFonts w:hint="eastAsia"/>
                <w:b/>
                <w:bCs/>
                <w:highlight w:val="none"/>
              </w:rPr>
            </w:pPr>
            <w:r>
              <w:rPr>
                <w:rFonts w:hint="eastAsia"/>
                <w:b/>
                <w:bCs/>
                <w:highlight w:val="none"/>
                <w:lang w:val="en-US" w:eastAsia="zh-CN"/>
              </w:rPr>
              <w:t>项目名称</w:t>
            </w:r>
          </w:p>
        </w:tc>
        <w:tc>
          <w:tcPr>
            <w:tcW w:w="6594"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tcMar>
              <w:top w:w="15" w:type="dxa"/>
              <w:left w:w="15" w:type="dxa"/>
              <w:right w:w="15" w:type="dxa"/>
            </w:tcMar>
            <w:vAlign w:val="center"/>
          </w:tcPr>
          <w:p>
            <w:pPr>
              <w:pStyle w:val="8"/>
              <w:bidi w:val="0"/>
              <w:jc w:val="center"/>
              <w:rPr>
                <w:rFonts w:hint="eastAsia"/>
                <w:b/>
                <w:bCs/>
                <w:highlight w:val="none"/>
              </w:rPr>
            </w:pPr>
            <w:r>
              <w:rPr>
                <w:rFonts w:hint="eastAsia"/>
                <w:b/>
                <w:bCs/>
                <w:highlight w:val="none"/>
                <w:lang w:val="en-US" w:eastAsia="zh-CN"/>
              </w:rPr>
              <w:t>建　设　内　容</w:t>
            </w:r>
          </w:p>
        </w:tc>
        <w:tc>
          <w:tcPr>
            <w:tcW w:w="1083"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tcMar>
              <w:top w:w="15" w:type="dxa"/>
              <w:left w:w="15" w:type="dxa"/>
              <w:right w:w="15" w:type="dxa"/>
            </w:tcMar>
            <w:vAlign w:val="center"/>
          </w:tcPr>
          <w:p>
            <w:pPr>
              <w:pStyle w:val="8"/>
              <w:bidi w:val="0"/>
              <w:jc w:val="center"/>
              <w:rPr>
                <w:rFonts w:hint="eastAsia"/>
                <w:b/>
                <w:bCs/>
                <w:highlight w:val="none"/>
              </w:rPr>
            </w:pPr>
            <w:r>
              <w:rPr>
                <w:rFonts w:hint="eastAsia"/>
                <w:b/>
                <w:bCs/>
                <w:highlight w:val="none"/>
                <w:lang w:val="en-US" w:eastAsia="zh-CN"/>
              </w:rPr>
              <w:t>总投资</w:t>
            </w:r>
          </w:p>
        </w:tc>
        <w:tc>
          <w:tcPr>
            <w:tcW w:w="1400"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tcMar>
              <w:top w:w="15" w:type="dxa"/>
              <w:left w:w="15" w:type="dxa"/>
              <w:right w:w="15" w:type="dxa"/>
            </w:tcMar>
            <w:vAlign w:val="center"/>
          </w:tcPr>
          <w:p>
            <w:pPr>
              <w:pStyle w:val="8"/>
              <w:bidi w:val="0"/>
              <w:jc w:val="center"/>
              <w:rPr>
                <w:rFonts w:hint="eastAsia"/>
                <w:b/>
                <w:bCs/>
                <w:highlight w:val="none"/>
              </w:rPr>
            </w:pPr>
            <w:r>
              <w:rPr>
                <w:rFonts w:hint="eastAsia"/>
                <w:b/>
                <w:bCs/>
                <w:highlight w:val="none"/>
                <w:lang w:val="en-US" w:eastAsia="zh-CN"/>
              </w:rPr>
              <w:t>建设期限</w:t>
            </w:r>
          </w:p>
        </w:tc>
        <w:tc>
          <w:tcPr>
            <w:tcW w:w="1513"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tcMar>
              <w:top w:w="15" w:type="dxa"/>
              <w:left w:w="15" w:type="dxa"/>
              <w:right w:w="15" w:type="dxa"/>
            </w:tcMar>
            <w:vAlign w:val="center"/>
          </w:tcPr>
          <w:p>
            <w:pPr>
              <w:pStyle w:val="8"/>
              <w:bidi w:val="0"/>
              <w:jc w:val="center"/>
              <w:rPr>
                <w:rFonts w:hint="eastAsia"/>
                <w:b/>
                <w:bCs/>
                <w:highlight w:val="none"/>
              </w:rPr>
            </w:pPr>
            <w:r>
              <w:rPr>
                <w:rFonts w:hint="eastAsia"/>
                <w:b/>
                <w:bCs/>
                <w:highlight w:val="none"/>
                <w:lang w:val="en-US" w:eastAsia="zh-CN"/>
              </w:rPr>
              <w:t>建设地点</w:t>
            </w:r>
          </w:p>
        </w:tc>
        <w:tc>
          <w:tcPr>
            <w:tcW w:w="1096"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tcMar>
              <w:top w:w="15" w:type="dxa"/>
              <w:left w:w="15" w:type="dxa"/>
              <w:right w:w="15" w:type="dxa"/>
            </w:tcMar>
            <w:vAlign w:val="center"/>
          </w:tcPr>
          <w:p>
            <w:pPr>
              <w:pStyle w:val="8"/>
              <w:bidi w:val="0"/>
              <w:jc w:val="center"/>
              <w:rPr>
                <w:rFonts w:hint="eastAsia"/>
                <w:b/>
                <w:bCs/>
                <w:highlight w:val="none"/>
              </w:rPr>
            </w:pPr>
            <w:r>
              <w:rPr>
                <w:rFonts w:hint="eastAsia"/>
                <w:b/>
                <w:bCs/>
                <w:highlight w:val="none"/>
                <w:lang w:val="en-US" w:eastAsia="zh-CN"/>
              </w:rPr>
              <w:t>备 注</w:t>
            </w:r>
          </w:p>
        </w:tc>
      </w:tr>
      <w:tr>
        <w:tblPrEx>
          <w:tblLayout w:type="fixed"/>
          <w:tblCellMar>
            <w:top w:w="0" w:type="dxa"/>
            <w:left w:w="0" w:type="dxa"/>
            <w:bottom w:w="0" w:type="dxa"/>
            <w:right w:w="0" w:type="dxa"/>
          </w:tblCellMar>
        </w:tblPrEx>
        <w:trPr>
          <w:trHeight w:val="36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default"/>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default"/>
                <w:highlight w:val="none"/>
                <w:lang w:val="en-US" w:eastAsia="zh-CN"/>
              </w:rPr>
            </w:pPr>
            <w:r>
              <w:rPr>
                <w:rFonts w:hint="default"/>
                <w:highlight w:val="none"/>
                <w:lang w:val="en-US" w:eastAsia="zh-CN"/>
              </w:rPr>
              <w:t>合</w:t>
            </w:r>
            <w:r>
              <w:rPr>
                <w:rFonts w:hint="eastAsia"/>
                <w:highlight w:val="none"/>
                <w:lang w:val="en-US" w:eastAsia="zh-CN"/>
              </w:rPr>
              <w:t>　</w:t>
            </w:r>
            <w:r>
              <w:rPr>
                <w:rFonts w:hint="default"/>
                <w:highlight w:val="none"/>
                <w:lang w:val="en-US" w:eastAsia="zh-CN"/>
              </w:rPr>
              <w:t>计</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default"/>
                <w:highlight w:val="none"/>
                <w:lang w:val="en-US"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default"/>
                <w:highlight w:val="none"/>
                <w:lang w:val="en-US"/>
              </w:rPr>
            </w:pPr>
            <w:r>
              <w:rPr>
                <w:rFonts w:hint="default"/>
                <w:highlight w:val="none"/>
                <w:lang w:val="en-US" w:eastAsia="zh-CN"/>
              </w:rPr>
              <w:t>63</w:t>
            </w:r>
          </w:p>
        </w:tc>
        <w:tc>
          <w:tcPr>
            <w:tcW w:w="1400" w:type="dxa"/>
            <w:tcBorders>
              <w:top w:val="nil"/>
              <w:left w:val="nil"/>
              <w:bottom w:val="nil"/>
              <w:right w:val="nil"/>
            </w:tcBorders>
            <w:shd w:val="clear" w:color="auto" w:fill="auto"/>
            <w:tcMar>
              <w:top w:w="15" w:type="dxa"/>
              <w:left w:w="15" w:type="dxa"/>
              <w:right w:w="15" w:type="dxa"/>
            </w:tcMar>
            <w:vAlign w:val="center"/>
          </w:tcPr>
          <w:p>
            <w:pPr>
              <w:pStyle w:val="8"/>
              <w:bidi w:val="0"/>
              <w:rPr>
                <w:rFonts w:hint="default"/>
                <w:highlight w:val="none"/>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center"/>
              <w:rPr>
                <w:rFonts w:hint="default"/>
                <w:highlight w:val="none"/>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default"/>
                <w:highlight w:val="none"/>
              </w:rPr>
            </w:pPr>
          </w:p>
        </w:tc>
      </w:tr>
      <w:tr>
        <w:tblPrEx>
          <w:tblLayout w:type="fixed"/>
          <w:tblCellMar>
            <w:top w:w="0" w:type="dxa"/>
            <w:left w:w="0" w:type="dxa"/>
            <w:bottom w:w="0" w:type="dxa"/>
            <w:right w:w="0" w:type="dxa"/>
          </w:tblCellMar>
        </w:tblPrEx>
        <w:trPr>
          <w:trHeight w:val="162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茶园产业提升改造</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老旧茶园改造、新茶园升级、智慧茶园建设、紫阳茶种培育；标准化“紫阳富硒茶”生产基地筛选授权；茶园基础设施建设、茶园美化绿化、茶园休闲配套设施建设；茶叶加工生产基地建设，茶叶加工生产设备购置，茶叶新工艺、新技术创新；茶叶营销市场建设，茶叶营销平台创建，茶叶文创产品创意，茶叶宣传推介，茶叶广告发布。</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5</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2021-2023</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主产茶区、规模500亩以上茶园</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54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富硒产业聚集发展示范区建设</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建设富硒生态产业园区、富硒产业研发孵化服务中心、硒科技馆、硒宝广场、富硒生态休闲体验区、富硒生态茶园观光区、富硒绿茶蔬菜粮油种植基地、高聚硒作物研究选育基地、富硒康养基地、交通驿站、配套基础设施等。</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5</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2021-2025</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硒谷园区、双安、蒿坪</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135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富硒特色农业科技园</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根据各镇特色农业产业，通过争取国家项目资金、招商引资等方式建设富硒特色农业科技园个，包括：汉王富硒蔬菜产业科技园、界岭秦巴地道药材产业科技园、瓦庙畜牧产业科技园等。</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2021-2025</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相关镇</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135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4</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农业观光园</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A）新建、提升万亩观光连片茶园集群。</w:t>
            </w:r>
          </w:p>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B）利用丘陵山地、水乡圩区等区域内资源，打造观赏型农田、高质量梯田、名优瓜果园、观赏苗木、花卉展示区等。</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4</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2021-2025</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相关镇</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108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5</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富硒包装饮用水开发</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紫阳富硒水水源、水质、水量勘查基础工作；富硒水科学研究工作；富硒水源地基础设施建设；富硒水品牌建设与推介工作；陕煤集团真硒矿泉水生产线达产提效，新产品开发；引进3家投资过亿元的富硒饮用水和富硒饮品开发企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5</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2021-2025</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硒谷园区</w:t>
            </w:r>
          </w:p>
          <w:p>
            <w:pPr>
              <w:pStyle w:val="8"/>
              <w:bidi w:val="0"/>
              <w:jc w:val="both"/>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恒紫园区</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81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6</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特色水产养殖园</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新建水产养殖开发园区5个，巩固发展大水面养殖7万亩，流水养殖3万亩，渔业苗种场4个、水产品交易市场1个、渔业码头5处，发展休闲渔庄个。</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2021-2023</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洄水、界岭、双桥、红椿</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81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7</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药旅融合发展项目</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新建中药材园区亩，打造中药材种植观光、中药材药膳食疗、中医药文化展览等中医药健康旅游示范基地，开发中医药养生旅游产品项目，在景区、景点内开设中医特色诊所（室）。</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2021-2025</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汉江、任河流域</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81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8</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农业产业科技创新中心建设</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新建标准化厂房1平方米、政务服务综合楼2平方米、公寓楼、3平方米、精品商业街平方米、科技馆平方米、富硒土特产超市平方米，购置科技创新服务相关设备，建筑总面积6平方米。</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4</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2021-2022</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硒谷园区</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108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9</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环江旅游文化休闲长廊</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提升汉江干流北、中、西三段及沿江堤坝、绿岸、广场、风景区域的功能、质量，打造沿江夜景，构建夜间经济带，丰富汉江环江旅游文化长廊内容。</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6</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2021-2023</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沿江区域</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108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10</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科学研究基地设施与宣传展示平台建设</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建成研究院、实验室、检验检测等科研基础设施与宣传展示平台。</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5</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2021-2023</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城关、蒿坪</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81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11</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富硒产品标准化体系建设</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富硒产品硒含量检验、检测建设；富硒特色产品企业标准、行业标准、团体标准的制定和管理；富硒茶、富硒水国家标准制定。</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2021-2022</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城关、蒿坪</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81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12</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富硒产业“产学研用”融合建设</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富硒产业研究孵化服务中心建设；院地、校企结合，高层次人才引进、科研成果转化、科技研发奖励、重大科研课题对外招标机制建设。</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2021-2025</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城关、蒿坪</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81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13</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智慧旅游云数据中心建设</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建设旅游公共信息数据库和智慧旅游数据支撑体系，打造智慧旅游管理平台、智慧旅游服务平台、智慧旅游营销平台。</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2021-2025</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城关</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81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14</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龙头、骨干企业培育</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培育国家富硒产业种植、加工龙头骨干企业。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2021-2025</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全域</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6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高新技术企业培育</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培育国家高新技术富硒产品开发龙头企业。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2021-2025</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全域</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r>
        <w:tblPrEx>
          <w:tblLayout w:type="fixed"/>
          <w:tblCellMar>
            <w:top w:w="0" w:type="dxa"/>
            <w:left w:w="0" w:type="dxa"/>
            <w:bottom w:w="0" w:type="dxa"/>
            <w:right w:w="0" w:type="dxa"/>
          </w:tblCellMar>
        </w:tblPrEx>
        <w:trPr>
          <w:trHeight w:val="73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16</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产业化服务工程建设</w:t>
            </w:r>
          </w:p>
        </w:tc>
        <w:tc>
          <w:tcPr>
            <w:tcW w:w="6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培育一批公共、科技服务企业，建设3-5个科技孵化器、众创空间，建立紫阳县富硒产业数据库，开放实验室，提供检验检测服务。</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2021-2025</w:t>
            </w:r>
          </w:p>
        </w:tc>
        <w:tc>
          <w:tcPr>
            <w:tcW w:w="1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jc w:val="both"/>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城关、硒谷园区、恒紫园区</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8"/>
              <w:bidi w:val="0"/>
              <w:rPr>
                <w:rFonts w:hint="eastAsia" w:ascii="仿宋_GB2312" w:hAnsi="仿宋_GB2312" w:eastAsia="仿宋_GB2312" w:cs="仿宋_GB2312"/>
                <w:sz w:val="24"/>
                <w:szCs w:val="24"/>
                <w:highlight w:val="none"/>
              </w:rPr>
            </w:pPr>
          </w:p>
        </w:tc>
      </w:tr>
    </w:tbl>
    <w:p>
      <w:pPr>
        <w:pStyle w:val="7"/>
        <w:rPr>
          <w:color w:val="000000" w:themeColor="text1"/>
          <w:highlight w:val="none"/>
          <w14:textFill>
            <w14:solidFill>
              <w14:schemeClr w14:val="tx1"/>
            </w14:solidFill>
          </w14:textFill>
        </w:rPr>
      </w:pPr>
    </w:p>
    <w:sectPr>
      <w:footerReference r:id="rId7" w:type="default"/>
      <w:pgSz w:w="16838" w:h="11906" w:orient="landscape"/>
      <w:pgMar w:top="2098" w:right="1474" w:bottom="1984" w:left="1587" w:header="851" w:footer="992" w:gutter="0"/>
      <w:pgNumType w:fmt="numberInDash"/>
      <w:cols w:space="0" w:num="1"/>
      <w:rtlGutter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C99E02C-3AFE-4959-806F-EE96288039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3339A47-4825-45A4-8F98-39282D8A4DDB}"/>
  </w:font>
  <w:font w:name="仿宋_GB2312">
    <w:panose1 w:val="02010609030101010101"/>
    <w:charset w:val="86"/>
    <w:family w:val="auto"/>
    <w:pitch w:val="default"/>
    <w:sig w:usb0="00000001" w:usb1="080E0000" w:usb2="00000000" w:usb3="00000000" w:csb0="00040000" w:csb1="00000000"/>
    <w:embedRegular r:id="rId3" w:fontKey="{8FCA679E-9EB8-4228-9552-87BC31ECE656}"/>
  </w:font>
  <w:font w:name="方正小标宋简体">
    <w:panose1 w:val="03000509000000000000"/>
    <w:charset w:val="86"/>
    <w:family w:val="auto"/>
    <w:pitch w:val="default"/>
    <w:sig w:usb0="00000001" w:usb1="080E0000" w:usb2="00000000" w:usb3="00000000" w:csb0="00040000" w:csb1="00000000"/>
    <w:embedRegular r:id="rId4" w:fontKey="{B5D1E089-A9BA-4167-A3A2-6E449D0243A9}"/>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0" w:usb1="00000000" w:usb2="00000000" w:usb3="00000000" w:csb0="00000000" w:csb1="00000000"/>
    <w:embedRegular r:id="rId5" w:fontKey="{141C1A76-AE28-4537-8F5F-23C64DB2467F}"/>
  </w:font>
  <w:font w:name="方正小标宋_GBK">
    <w:panose1 w:val="02000000000000000000"/>
    <w:charset w:val="86"/>
    <w:family w:val="auto"/>
    <w:pitch w:val="default"/>
    <w:sig w:usb0="00000000" w:usb1="00000000" w:usb2="00000000" w:usb3="00000000" w:csb0="00000000" w:csb1="00000000"/>
    <w:embedRegular r:id="rId6" w:fontKey="{9D8D0205-641E-432B-BAC0-1F0B23391C8D}"/>
  </w:font>
  <w:font w:name="等线 Light">
    <w:panose1 w:val="02010600030101010101"/>
    <w:charset w:val="86"/>
    <w:family w:val="auto"/>
    <w:pitch w:val="default"/>
    <w:sig w:usb0="A00002BF" w:usb1="38CF7CFA" w:usb2="00000016" w:usb3="00000000" w:csb0="0004000F" w:csb1="00000000"/>
  </w:font>
  <w:font w:name="仿宋-GB2312">
    <w:altName w:val="仿宋"/>
    <w:panose1 w:val="00000000000000000000"/>
    <w:charset w:val="86"/>
    <w:family w:val="roman"/>
    <w:pitch w:val="default"/>
    <w:sig w:usb0="00000000" w:usb1="00000000" w:usb2="00000000" w:usb3="00000000" w:csb0="00000000" w:csb1="00000000"/>
    <w:embedRegular r:id="rId7" w:fontKey="{DEBF3B94-AE0D-4EDC-95BA-C3C8AED1FD5F}"/>
  </w:font>
  <w:font w:name="方正仿宋_GB2312">
    <w:altName w:val="仿宋"/>
    <w:panose1 w:val="02000000000000000000"/>
    <w:charset w:val="86"/>
    <w:family w:val="auto"/>
    <w:pitch w:val="default"/>
    <w:sig w:usb0="00000000" w:usb1="00000000" w:usb2="00000000" w:usb3="00000000" w:csb0="00000000" w:csb1="00000000"/>
    <w:embedRegular r:id="rId8" w:fontKey="{B6485C50-5BED-4F87-A78E-FD9CE467508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255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2556"/>
        <w:tab w:val="clear" w:pos="4153"/>
      </w:tabs>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III</w:t>
                    </w:r>
                    <w:r>
                      <w:rPr>
                        <w:rFonts w:hint="eastAsia"/>
                        <w:lang w:eastAsia="zh-CN"/>
                      </w:rPr>
                      <w:fldChar w:fldCharType="end"/>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2556"/>
        <w:tab w:val="clear" w:pos="4153"/>
      </w:tabs>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2556"/>
        <w:tab w:val="clear" w:pos="4153"/>
      </w:tabs>
      <w:ind w:left="0" w:leftChars="0"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2556"/>
        <w:tab w:val="clear" w:pos="4153"/>
      </w:tabs>
    </w:pPr>
    <w:r>
      <w:rPr>
        <w:rFonts w:hint="eastAsia"/>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FmZTE1NTNiZTBiYjkyOTQ4NDllZWNlNzE2NTliNDEifQ=="/>
  </w:docVars>
  <w:rsids>
    <w:rsidRoot w:val="3C3C6E9C"/>
    <w:rsid w:val="00034523"/>
    <w:rsid w:val="00065373"/>
    <w:rsid w:val="000E4EC9"/>
    <w:rsid w:val="0011213F"/>
    <w:rsid w:val="001A3592"/>
    <w:rsid w:val="001C5F51"/>
    <w:rsid w:val="00240BB7"/>
    <w:rsid w:val="00257084"/>
    <w:rsid w:val="0026671B"/>
    <w:rsid w:val="00296D5C"/>
    <w:rsid w:val="002B1879"/>
    <w:rsid w:val="002B6AD6"/>
    <w:rsid w:val="0034085B"/>
    <w:rsid w:val="00356E86"/>
    <w:rsid w:val="00364961"/>
    <w:rsid w:val="00445FE3"/>
    <w:rsid w:val="00467C73"/>
    <w:rsid w:val="004A109B"/>
    <w:rsid w:val="00502F9A"/>
    <w:rsid w:val="00504B15"/>
    <w:rsid w:val="00541D0C"/>
    <w:rsid w:val="005449C1"/>
    <w:rsid w:val="005547C8"/>
    <w:rsid w:val="005B452A"/>
    <w:rsid w:val="006C1DA7"/>
    <w:rsid w:val="006F023D"/>
    <w:rsid w:val="006F17B1"/>
    <w:rsid w:val="006F50F8"/>
    <w:rsid w:val="006F5E90"/>
    <w:rsid w:val="00762BED"/>
    <w:rsid w:val="007C098D"/>
    <w:rsid w:val="007C678C"/>
    <w:rsid w:val="007F237D"/>
    <w:rsid w:val="00814DF7"/>
    <w:rsid w:val="00891D40"/>
    <w:rsid w:val="009533D4"/>
    <w:rsid w:val="00967DA2"/>
    <w:rsid w:val="00971A81"/>
    <w:rsid w:val="0098788A"/>
    <w:rsid w:val="009E28B6"/>
    <w:rsid w:val="00A66B2C"/>
    <w:rsid w:val="00AE17DA"/>
    <w:rsid w:val="00B30301"/>
    <w:rsid w:val="00B31969"/>
    <w:rsid w:val="00B36423"/>
    <w:rsid w:val="00B64010"/>
    <w:rsid w:val="00BA05D7"/>
    <w:rsid w:val="00BC5F66"/>
    <w:rsid w:val="00C31432"/>
    <w:rsid w:val="00C64B8B"/>
    <w:rsid w:val="00D24527"/>
    <w:rsid w:val="00D5084D"/>
    <w:rsid w:val="00DB3D58"/>
    <w:rsid w:val="00E45850"/>
    <w:rsid w:val="00E52910"/>
    <w:rsid w:val="00E85F71"/>
    <w:rsid w:val="00E866FA"/>
    <w:rsid w:val="00EB0629"/>
    <w:rsid w:val="00F7144C"/>
    <w:rsid w:val="00F952CF"/>
    <w:rsid w:val="00FA7641"/>
    <w:rsid w:val="00FD3C30"/>
    <w:rsid w:val="01AA2447"/>
    <w:rsid w:val="02217EF8"/>
    <w:rsid w:val="0226655B"/>
    <w:rsid w:val="024A69D2"/>
    <w:rsid w:val="02AA3D0C"/>
    <w:rsid w:val="02C34E8B"/>
    <w:rsid w:val="03C10A6E"/>
    <w:rsid w:val="03D76082"/>
    <w:rsid w:val="041F408E"/>
    <w:rsid w:val="04295FAE"/>
    <w:rsid w:val="063D67C5"/>
    <w:rsid w:val="071F2D8E"/>
    <w:rsid w:val="08005795"/>
    <w:rsid w:val="08462AA2"/>
    <w:rsid w:val="08494FEA"/>
    <w:rsid w:val="091767FD"/>
    <w:rsid w:val="093E0881"/>
    <w:rsid w:val="0B521025"/>
    <w:rsid w:val="0BB74BA8"/>
    <w:rsid w:val="0C3E0B43"/>
    <w:rsid w:val="0C827E4E"/>
    <w:rsid w:val="0CB82A2B"/>
    <w:rsid w:val="0D287188"/>
    <w:rsid w:val="0E650E5D"/>
    <w:rsid w:val="0EBA17C7"/>
    <w:rsid w:val="0EE2095E"/>
    <w:rsid w:val="0F1E7148"/>
    <w:rsid w:val="0F5978EB"/>
    <w:rsid w:val="0FA20281"/>
    <w:rsid w:val="1045735B"/>
    <w:rsid w:val="10A50368"/>
    <w:rsid w:val="10F641C0"/>
    <w:rsid w:val="112E7248"/>
    <w:rsid w:val="11577CCA"/>
    <w:rsid w:val="116B1AC3"/>
    <w:rsid w:val="11CA18EB"/>
    <w:rsid w:val="12496B58"/>
    <w:rsid w:val="12A00283"/>
    <w:rsid w:val="12D72D34"/>
    <w:rsid w:val="13D24A5A"/>
    <w:rsid w:val="13D76972"/>
    <w:rsid w:val="13E375D4"/>
    <w:rsid w:val="144828AC"/>
    <w:rsid w:val="14BD7912"/>
    <w:rsid w:val="15056044"/>
    <w:rsid w:val="153134C0"/>
    <w:rsid w:val="16671AA8"/>
    <w:rsid w:val="16AD37CF"/>
    <w:rsid w:val="16D476A1"/>
    <w:rsid w:val="17841B20"/>
    <w:rsid w:val="17A82F79"/>
    <w:rsid w:val="180535B7"/>
    <w:rsid w:val="18300AA9"/>
    <w:rsid w:val="188448F8"/>
    <w:rsid w:val="18F466B8"/>
    <w:rsid w:val="19332722"/>
    <w:rsid w:val="1A0E062C"/>
    <w:rsid w:val="1A193B48"/>
    <w:rsid w:val="1A6905C1"/>
    <w:rsid w:val="1AB37A4E"/>
    <w:rsid w:val="1AF35889"/>
    <w:rsid w:val="1C0A17E1"/>
    <w:rsid w:val="1C0B4EA0"/>
    <w:rsid w:val="1CA919F2"/>
    <w:rsid w:val="1D173241"/>
    <w:rsid w:val="1D5959BE"/>
    <w:rsid w:val="1E232455"/>
    <w:rsid w:val="1E6246D1"/>
    <w:rsid w:val="1EE84ABF"/>
    <w:rsid w:val="1F4B3464"/>
    <w:rsid w:val="1F676EBE"/>
    <w:rsid w:val="20644528"/>
    <w:rsid w:val="21FE3C46"/>
    <w:rsid w:val="22C13A73"/>
    <w:rsid w:val="22E37C6B"/>
    <w:rsid w:val="23F66C9E"/>
    <w:rsid w:val="24235854"/>
    <w:rsid w:val="247044EB"/>
    <w:rsid w:val="251965D8"/>
    <w:rsid w:val="252B73AE"/>
    <w:rsid w:val="26191566"/>
    <w:rsid w:val="261D044F"/>
    <w:rsid w:val="26CC06D0"/>
    <w:rsid w:val="26D01171"/>
    <w:rsid w:val="26E73D5A"/>
    <w:rsid w:val="27510D0F"/>
    <w:rsid w:val="288E4B6C"/>
    <w:rsid w:val="28955116"/>
    <w:rsid w:val="292E28D1"/>
    <w:rsid w:val="29E8198B"/>
    <w:rsid w:val="29F55077"/>
    <w:rsid w:val="2ACF2BF7"/>
    <w:rsid w:val="2B611179"/>
    <w:rsid w:val="2B78705F"/>
    <w:rsid w:val="2CE7630C"/>
    <w:rsid w:val="2D431360"/>
    <w:rsid w:val="2D9C3CAE"/>
    <w:rsid w:val="2DD9654C"/>
    <w:rsid w:val="2E781D5C"/>
    <w:rsid w:val="30776476"/>
    <w:rsid w:val="30AB5521"/>
    <w:rsid w:val="318C58AF"/>
    <w:rsid w:val="31B32037"/>
    <w:rsid w:val="326509E8"/>
    <w:rsid w:val="329A1A7A"/>
    <w:rsid w:val="33205814"/>
    <w:rsid w:val="345E72CB"/>
    <w:rsid w:val="35A42497"/>
    <w:rsid w:val="3674028E"/>
    <w:rsid w:val="36892FE8"/>
    <w:rsid w:val="370C2882"/>
    <w:rsid w:val="374F4EC8"/>
    <w:rsid w:val="37505A54"/>
    <w:rsid w:val="376A0BE2"/>
    <w:rsid w:val="37C823A6"/>
    <w:rsid w:val="389475A5"/>
    <w:rsid w:val="38CE2F67"/>
    <w:rsid w:val="39C22B04"/>
    <w:rsid w:val="3A2A3A7A"/>
    <w:rsid w:val="3A49368E"/>
    <w:rsid w:val="3B183610"/>
    <w:rsid w:val="3B402E16"/>
    <w:rsid w:val="3B513E24"/>
    <w:rsid w:val="3BAE1209"/>
    <w:rsid w:val="3C252915"/>
    <w:rsid w:val="3C3C6E9C"/>
    <w:rsid w:val="3C416E3B"/>
    <w:rsid w:val="3C773553"/>
    <w:rsid w:val="3C7B4438"/>
    <w:rsid w:val="3D014709"/>
    <w:rsid w:val="3DBD0C57"/>
    <w:rsid w:val="3E941607"/>
    <w:rsid w:val="3EF4312E"/>
    <w:rsid w:val="3F904747"/>
    <w:rsid w:val="3FE339EF"/>
    <w:rsid w:val="40E3769F"/>
    <w:rsid w:val="41D2069D"/>
    <w:rsid w:val="42325F0B"/>
    <w:rsid w:val="4257759E"/>
    <w:rsid w:val="439F27BE"/>
    <w:rsid w:val="44277341"/>
    <w:rsid w:val="455D3263"/>
    <w:rsid w:val="462D53A2"/>
    <w:rsid w:val="464D5530"/>
    <w:rsid w:val="465F150C"/>
    <w:rsid w:val="46C42CC2"/>
    <w:rsid w:val="46C54445"/>
    <w:rsid w:val="46FE5A94"/>
    <w:rsid w:val="47133D44"/>
    <w:rsid w:val="475C77E6"/>
    <w:rsid w:val="48274F46"/>
    <w:rsid w:val="48492183"/>
    <w:rsid w:val="489F4453"/>
    <w:rsid w:val="48B3419E"/>
    <w:rsid w:val="4CB401B4"/>
    <w:rsid w:val="4CCE07E8"/>
    <w:rsid w:val="4DED20C8"/>
    <w:rsid w:val="4E166982"/>
    <w:rsid w:val="4E78211B"/>
    <w:rsid w:val="4F396801"/>
    <w:rsid w:val="4FA47D27"/>
    <w:rsid w:val="4FBD1F1C"/>
    <w:rsid w:val="51A010BE"/>
    <w:rsid w:val="51AE0D07"/>
    <w:rsid w:val="51F240FD"/>
    <w:rsid w:val="52A331CF"/>
    <w:rsid w:val="5327768F"/>
    <w:rsid w:val="53562862"/>
    <w:rsid w:val="545A6B5C"/>
    <w:rsid w:val="548E3282"/>
    <w:rsid w:val="54D056F6"/>
    <w:rsid w:val="55D73B24"/>
    <w:rsid w:val="56BA7721"/>
    <w:rsid w:val="587A7E94"/>
    <w:rsid w:val="58A1714D"/>
    <w:rsid w:val="5A244690"/>
    <w:rsid w:val="5B126F90"/>
    <w:rsid w:val="5BF56516"/>
    <w:rsid w:val="5D917F2D"/>
    <w:rsid w:val="60A929A2"/>
    <w:rsid w:val="60C12976"/>
    <w:rsid w:val="61BC6FD7"/>
    <w:rsid w:val="61D02FB9"/>
    <w:rsid w:val="61EE24A8"/>
    <w:rsid w:val="628221F2"/>
    <w:rsid w:val="63354D9D"/>
    <w:rsid w:val="63E810A0"/>
    <w:rsid w:val="649A7F0C"/>
    <w:rsid w:val="65133F60"/>
    <w:rsid w:val="65582F03"/>
    <w:rsid w:val="655C69DA"/>
    <w:rsid w:val="65DB1EDB"/>
    <w:rsid w:val="668933F1"/>
    <w:rsid w:val="67336C9B"/>
    <w:rsid w:val="678F457D"/>
    <w:rsid w:val="683C1DCF"/>
    <w:rsid w:val="68B318AF"/>
    <w:rsid w:val="68FE7EA4"/>
    <w:rsid w:val="691564DF"/>
    <w:rsid w:val="69720216"/>
    <w:rsid w:val="69AB0043"/>
    <w:rsid w:val="6B0D3F85"/>
    <w:rsid w:val="6B5F3173"/>
    <w:rsid w:val="6BE3669F"/>
    <w:rsid w:val="6C257165"/>
    <w:rsid w:val="6C5F4060"/>
    <w:rsid w:val="6CB37B46"/>
    <w:rsid w:val="6D696431"/>
    <w:rsid w:val="6DA4734D"/>
    <w:rsid w:val="6DB807B5"/>
    <w:rsid w:val="6E3F4D5B"/>
    <w:rsid w:val="6E5914D8"/>
    <w:rsid w:val="6F9F213B"/>
    <w:rsid w:val="6FFF0098"/>
    <w:rsid w:val="701817B4"/>
    <w:rsid w:val="70BA0054"/>
    <w:rsid w:val="70EB73DC"/>
    <w:rsid w:val="713139E0"/>
    <w:rsid w:val="73C11CE8"/>
    <w:rsid w:val="73C93E12"/>
    <w:rsid w:val="73D43818"/>
    <w:rsid w:val="74365020"/>
    <w:rsid w:val="74770453"/>
    <w:rsid w:val="747B3480"/>
    <w:rsid w:val="75523CF9"/>
    <w:rsid w:val="75B94A65"/>
    <w:rsid w:val="75D4570F"/>
    <w:rsid w:val="763356CD"/>
    <w:rsid w:val="76B86465"/>
    <w:rsid w:val="78660E9A"/>
    <w:rsid w:val="7887429A"/>
    <w:rsid w:val="79067ECA"/>
    <w:rsid w:val="795E5622"/>
    <w:rsid w:val="799C6B67"/>
    <w:rsid w:val="79BB6494"/>
    <w:rsid w:val="79E00E64"/>
    <w:rsid w:val="7A9F43B5"/>
    <w:rsid w:val="7B1B01CE"/>
    <w:rsid w:val="7BDF0F9C"/>
    <w:rsid w:val="7DBC0979"/>
    <w:rsid w:val="7E830F3A"/>
    <w:rsid w:val="7F3E1B69"/>
    <w:rsid w:val="7F6820BC"/>
    <w:rsid w:val="7F971BD0"/>
    <w:rsid w:val="7FC12E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560" w:lineRule="exact"/>
      <w:ind w:firstLine="360" w:firstLineChars="200"/>
      <w:jc w:val="both"/>
    </w:pPr>
    <w:rPr>
      <w:rFonts w:ascii="仿宋_GB2312" w:hAnsi="仿宋_GB2312" w:eastAsia="仿宋_GB2312" w:cstheme="minorBidi"/>
      <w:kern w:val="2"/>
      <w:sz w:val="32"/>
      <w:szCs w:val="24"/>
      <w:lang w:val="en-US" w:eastAsia="zh-CN" w:bidi="ar-SA"/>
    </w:rPr>
  </w:style>
  <w:style w:type="paragraph" w:styleId="4">
    <w:name w:val="heading 1"/>
    <w:basedOn w:val="1"/>
    <w:next w:val="1"/>
    <w:qFormat/>
    <w:uiPriority w:val="0"/>
    <w:pPr>
      <w:spacing w:line="765" w:lineRule="exact"/>
      <w:ind w:left="0" w:firstLine="0" w:firstLineChars="0"/>
      <w:jc w:val="center"/>
      <w:outlineLvl w:val="0"/>
    </w:pPr>
    <w:rPr>
      <w:rFonts w:ascii="方正小标宋简体" w:hAnsi="方正小标宋简体" w:eastAsia="黑体" w:cs="方正小标宋简体"/>
      <w:szCs w:val="44"/>
    </w:rPr>
  </w:style>
  <w:style w:type="paragraph" w:styleId="5">
    <w:name w:val="heading 2"/>
    <w:basedOn w:val="1"/>
    <w:next w:val="1"/>
    <w:unhideWhenUsed/>
    <w:qFormat/>
    <w:uiPriority w:val="0"/>
    <w:pPr>
      <w:keepNext/>
      <w:keepLines/>
      <w:spacing w:beforeAutospacing="0" w:afterAutospacing="0" w:line="360" w:lineRule="auto"/>
      <w:ind w:firstLine="964" w:firstLineChars="200"/>
      <w:outlineLvl w:val="1"/>
    </w:pPr>
    <w:rPr>
      <w:rFonts w:ascii="仿宋" w:hAnsi="仿宋" w:eastAsia="楷体_GB2312" w:cs="仿宋"/>
      <w:b/>
      <w:kern w:val="2"/>
      <w:szCs w:val="24"/>
      <w:lang w:val="en-US" w:bidi="ar-SA"/>
    </w:rPr>
  </w:style>
  <w:style w:type="character" w:default="1" w:styleId="16">
    <w:name w:val="Default Paragraph Font"/>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next w:val="3"/>
    <w:qFormat/>
    <w:uiPriority w:val="0"/>
    <w:pPr>
      <w:tabs>
        <w:tab w:val="center" w:pos="4153"/>
        <w:tab w:val="right" w:pos="8306"/>
      </w:tabs>
      <w:snapToGrid w:val="0"/>
      <w:ind w:firstLine="0" w:firstLineChars="0"/>
      <w:jc w:val="left"/>
    </w:pPr>
    <w:rPr>
      <w:spacing w:val="57"/>
      <w:sz w:val="28"/>
    </w:rPr>
  </w:style>
  <w:style w:type="paragraph" w:styleId="3">
    <w:name w:val="toc 3"/>
    <w:basedOn w:val="1"/>
    <w:next w:val="1"/>
    <w:qFormat/>
    <w:uiPriority w:val="0"/>
    <w:pPr>
      <w:snapToGrid w:val="0"/>
      <w:spacing w:line="240" w:lineRule="auto"/>
      <w:ind w:left="0" w:leftChars="0" w:firstLine="1446" w:firstLineChars="200"/>
      <w:jc w:val="left"/>
    </w:pPr>
    <w:rPr>
      <w:rFonts w:ascii="Times New Roman" w:hAnsi="Times New Roman" w:cstheme="minorHAnsi"/>
      <w:color w:val="000000"/>
      <w:szCs w:val="28"/>
    </w:rPr>
  </w:style>
  <w:style w:type="paragraph" w:styleId="6">
    <w:name w:val="Body Text 3"/>
    <w:basedOn w:val="1"/>
    <w:next w:val="7"/>
    <w:qFormat/>
    <w:uiPriority w:val="0"/>
    <w:pPr>
      <w:spacing w:after="120"/>
    </w:pPr>
    <w:rPr>
      <w:rFonts w:ascii="Calibri" w:hAnsi="Calibri" w:cs="Calibri"/>
      <w:sz w:val="16"/>
      <w:szCs w:val="16"/>
    </w:rPr>
  </w:style>
  <w:style w:type="paragraph" w:styleId="7">
    <w:name w:val="Body Text"/>
    <w:basedOn w:val="1"/>
    <w:next w:val="8"/>
    <w:qFormat/>
    <w:uiPriority w:val="0"/>
    <w:pPr>
      <w:spacing w:after="120"/>
    </w:pPr>
  </w:style>
  <w:style w:type="paragraph" w:customStyle="1" w:styleId="8">
    <w:name w:val="表格1"/>
    <w:basedOn w:val="1"/>
    <w:qFormat/>
    <w:uiPriority w:val="0"/>
    <w:pPr>
      <w:snapToGrid w:val="0"/>
      <w:spacing w:beforeAutospacing="0" w:line="240" w:lineRule="auto"/>
      <w:ind w:firstLine="0" w:firstLineChars="0"/>
      <w:jc w:val="center"/>
    </w:pPr>
    <w:rPr>
      <w:rFonts w:ascii="Times New Roman" w:hAnsi="Times New Roman" w:eastAsia="宋体" w:cs="Times New Roman"/>
      <w:color w:val="000000"/>
      <w:sz w:val="28"/>
      <w:szCs w:val="21"/>
      <w:lang w:val="zh-CN" w:bidi="zh-CN"/>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pPr>
      <w:tabs>
        <w:tab w:val="right" w:leader="dot" w:pos="8296"/>
      </w:tabs>
      <w:spacing w:line="560" w:lineRule="exact"/>
    </w:pPr>
    <w:rPr>
      <w:rFonts w:ascii="方正小标宋_GBK" w:hAnsi="方正小标宋_GBK" w:eastAsia="方正小标宋_GBK" w:cs="方正小标宋_GBK"/>
      <w:b/>
      <w:bCs/>
      <w:kern w:val="0"/>
      <w:szCs w:val="21"/>
    </w:rPr>
  </w:style>
  <w:style w:type="paragraph" w:styleId="11">
    <w:name w:val="Subtitle"/>
    <w:basedOn w:val="1"/>
    <w:next w:val="1"/>
    <w:link w:val="24"/>
    <w:qFormat/>
    <w:uiPriority w:val="11"/>
    <w:pPr>
      <w:widowControl/>
      <w:adjustRightInd w:val="0"/>
      <w:snapToGrid w:val="0"/>
      <w:spacing w:before="240" w:after="60" w:line="312" w:lineRule="auto"/>
      <w:ind w:firstLine="0" w:firstLineChars="0"/>
      <w:jc w:val="center"/>
      <w:outlineLvl w:val="1"/>
    </w:pPr>
    <w:rPr>
      <w:rFonts w:ascii="等线 Light" w:hAnsi="等线 Light" w:eastAsia="方正小标宋_GBK" w:cs="Times New Roman"/>
      <w:b/>
      <w:bCs/>
      <w:kern w:val="28"/>
      <w:sz w:val="36"/>
      <w:szCs w:val="32"/>
    </w:rPr>
  </w:style>
  <w:style w:type="paragraph" w:styleId="12">
    <w:name w:val="toc 2"/>
    <w:basedOn w:val="1"/>
    <w:next w:val="1"/>
    <w:qFormat/>
    <w:uiPriority w:val="39"/>
    <w:pPr>
      <w:tabs>
        <w:tab w:val="right" w:leader="dot" w:pos="8296"/>
      </w:tabs>
      <w:spacing w:line="560" w:lineRule="exact"/>
      <w:ind w:left="420" w:leftChars="200"/>
    </w:pPr>
  </w:style>
  <w:style w:type="paragraph" w:styleId="13">
    <w:name w:val="Normal (Web)"/>
    <w:basedOn w:val="1"/>
    <w:qFormat/>
    <w:uiPriority w:val="0"/>
    <w:pPr>
      <w:spacing w:beforeAutospacing="1" w:afterAutospacing="1"/>
      <w:jc w:val="left"/>
    </w:pPr>
    <w:rPr>
      <w:rFonts w:cs="Times New Roman"/>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basedOn w:val="16"/>
    <w:qFormat/>
    <w:uiPriority w:val="0"/>
    <w:rPr>
      <w:b/>
    </w:rPr>
  </w:style>
  <w:style w:type="character" w:styleId="18">
    <w:name w:val="Hyperlink"/>
    <w:basedOn w:val="16"/>
    <w:qFormat/>
    <w:uiPriority w:val="99"/>
    <w:rPr>
      <w:color w:val="444444"/>
      <w:u w:val="none"/>
    </w:rPr>
  </w:style>
  <w:style w:type="paragraph" w:customStyle="1" w:styleId="19">
    <w:name w:val="WPSOffice手动目录 1"/>
    <w:qFormat/>
    <w:uiPriority w:val="0"/>
    <w:rPr>
      <w:rFonts w:ascii="Times New Roman" w:hAnsi="Times New Roman" w:eastAsia="宋体" w:cs="Times New Roman"/>
      <w:lang w:val="en-US" w:eastAsia="zh-CN" w:bidi="ar-SA"/>
    </w:rPr>
  </w:style>
  <w:style w:type="paragraph" w:customStyle="1" w:styleId="20">
    <w:name w:val="WPSOffice手动目录 2"/>
    <w:qFormat/>
    <w:uiPriority w:val="0"/>
    <w:pPr>
      <w:ind w:left="200" w:leftChars="200"/>
    </w:pPr>
    <w:rPr>
      <w:rFonts w:ascii="Times New Roman" w:hAnsi="Times New Roman" w:eastAsia="宋体" w:cs="Times New Roman"/>
      <w:lang w:val="en-US" w:eastAsia="zh-CN" w:bidi="ar-SA"/>
    </w:rPr>
  </w:style>
  <w:style w:type="paragraph" w:styleId="21">
    <w:name w:val="List Paragraph"/>
    <w:basedOn w:val="1"/>
    <w:qFormat/>
    <w:uiPriority w:val="99"/>
    <w:pPr>
      <w:ind w:firstLine="420" w:firstLineChars="200"/>
    </w:pPr>
  </w:style>
  <w:style w:type="character" w:customStyle="1" w:styleId="22">
    <w:name w:val="font21"/>
    <w:basedOn w:val="16"/>
    <w:qFormat/>
    <w:uiPriority w:val="0"/>
    <w:rPr>
      <w:rFonts w:hint="eastAsia" w:ascii="黑体" w:hAnsi="宋体" w:eastAsia="黑体" w:cs="黑体"/>
      <w:color w:val="000000"/>
      <w:sz w:val="36"/>
      <w:szCs w:val="36"/>
      <w:u w:val="none"/>
    </w:rPr>
  </w:style>
  <w:style w:type="character" w:customStyle="1" w:styleId="23">
    <w:name w:val="font31"/>
    <w:basedOn w:val="16"/>
    <w:qFormat/>
    <w:uiPriority w:val="0"/>
    <w:rPr>
      <w:rFonts w:hint="eastAsia" w:ascii="宋体" w:hAnsi="宋体" w:eastAsia="宋体" w:cs="宋体"/>
      <w:color w:val="000000"/>
      <w:sz w:val="22"/>
      <w:szCs w:val="22"/>
      <w:u w:val="none"/>
    </w:rPr>
  </w:style>
  <w:style w:type="character" w:customStyle="1" w:styleId="24">
    <w:name w:val="副标题 字符"/>
    <w:basedOn w:val="16"/>
    <w:link w:val="11"/>
    <w:qFormat/>
    <w:uiPriority w:val="11"/>
    <w:rPr>
      <w:rFonts w:ascii="等线 Light" w:hAnsi="等线 Light" w:eastAsia="方正小标宋_GBK" w:cs="Times New Roman"/>
      <w:b/>
      <w:bCs/>
      <w:kern w:val="28"/>
      <w:sz w:val="36"/>
      <w:szCs w:val="32"/>
    </w:rPr>
  </w:style>
  <w:style w:type="character" w:customStyle="1" w:styleId="25">
    <w:name w:val="font11"/>
    <w:basedOn w:val="16"/>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23831</Words>
  <Characters>24570</Characters>
  <Lines>187</Lines>
  <Paragraphs>52</Paragraphs>
  <TotalTime>2</TotalTime>
  <ScaleCrop>false</ScaleCrop>
  <LinksUpToDate>false</LinksUpToDate>
  <CharactersWithSpaces>24908</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2021-01-13T10:42:00Z</dcterms:created>
  <dc:creator>夜色多美</dc:creator>
  <cp:lastModifiedBy>我的老婆是大佬</cp:lastModifiedBy>
  <cp:lastPrinted>2021-08-04T08:02:00Z</cp:lastPrinted>
  <dcterms:modified xsi:type="dcterms:W3CDTF">2023-01-06T07:42:12Z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7BCF6D45380F4BB184CDCB9F7F43EEBB</vt:lpwstr>
  </property>
</Properties>
</file>