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p>
    <w:p>
      <w:pPr>
        <w:ind w:left="560"/>
        <w:jc w:val="both"/>
        <w:rPr>
          <w:rFonts w:ascii="黑体" w:hAnsi="黑体" w:eastAsia="黑体" w:cs="黑体"/>
          <w:b/>
          <w:bCs/>
          <w:color w:val="000000" w:themeColor="text1"/>
          <w:sz w:val="36"/>
          <w:szCs w:val="44"/>
          <w14:textFill>
            <w14:solidFill>
              <w14:schemeClr w14:val="tx1"/>
            </w14:solidFill>
          </w14:textFill>
        </w:rPr>
      </w:pPr>
    </w:p>
    <w:p>
      <w:pPr>
        <w:ind w:left="560"/>
        <w:jc w:val="both"/>
        <w:rPr>
          <w:rFonts w:ascii="黑体" w:hAnsi="黑体" w:eastAsia="黑体" w:cs="黑体"/>
          <w:b/>
          <w:bCs/>
          <w:color w:val="000000" w:themeColor="text1"/>
          <w:sz w:val="36"/>
          <w:szCs w:val="44"/>
          <w14:textFill>
            <w14:solidFill>
              <w14:schemeClr w14:val="tx1"/>
            </w14:solidFill>
          </w14:textFill>
        </w:rPr>
      </w:pPr>
    </w:p>
    <w:p>
      <w:pPr>
        <w:ind w:left="560"/>
        <w:jc w:val="both"/>
        <w:rPr>
          <w:rFonts w:ascii="黑体" w:hAnsi="黑体" w:eastAsia="黑体" w:cs="黑体"/>
          <w:b/>
          <w:bCs/>
          <w:color w:val="000000" w:themeColor="text1"/>
          <w:sz w:val="48"/>
          <w:szCs w:val="48"/>
          <w14:textFill>
            <w14:solidFill>
              <w14:schemeClr w14:val="tx1"/>
            </w14:solidFill>
          </w14:textFill>
        </w:rPr>
      </w:pPr>
    </w:p>
    <w:p>
      <w:pPr>
        <w:ind w:left="0" w:firstLine="0" w:firstLineChars="0"/>
        <w:jc w:val="center"/>
        <w:rPr>
          <w:rFonts w:ascii="Times New Roman" w:hAnsi="Times New Roman" w:eastAsia="黑体" w:cs="Times New Roman"/>
          <w:b w:val="0"/>
          <w:bCs w:val="0"/>
          <w:color w:val="000000" w:themeColor="text1"/>
          <w:sz w:val="48"/>
          <w:szCs w:val="48"/>
          <w14:textFill>
            <w14:solidFill>
              <w14:schemeClr w14:val="tx1"/>
            </w14:solidFill>
          </w14:textFill>
        </w:rPr>
      </w:pPr>
      <w:r>
        <w:rPr>
          <w:rFonts w:ascii="Times New Roman" w:hAnsi="Times New Roman" w:eastAsia="黑体" w:cs="Times New Roman"/>
          <w:b w:val="0"/>
          <w:bCs w:val="0"/>
          <w:color w:val="000000" w:themeColor="text1"/>
          <w:sz w:val="48"/>
          <w:szCs w:val="48"/>
          <w14:textFill>
            <w14:solidFill>
              <w14:schemeClr w14:val="tx1"/>
            </w14:solidFill>
          </w14:textFill>
        </w:rPr>
        <w:t>紫阳县</w:t>
      </w:r>
      <w:r>
        <w:rPr>
          <w:rFonts w:hint="eastAsia" w:ascii="Times New Roman" w:hAnsi="Times New Roman" w:eastAsia="黑体" w:cs="Times New Roman"/>
          <w:b w:val="0"/>
          <w:bCs w:val="0"/>
          <w:color w:val="000000" w:themeColor="text1"/>
          <w:sz w:val="48"/>
          <w:szCs w:val="48"/>
          <w:lang w:eastAsia="zh-CN"/>
          <w14:textFill>
            <w14:solidFill>
              <w14:schemeClr w14:val="tx1"/>
            </w14:solidFill>
          </w14:textFill>
        </w:rPr>
        <w:t>“</w:t>
      </w:r>
      <w:r>
        <w:rPr>
          <w:rFonts w:ascii="Times New Roman" w:hAnsi="Times New Roman" w:eastAsia="黑体" w:cs="Times New Roman"/>
          <w:b w:val="0"/>
          <w:bCs w:val="0"/>
          <w:color w:val="000000" w:themeColor="text1"/>
          <w:sz w:val="48"/>
          <w:szCs w:val="48"/>
          <w14:textFill>
            <w14:solidFill>
              <w14:schemeClr w14:val="tx1"/>
            </w14:solidFill>
          </w14:textFill>
        </w:rPr>
        <w:t>十四五</w:t>
      </w:r>
      <w:r>
        <w:rPr>
          <w:rFonts w:hint="eastAsia" w:ascii="Times New Roman" w:hAnsi="Times New Roman" w:eastAsia="黑体" w:cs="Times New Roman"/>
          <w:b w:val="0"/>
          <w:bCs w:val="0"/>
          <w:color w:val="000000" w:themeColor="text1"/>
          <w:sz w:val="48"/>
          <w:szCs w:val="48"/>
          <w:lang w:eastAsia="zh-CN"/>
          <w14:textFill>
            <w14:solidFill>
              <w14:schemeClr w14:val="tx1"/>
            </w14:solidFill>
          </w14:textFill>
        </w:rPr>
        <w:t>”</w:t>
      </w:r>
      <w:r>
        <w:rPr>
          <w:rFonts w:ascii="Times New Roman" w:hAnsi="Times New Roman" w:eastAsia="黑体" w:cs="Times New Roman"/>
          <w:b w:val="0"/>
          <w:bCs w:val="0"/>
          <w:color w:val="000000" w:themeColor="text1"/>
          <w:sz w:val="48"/>
          <w:szCs w:val="48"/>
          <w14:textFill>
            <w14:solidFill>
              <w14:schemeClr w14:val="tx1"/>
            </w14:solidFill>
          </w14:textFill>
        </w:rPr>
        <w:t>教育体育事业发展规划</w:t>
      </w:r>
    </w:p>
    <w:p>
      <w:pPr>
        <w:ind w:left="0" w:firstLine="0" w:firstLineChars="0"/>
        <w:jc w:val="center"/>
        <w:rPr>
          <w:rFonts w:hint="default" w:ascii="Times New Roman" w:hAnsi="Times New Roman" w:eastAsia="黑体" w:cs="Times New Roman"/>
          <w:b w:val="0"/>
          <w:bCs w:val="0"/>
          <w:color w:val="000000" w:themeColor="text1"/>
          <w:sz w:val="48"/>
          <w:szCs w:val="48"/>
          <w:lang w:val="en-US" w:eastAsia="zh-CN"/>
          <w14:textFill>
            <w14:solidFill>
              <w14:schemeClr w14:val="tx1"/>
            </w14:solidFill>
          </w14:textFill>
        </w:rPr>
      </w:pPr>
      <w:r>
        <w:rPr>
          <w:rFonts w:hint="eastAsia" w:ascii="Times New Roman" w:hAnsi="Times New Roman" w:eastAsia="黑体" w:cs="Times New Roman"/>
          <w:b w:val="0"/>
          <w:bCs w:val="0"/>
          <w:color w:val="000000" w:themeColor="text1"/>
          <w:sz w:val="48"/>
          <w:szCs w:val="48"/>
          <w:lang w:eastAsia="zh-CN"/>
          <w14:textFill>
            <w14:solidFill>
              <w14:schemeClr w14:val="tx1"/>
            </w14:solidFill>
          </w14:textFill>
        </w:rPr>
        <w:t>（</w:t>
      </w:r>
      <w:r>
        <w:rPr>
          <w:rFonts w:hint="eastAsia" w:ascii="Times New Roman" w:hAnsi="Times New Roman" w:eastAsia="黑体" w:cs="Times New Roman"/>
          <w:b w:val="0"/>
          <w:bCs w:val="0"/>
          <w:color w:val="000000" w:themeColor="text1"/>
          <w:sz w:val="48"/>
          <w:szCs w:val="48"/>
          <w:lang w:val="en-US" w:eastAsia="zh-CN"/>
          <w14:textFill>
            <w14:solidFill>
              <w14:schemeClr w14:val="tx1"/>
            </w14:solidFill>
          </w14:textFill>
        </w:rPr>
        <w:t>2021-2025年）</w:t>
      </w:r>
    </w:p>
    <w:p>
      <w:pPr>
        <w:ind w:left="560"/>
        <w:jc w:val="both"/>
        <w:rPr>
          <w:rFonts w:ascii="Times New Roman" w:hAnsi="Times New Roman" w:eastAsia="黑体" w:cs="Times New Roman"/>
          <w:b/>
          <w:bCs/>
          <w:color w:val="000000" w:themeColor="text1"/>
          <w:sz w:val="36"/>
          <w:szCs w:val="44"/>
          <w14:textFill>
            <w14:solidFill>
              <w14:schemeClr w14:val="tx1"/>
            </w14:solidFill>
          </w14:textFill>
        </w:rPr>
      </w:pPr>
    </w:p>
    <w:p>
      <w:pPr>
        <w:ind w:left="560"/>
        <w:jc w:val="both"/>
        <w:rPr>
          <w:rFonts w:ascii="Times New Roman" w:hAnsi="Times New Roman" w:eastAsia="黑体" w:cs="Times New Roman"/>
          <w:b/>
          <w:bCs/>
          <w:color w:val="000000" w:themeColor="text1"/>
          <w:sz w:val="36"/>
          <w:szCs w:val="44"/>
          <w14:textFill>
            <w14:solidFill>
              <w14:schemeClr w14:val="tx1"/>
            </w14:solidFill>
          </w14:textFill>
        </w:rPr>
      </w:pPr>
    </w:p>
    <w:p>
      <w:pPr>
        <w:ind w:left="560"/>
        <w:jc w:val="both"/>
        <w:rPr>
          <w:rFonts w:ascii="Times New Roman" w:hAnsi="Times New Roman" w:eastAsia="黑体" w:cs="Times New Roman"/>
          <w:b/>
          <w:bCs/>
          <w:color w:val="000000" w:themeColor="text1"/>
          <w:sz w:val="36"/>
          <w:szCs w:val="44"/>
          <w14:textFill>
            <w14:solidFill>
              <w14:schemeClr w14:val="tx1"/>
            </w14:solidFill>
          </w14:textFill>
        </w:rPr>
      </w:pPr>
    </w:p>
    <w:p>
      <w:pPr>
        <w:ind w:left="560"/>
        <w:jc w:val="both"/>
        <w:rPr>
          <w:rFonts w:ascii="Times New Roman" w:hAnsi="Times New Roman" w:eastAsia="黑体" w:cs="Times New Roman"/>
          <w:b/>
          <w:bCs/>
          <w:color w:val="000000" w:themeColor="text1"/>
          <w:sz w:val="36"/>
          <w:szCs w:val="44"/>
          <w14:textFill>
            <w14:solidFill>
              <w14:schemeClr w14:val="tx1"/>
            </w14:solidFill>
          </w14:textFill>
        </w:rPr>
      </w:pPr>
    </w:p>
    <w:p>
      <w:pPr>
        <w:ind w:left="560"/>
        <w:jc w:val="both"/>
        <w:rPr>
          <w:rFonts w:ascii="Times New Roman" w:hAnsi="Times New Roman" w:eastAsia="黑体" w:cs="Times New Roman"/>
          <w:b/>
          <w:bCs/>
          <w:color w:val="000000" w:themeColor="text1"/>
          <w:sz w:val="36"/>
          <w:szCs w:val="44"/>
          <w14:textFill>
            <w14:solidFill>
              <w14:schemeClr w14:val="tx1"/>
            </w14:solidFill>
          </w14:textFill>
        </w:rPr>
      </w:pPr>
    </w:p>
    <w:p>
      <w:pPr>
        <w:ind w:left="560"/>
        <w:jc w:val="both"/>
        <w:rPr>
          <w:rFonts w:ascii="Times New Roman" w:hAnsi="Times New Roman" w:eastAsia="黑体" w:cs="Times New Roman"/>
          <w:b/>
          <w:bCs/>
          <w:color w:val="000000" w:themeColor="text1"/>
          <w:sz w:val="36"/>
          <w:szCs w:val="44"/>
          <w14:textFill>
            <w14:solidFill>
              <w14:schemeClr w14:val="tx1"/>
            </w14:solidFill>
          </w14:textFill>
        </w:rPr>
      </w:pPr>
    </w:p>
    <w:p>
      <w:pPr>
        <w:ind w:left="560"/>
        <w:jc w:val="both"/>
        <w:rPr>
          <w:rFonts w:ascii="Times New Roman" w:hAnsi="Times New Roman" w:eastAsia="黑体" w:cs="Times New Roman"/>
          <w:b/>
          <w:bCs/>
          <w:color w:val="000000" w:themeColor="text1"/>
          <w:sz w:val="36"/>
          <w:szCs w:val="44"/>
          <w14:textFill>
            <w14:solidFill>
              <w14:schemeClr w14:val="tx1"/>
            </w14:solidFill>
          </w14:textFill>
        </w:rPr>
      </w:pPr>
    </w:p>
    <w:p>
      <w:pPr>
        <w:ind w:left="560"/>
        <w:jc w:val="both"/>
        <w:rPr>
          <w:rFonts w:ascii="Times New Roman" w:hAnsi="Times New Roman" w:eastAsia="黑体" w:cs="Times New Roman"/>
          <w:b/>
          <w:bCs/>
          <w:color w:val="000000" w:themeColor="text1"/>
          <w:sz w:val="36"/>
          <w:szCs w:val="44"/>
          <w14:textFill>
            <w14:solidFill>
              <w14:schemeClr w14:val="tx1"/>
            </w14:solidFill>
          </w14:textFill>
        </w:rPr>
      </w:pPr>
    </w:p>
    <w:p>
      <w:pPr>
        <w:ind w:left="560"/>
        <w:jc w:val="both"/>
        <w:rPr>
          <w:rFonts w:ascii="Times New Roman" w:hAnsi="Times New Roman" w:eastAsia="黑体" w:cs="Times New Roman"/>
          <w:b/>
          <w:bCs/>
          <w:color w:val="000000" w:themeColor="text1"/>
          <w:sz w:val="36"/>
          <w:szCs w:val="44"/>
          <w14:textFill>
            <w14:solidFill>
              <w14:schemeClr w14:val="tx1"/>
            </w14:solidFill>
          </w14:textFill>
        </w:rPr>
      </w:pPr>
    </w:p>
    <w:p>
      <w:pPr>
        <w:ind w:left="560"/>
        <w:jc w:val="both"/>
        <w:rPr>
          <w:rFonts w:ascii="Times New Roman" w:hAnsi="Times New Roman" w:eastAsia="黑体" w:cs="Times New Roman"/>
          <w:b/>
          <w:bCs/>
          <w:color w:val="000000" w:themeColor="text1"/>
          <w:sz w:val="36"/>
          <w:szCs w:val="44"/>
          <w14:textFill>
            <w14:solidFill>
              <w14:schemeClr w14:val="tx1"/>
            </w14:solidFill>
          </w14:textFill>
        </w:rPr>
      </w:pPr>
    </w:p>
    <w:p>
      <w:pPr>
        <w:ind w:left="560"/>
        <w:jc w:val="both"/>
        <w:rPr>
          <w:rFonts w:ascii="Times New Roman" w:hAnsi="Times New Roman" w:eastAsia="黑体" w:cs="Times New Roman"/>
          <w:b/>
          <w:bCs/>
          <w:color w:val="000000" w:themeColor="text1"/>
          <w:sz w:val="36"/>
          <w:szCs w:val="44"/>
          <w14:textFill>
            <w14:solidFill>
              <w14:schemeClr w14:val="tx1"/>
            </w14:solidFill>
          </w14:textFill>
        </w:rPr>
      </w:pPr>
    </w:p>
    <w:p>
      <w:pPr>
        <w:ind w:left="560"/>
        <w:jc w:val="both"/>
        <w:rPr>
          <w:rFonts w:ascii="Times New Roman" w:hAnsi="Times New Roman" w:eastAsia="黑体" w:cs="Times New Roman"/>
          <w:b/>
          <w:bCs/>
          <w:color w:val="000000" w:themeColor="text1"/>
          <w:sz w:val="36"/>
          <w:szCs w:val="44"/>
          <w14:textFill>
            <w14:solidFill>
              <w14:schemeClr w14:val="tx1"/>
            </w14:solidFill>
          </w14:textFill>
        </w:rPr>
      </w:pPr>
    </w:p>
    <w:p>
      <w:pPr>
        <w:ind w:left="0" w:firstLine="0" w:firstLineChars="0"/>
        <w:jc w:val="center"/>
        <w:rPr>
          <w:rFonts w:hint="eastAsia" w:ascii="楷体" w:hAnsi="楷体" w:eastAsia="楷体" w:cs="楷体"/>
          <w:b/>
          <w:bCs/>
          <w:color w:val="000000" w:themeColor="text1"/>
          <w:sz w:val="32"/>
          <w:szCs w:val="32"/>
          <w:lang w:eastAsia="zh-CN"/>
          <w14:textFill>
            <w14:solidFill>
              <w14:schemeClr w14:val="tx1"/>
            </w14:solidFill>
          </w14:textFill>
        </w:rPr>
      </w:pPr>
    </w:p>
    <w:p>
      <w:pPr>
        <w:ind w:left="0" w:firstLine="0" w:firstLineChars="0"/>
        <w:jc w:val="center"/>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二〇二</w:t>
      </w:r>
      <w:r>
        <w:rPr>
          <w:rFonts w:hint="eastAsia" w:ascii="楷体" w:hAnsi="楷体" w:eastAsia="楷体" w:cs="楷体"/>
          <w:b/>
          <w:bCs/>
          <w:color w:val="000000" w:themeColor="text1"/>
          <w:sz w:val="32"/>
          <w:szCs w:val="32"/>
          <w:lang w:val="en-US" w:eastAsia="zh-CN"/>
          <w14:textFill>
            <w14:solidFill>
              <w14:schemeClr w14:val="tx1"/>
            </w14:solidFill>
          </w14:textFill>
        </w:rPr>
        <w:t>二</w:t>
      </w:r>
      <w:r>
        <w:rPr>
          <w:rFonts w:hint="eastAsia" w:ascii="楷体" w:hAnsi="楷体" w:eastAsia="楷体" w:cs="楷体"/>
          <w:b/>
          <w:bCs/>
          <w:color w:val="000000" w:themeColor="text1"/>
          <w:sz w:val="32"/>
          <w:szCs w:val="32"/>
          <w14:textFill>
            <w14:solidFill>
              <w14:schemeClr w14:val="tx1"/>
            </w14:solidFill>
          </w14:textFill>
        </w:rPr>
        <w:t>年</w:t>
      </w:r>
      <w:r>
        <w:rPr>
          <w:rFonts w:hint="eastAsia" w:ascii="楷体" w:hAnsi="楷体" w:eastAsia="楷体" w:cs="楷体"/>
          <w:b/>
          <w:bCs/>
          <w:color w:val="000000" w:themeColor="text1"/>
          <w:sz w:val="32"/>
          <w:szCs w:val="32"/>
          <w:lang w:val="en-US" w:eastAsia="zh-CN"/>
          <w14:textFill>
            <w14:solidFill>
              <w14:schemeClr w14:val="tx1"/>
            </w14:solidFill>
          </w14:textFill>
        </w:rPr>
        <w:t>十</w:t>
      </w:r>
      <w:r>
        <w:rPr>
          <w:rFonts w:hint="eastAsia" w:ascii="楷体" w:hAnsi="楷体" w:eastAsia="楷体" w:cs="楷体"/>
          <w:b/>
          <w:bCs/>
          <w:color w:val="000000" w:themeColor="text1"/>
          <w:sz w:val="32"/>
          <w:szCs w:val="32"/>
          <w14:textFill>
            <w14:solidFill>
              <w14:schemeClr w14:val="tx1"/>
            </w14:solidFill>
          </w14:textFill>
        </w:rPr>
        <w:t>月</w:t>
      </w:r>
    </w:p>
    <w:p>
      <w:pPr>
        <w:pStyle w:val="2"/>
        <w:sectPr>
          <w:pgSz w:w="11906" w:h="16838"/>
          <w:pgMar w:top="2098" w:right="1474" w:bottom="1984" w:left="1587" w:header="851" w:footer="992" w:gutter="0"/>
          <w:pgNumType w:fmt="numberInDash" w:start="1"/>
          <w:cols w:space="0" w:num="1"/>
          <w:rtlGutter w:val="0"/>
          <w:docGrid w:type="linesAndChars" w:linePitch="312" w:charSpace="-4784"/>
        </w:sectPr>
      </w:pPr>
    </w:p>
    <w:p>
      <w:pPr>
        <w:spacing w:before="0" w:beforeLines="0" w:after="0" w:afterLines="0" w:line="240" w:lineRule="auto"/>
        <w:ind w:left="0" w:leftChars="0" w:right="0" w:rightChars="0" w:firstLine="0" w:firstLineChars="0"/>
        <w:jc w:val="both"/>
        <w:rPr>
          <w:lang w:val="zh-CN"/>
        </w:rPr>
        <w:sectPr>
          <w:footerReference r:id="rId5" w:type="default"/>
          <w:pgSz w:w="11906" w:h="16838"/>
          <w:pgMar w:top="2098" w:right="1474" w:bottom="1984" w:left="1587" w:header="851" w:footer="992" w:gutter="0"/>
          <w:pgNumType w:fmt="numberInDash" w:start="1"/>
          <w:cols w:space="0" w:num="1"/>
          <w:rtlGutter w:val="0"/>
          <w:docGrid w:type="linesAndChars" w:linePitch="312" w:charSpace="-4784"/>
        </w:sectPr>
      </w:pPr>
    </w:p>
    <w:sdt>
      <w:sdtPr>
        <w:rPr>
          <w:rFonts w:hint="eastAsia" w:ascii="黑体" w:hAnsi="黑体" w:eastAsia="黑体" w:cs="黑体"/>
          <w:b/>
          <w:bCs/>
          <w:kern w:val="2"/>
          <w:sz w:val="32"/>
          <w:szCs w:val="32"/>
          <w:lang w:val="en-US" w:eastAsia="zh-CN" w:bidi="ar-SA"/>
        </w:rPr>
        <w:id w:val="147467401"/>
        <w15:color w:val="DBDBDB"/>
        <w:docPartObj>
          <w:docPartGallery w:val="Table of Contents"/>
          <w:docPartUnique/>
        </w:docPartObj>
      </w:sdtPr>
      <w:sdtEndPr>
        <w:rPr>
          <w:rFonts w:hint="eastAsia" w:ascii="宋体" w:hAnsi="宋体" w:eastAsia="宋体" w:cs="宋体"/>
          <w:b/>
          <w:bCs/>
          <w:kern w:val="2"/>
          <w:sz w:val="24"/>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目</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录</w:t>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b/>
              <w:bCs/>
            </w:rPr>
          </w:pP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TOC \o "1-2" \h \u </w:instrText>
          </w:r>
          <w:r>
            <w:rPr>
              <w:rFonts w:hint="eastAsia" w:ascii="宋体" w:hAnsi="宋体" w:eastAsia="宋体" w:cs="宋体"/>
              <w:sz w:val="30"/>
              <w:szCs w:val="30"/>
              <w:lang w:val="en-US" w:eastAsia="zh-CN"/>
            </w:rPr>
            <w:fldChar w:fldCharType="separate"/>
          </w:r>
          <w:r>
            <w:rPr>
              <w:rFonts w:hint="eastAsia" w:ascii="宋体" w:hAnsi="宋体" w:eastAsia="宋体" w:cs="宋体"/>
              <w:b/>
              <w:bCs/>
              <w:szCs w:val="30"/>
              <w:lang w:val="en-US" w:eastAsia="zh-CN"/>
            </w:rPr>
            <w:fldChar w:fldCharType="begin"/>
          </w:r>
          <w:r>
            <w:rPr>
              <w:rFonts w:hint="eastAsia" w:ascii="宋体" w:hAnsi="宋体" w:eastAsia="宋体" w:cs="宋体"/>
              <w:b/>
              <w:bCs/>
              <w:szCs w:val="30"/>
              <w:lang w:val="en-US" w:eastAsia="zh-CN"/>
            </w:rPr>
            <w:instrText xml:space="preserve"> HYPERLINK \l _Toc16092 </w:instrText>
          </w:r>
          <w:r>
            <w:rPr>
              <w:rFonts w:hint="eastAsia" w:ascii="宋体" w:hAnsi="宋体" w:eastAsia="宋体" w:cs="宋体"/>
              <w:b/>
              <w:bCs/>
              <w:szCs w:val="30"/>
              <w:lang w:val="en-US" w:eastAsia="zh-CN"/>
            </w:rPr>
            <w:fldChar w:fldCharType="separate"/>
          </w:r>
          <w:r>
            <w:rPr>
              <w:rFonts w:hint="eastAsia" w:ascii="宋体" w:hAnsi="宋体" w:eastAsia="宋体" w:cs="宋体"/>
              <w:b/>
              <w:bCs/>
              <w:lang w:eastAsia="zh-CN"/>
            </w:rPr>
            <w:t>第一章</w:t>
          </w:r>
          <w:r>
            <w:rPr>
              <w:rFonts w:hint="eastAsia" w:ascii="宋体" w:hAnsi="宋体" w:eastAsia="宋体" w:cs="宋体"/>
              <w:b/>
              <w:bCs/>
              <w:lang w:val="en-US" w:eastAsia="zh-CN"/>
            </w:rPr>
            <w:t xml:space="preserve">  </w:t>
          </w:r>
          <w:r>
            <w:rPr>
              <w:rFonts w:hint="eastAsia" w:ascii="宋体" w:hAnsi="宋体" w:eastAsia="宋体" w:cs="宋体"/>
              <w:b/>
              <w:bCs/>
            </w:rPr>
            <w:t>“十</w:t>
          </w:r>
          <w:r>
            <w:rPr>
              <w:rFonts w:hint="eastAsia" w:ascii="宋体" w:hAnsi="宋体" w:eastAsia="宋体" w:cs="宋体"/>
              <w:b/>
              <w:bCs/>
              <w:lang w:eastAsia="zh-CN"/>
            </w:rPr>
            <w:t>三</w:t>
          </w:r>
          <w:r>
            <w:rPr>
              <w:rFonts w:hint="eastAsia" w:ascii="宋体" w:hAnsi="宋体" w:eastAsia="宋体" w:cs="宋体"/>
              <w:b/>
              <w:bCs/>
            </w:rPr>
            <w:t>五”</w:t>
          </w:r>
          <w:r>
            <w:rPr>
              <w:rFonts w:hint="eastAsia" w:ascii="宋体" w:hAnsi="宋体" w:eastAsia="宋体" w:cs="宋体"/>
              <w:b/>
              <w:bCs/>
              <w:lang w:val="en-US" w:eastAsia="zh-CN"/>
            </w:rPr>
            <w:t>期间紫阳教育体育事业发展情况</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_Toc16092 \h </w:instrText>
          </w:r>
          <w:r>
            <w:rPr>
              <w:rFonts w:hint="eastAsia" w:ascii="宋体" w:hAnsi="宋体" w:eastAsia="宋体" w:cs="宋体"/>
              <w:b/>
              <w:bCs/>
            </w:rPr>
            <w:fldChar w:fldCharType="separate"/>
          </w:r>
          <w:r>
            <w:rPr>
              <w:rFonts w:hint="eastAsia" w:ascii="宋体" w:hAnsi="宋体" w:eastAsia="宋体" w:cs="宋体"/>
              <w:b/>
              <w:bCs/>
            </w:rPr>
            <w:t>- 1 -</w:t>
          </w:r>
          <w:r>
            <w:rPr>
              <w:rFonts w:hint="eastAsia" w:ascii="宋体" w:hAnsi="宋体" w:eastAsia="宋体" w:cs="宋体"/>
              <w:b/>
              <w:bCs/>
            </w:rPr>
            <w:fldChar w:fldCharType="end"/>
          </w:r>
          <w:r>
            <w:rPr>
              <w:rFonts w:hint="eastAsia" w:ascii="宋体" w:hAnsi="宋体" w:eastAsia="宋体" w:cs="宋体"/>
              <w:b/>
              <w:bCs/>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_Toc27959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一、</w:t>
          </w:r>
          <w:r>
            <w:rPr>
              <w:rFonts w:hint="eastAsia" w:ascii="宋体" w:hAnsi="宋体" w:eastAsia="宋体" w:cs="宋体"/>
            </w:rPr>
            <w:t>发展</w:t>
          </w:r>
          <w:r>
            <w:rPr>
              <w:rFonts w:hint="eastAsia" w:ascii="宋体" w:hAnsi="宋体" w:eastAsia="宋体" w:cs="宋体"/>
              <w:lang w:eastAsia="zh-CN"/>
            </w:rPr>
            <w:t>成就</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_Toc27959 \h </w:instrText>
          </w:r>
          <w:r>
            <w:rPr>
              <w:rFonts w:hint="eastAsia" w:ascii="宋体" w:hAnsi="宋体" w:eastAsia="宋体" w:cs="宋体"/>
            </w:rPr>
            <w:fldChar w:fldCharType="separate"/>
          </w:r>
          <w:r>
            <w:rPr>
              <w:rFonts w:hint="eastAsia" w:ascii="宋体" w:hAnsi="宋体" w:eastAsia="宋体" w:cs="宋体"/>
            </w:rPr>
            <w:t>- 1 -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_Toc23156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二、存在问题</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_Toc23156 \h </w:instrText>
          </w:r>
          <w:r>
            <w:rPr>
              <w:rFonts w:hint="eastAsia" w:ascii="宋体" w:hAnsi="宋体" w:eastAsia="宋体" w:cs="宋体"/>
            </w:rPr>
            <w:fldChar w:fldCharType="separate"/>
          </w:r>
          <w:r>
            <w:rPr>
              <w:rFonts w:hint="eastAsia" w:ascii="宋体" w:hAnsi="宋体" w:eastAsia="宋体" w:cs="宋体"/>
            </w:rPr>
            <w:t>- 5 -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_Toc21057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三、发展机遇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_Toc21057 \h </w:instrText>
          </w:r>
          <w:r>
            <w:rPr>
              <w:rFonts w:hint="eastAsia" w:ascii="宋体" w:hAnsi="宋体" w:eastAsia="宋体" w:cs="宋体"/>
            </w:rPr>
            <w:fldChar w:fldCharType="separate"/>
          </w:r>
          <w:r>
            <w:rPr>
              <w:rFonts w:hint="eastAsia" w:ascii="宋体" w:hAnsi="宋体" w:eastAsia="宋体" w:cs="宋体"/>
            </w:rPr>
            <w:t>- 6 -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b/>
              <w:bCs/>
            </w:rPr>
          </w:pPr>
          <w:r>
            <w:rPr>
              <w:rFonts w:hint="eastAsia" w:ascii="宋体" w:hAnsi="宋体" w:eastAsia="宋体" w:cs="宋体"/>
              <w:b/>
              <w:bCs/>
              <w:szCs w:val="30"/>
              <w:lang w:val="en-US" w:eastAsia="zh-CN"/>
            </w:rPr>
            <w:fldChar w:fldCharType="begin"/>
          </w:r>
          <w:r>
            <w:rPr>
              <w:rFonts w:hint="eastAsia" w:ascii="宋体" w:hAnsi="宋体" w:eastAsia="宋体" w:cs="宋体"/>
              <w:b/>
              <w:bCs/>
              <w:szCs w:val="30"/>
              <w:lang w:val="en-US" w:eastAsia="zh-CN"/>
            </w:rPr>
            <w:instrText xml:space="preserve"> HYPERLINK \l _Toc29443 </w:instrText>
          </w:r>
          <w:r>
            <w:rPr>
              <w:rFonts w:hint="eastAsia" w:ascii="宋体" w:hAnsi="宋体" w:eastAsia="宋体" w:cs="宋体"/>
              <w:b/>
              <w:bCs/>
              <w:szCs w:val="30"/>
              <w:lang w:val="en-US" w:eastAsia="zh-CN"/>
            </w:rPr>
            <w:fldChar w:fldCharType="separate"/>
          </w:r>
          <w:r>
            <w:rPr>
              <w:rFonts w:hint="eastAsia" w:ascii="宋体" w:hAnsi="宋体" w:eastAsia="宋体" w:cs="宋体"/>
              <w:b/>
              <w:bCs/>
              <w:lang w:val="en-US" w:eastAsia="zh-CN"/>
            </w:rPr>
            <w:t>第二章  总体思路</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_Toc29443 \h </w:instrText>
          </w:r>
          <w:r>
            <w:rPr>
              <w:rFonts w:hint="eastAsia" w:ascii="宋体" w:hAnsi="宋体" w:eastAsia="宋体" w:cs="宋体"/>
              <w:b/>
              <w:bCs/>
            </w:rPr>
            <w:fldChar w:fldCharType="separate"/>
          </w:r>
          <w:r>
            <w:rPr>
              <w:rFonts w:hint="eastAsia" w:ascii="宋体" w:hAnsi="宋体" w:eastAsia="宋体" w:cs="宋体"/>
              <w:b/>
              <w:bCs/>
            </w:rPr>
            <w:t>- 8 -</w:t>
          </w:r>
          <w:r>
            <w:rPr>
              <w:rFonts w:hint="eastAsia" w:ascii="宋体" w:hAnsi="宋体" w:eastAsia="宋体" w:cs="宋体"/>
              <w:b/>
              <w:bCs/>
            </w:rPr>
            <w:fldChar w:fldCharType="end"/>
          </w:r>
          <w:r>
            <w:rPr>
              <w:rFonts w:hint="eastAsia" w:ascii="宋体" w:hAnsi="宋体" w:eastAsia="宋体" w:cs="宋体"/>
              <w:b/>
              <w:bCs/>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_Toc25645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一、指导思想</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_Toc25645 \h </w:instrText>
          </w:r>
          <w:r>
            <w:rPr>
              <w:rFonts w:hint="eastAsia" w:ascii="宋体" w:hAnsi="宋体" w:eastAsia="宋体" w:cs="宋体"/>
            </w:rPr>
            <w:fldChar w:fldCharType="separate"/>
          </w:r>
          <w:r>
            <w:rPr>
              <w:rFonts w:hint="eastAsia" w:ascii="宋体" w:hAnsi="宋体" w:eastAsia="宋体" w:cs="宋体"/>
            </w:rPr>
            <w:t>- 8 -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_Toc4749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二、基本原则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_Toc4749 \h </w:instrText>
          </w:r>
          <w:r>
            <w:rPr>
              <w:rFonts w:hint="eastAsia" w:ascii="宋体" w:hAnsi="宋体" w:eastAsia="宋体" w:cs="宋体"/>
            </w:rPr>
            <w:fldChar w:fldCharType="separate"/>
          </w:r>
          <w:r>
            <w:rPr>
              <w:rFonts w:hint="eastAsia" w:ascii="宋体" w:hAnsi="宋体" w:eastAsia="宋体" w:cs="宋体"/>
            </w:rPr>
            <w:t>- 8 -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_Toc19783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三、发展目标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_Toc19783 \h </w:instrText>
          </w:r>
          <w:r>
            <w:rPr>
              <w:rFonts w:hint="eastAsia" w:ascii="宋体" w:hAnsi="宋体" w:eastAsia="宋体" w:cs="宋体"/>
            </w:rPr>
            <w:fldChar w:fldCharType="separate"/>
          </w:r>
          <w:r>
            <w:rPr>
              <w:rFonts w:hint="eastAsia" w:ascii="宋体" w:hAnsi="宋体" w:eastAsia="宋体" w:cs="宋体"/>
            </w:rPr>
            <w:t>- 9 -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b/>
              <w:bCs/>
            </w:rPr>
          </w:pPr>
          <w:r>
            <w:rPr>
              <w:rFonts w:hint="eastAsia" w:ascii="宋体" w:hAnsi="宋体" w:eastAsia="宋体" w:cs="宋体"/>
              <w:b/>
              <w:bCs/>
              <w:szCs w:val="30"/>
              <w:lang w:val="en-US" w:eastAsia="zh-CN"/>
            </w:rPr>
            <w:fldChar w:fldCharType="begin"/>
          </w:r>
          <w:r>
            <w:rPr>
              <w:rFonts w:hint="eastAsia" w:ascii="宋体" w:hAnsi="宋体" w:eastAsia="宋体" w:cs="宋体"/>
              <w:b/>
              <w:bCs/>
              <w:szCs w:val="30"/>
              <w:lang w:val="en-US" w:eastAsia="zh-CN"/>
            </w:rPr>
            <w:instrText xml:space="preserve"> HYPERLINK \l _Toc10550 </w:instrText>
          </w:r>
          <w:r>
            <w:rPr>
              <w:rFonts w:hint="eastAsia" w:ascii="宋体" w:hAnsi="宋体" w:eastAsia="宋体" w:cs="宋体"/>
              <w:b/>
              <w:bCs/>
              <w:szCs w:val="30"/>
              <w:lang w:val="en-US" w:eastAsia="zh-CN"/>
            </w:rPr>
            <w:fldChar w:fldCharType="separate"/>
          </w:r>
          <w:r>
            <w:rPr>
              <w:rFonts w:hint="eastAsia" w:ascii="宋体" w:hAnsi="宋体" w:eastAsia="宋体" w:cs="宋体"/>
              <w:b/>
              <w:bCs/>
              <w:lang w:val="en-US" w:eastAsia="zh-CN"/>
            </w:rPr>
            <w:t>第三章  聚焦立德树人根本任务</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_Toc10550 \h </w:instrText>
          </w:r>
          <w:r>
            <w:rPr>
              <w:rFonts w:hint="eastAsia" w:ascii="宋体" w:hAnsi="宋体" w:eastAsia="宋体" w:cs="宋体"/>
              <w:b/>
              <w:bCs/>
            </w:rPr>
            <w:fldChar w:fldCharType="separate"/>
          </w:r>
          <w:r>
            <w:rPr>
              <w:rFonts w:hint="eastAsia" w:ascii="宋体" w:hAnsi="宋体" w:eastAsia="宋体" w:cs="宋体"/>
              <w:b/>
              <w:bCs/>
            </w:rPr>
            <w:t>- 13 -</w:t>
          </w:r>
          <w:r>
            <w:rPr>
              <w:rFonts w:hint="eastAsia" w:ascii="宋体" w:hAnsi="宋体" w:eastAsia="宋体" w:cs="宋体"/>
              <w:b/>
              <w:bCs/>
            </w:rPr>
            <w:fldChar w:fldCharType="end"/>
          </w:r>
          <w:r>
            <w:rPr>
              <w:rFonts w:hint="eastAsia" w:ascii="宋体" w:hAnsi="宋体" w:eastAsia="宋体" w:cs="宋体"/>
              <w:b/>
              <w:bCs/>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_Toc6147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一、用习近平新时代中国特色社会主义思想铸魂育人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_Toc6147 \h </w:instrText>
          </w:r>
          <w:r>
            <w:rPr>
              <w:rFonts w:hint="eastAsia" w:ascii="宋体" w:hAnsi="宋体" w:eastAsia="宋体" w:cs="宋体"/>
            </w:rPr>
            <w:fldChar w:fldCharType="separate"/>
          </w:r>
          <w:r>
            <w:rPr>
              <w:rFonts w:hint="eastAsia" w:ascii="宋体" w:hAnsi="宋体" w:eastAsia="宋体" w:cs="宋体"/>
            </w:rPr>
            <w:t>- 13 -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_Toc3842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二、广泛开展爱国主义教育</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_Toc3842 \h </w:instrText>
          </w:r>
          <w:r>
            <w:rPr>
              <w:rFonts w:hint="eastAsia" w:ascii="宋体" w:hAnsi="宋体" w:eastAsia="宋体" w:cs="宋体"/>
            </w:rPr>
            <w:fldChar w:fldCharType="separate"/>
          </w:r>
          <w:r>
            <w:rPr>
              <w:rFonts w:hint="eastAsia" w:ascii="宋体" w:hAnsi="宋体" w:eastAsia="宋体" w:cs="宋体"/>
            </w:rPr>
            <w:t>- 13 -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_Toc15941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三、构建新时代“五育并举”育人体系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_Toc15941 \h </w:instrText>
          </w:r>
          <w:r>
            <w:rPr>
              <w:rFonts w:hint="eastAsia" w:ascii="宋体" w:hAnsi="宋体" w:eastAsia="宋体" w:cs="宋体"/>
            </w:rPr>
            <w:fldChar w:fldCharType="separate"/>
          </w:r>
          <w:r>
            <w:rPr>
              <w:rFonts w:hint="eastAsia" w:ascii="宋体" w:hAnsi="宋体" w:eastAsia="宋体" w:cs="宋体"/>
            </w:rPr>
            <w:t>- 14 -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_Toc6247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四、健全家庭学校社会协同育人机制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_Toc6247 \h </w:instrText>
          </w:r>
          <w:r>
            <w:rPr>
              <w:rFonts w:hint="eastAsia" w:ascii="宋体" w:hAnsi="宋体" w:eastAsia="宋体" w:cs="宋体"/>
            </w:rPr>
            <w:fldChar w:fldCharType="separate"/>
          </w:r>
          <w:r>
            <w:rPr>
              <w:rFonts w:hint="eastAsia" w:ascii="宋体" w:hAnsi="宋体" w:eastAsia="宋体" w:cs="宋体"/>
            </w:rPr>
            <w:t>- 16 -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_Toc9262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五、推进学生身心健康全面发展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_Toc9262 \h </w:instrText>
          </w:r>
          <w:r>
            <w:rPr>
              <w:rFonts w:hint="eastAsia" w:ascii="宋体" w:hAnsi="宋体" w:eastAsia="宋体" w:cs="宋体"/>
            </w:rPr>
            <w:fldChar w:fldCharType="separate"/>
          </w:r>
          <w:r>
            <w:rPr>
              <w:rFonts w:hint="eastAsia" w:ascii="宋体" w:hAnsi="宋体" w:eastAsia="宋体" w:cs="宋体"/>
            </w:rPr>
            <w:t>- 17 -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b/>
              <w:bCs/>
            </w:rPr>
          </w:pPr>
          <w:r>
            <w:rPr>
              <w:rFonts w:hint="eastAsia" w:ascii="宋体" w:hAnsi="宋体" w:eastAsia="宋体" w:cs="宋体"/>
              <w:b/>
              <w:bCs/>
              <w:szCs w:val="30"/>
              <w:lang w:val="en-US" w:eastAsia="zh-CN"/>
            </w:rPr>
            <w:fldChar w:fldCharType="begin"/>
          </w:r>
          <w:r>
            <w:rPr>
              <w:rFonts w:hint="eastAsia" w:ascii="宋体" w:hAnsi="宋体" w:eastAsia="宋体" w:cs="宋体"/>
              <w:b/>
              <w:bCs/>
              <w:szCs w:val="30"/>
              <w:lang w:val="en-US" w:eastAsia="zh-CN"/>
            </w:rPr>
            <w:instrText xml:space="preserve"> HYPERLINK \l _Toc31876 </w:instrText>
          </w:r>
          <w:r>
            <w:rPr>
              <w:rFonts w:hint="eastAsia" w:ascii="宋体" w:hAnsi="宋体" w:eastAsia="宋体" w:cs="宋体"/>
              <w:b/>
              <w:bCs/>
              <w:szCs w:val="30"/>
              <w:lang w:val="en-US" w:eastAsia="zh-CN"/>
            </w:rPr>
            <w:fldChar w:fldCharType="separate"/>
          </w:r>
          <w:r>
            <w:rPr>
              <w:rFonts w:hint="eastAsia" w:ascii="宋体" w:hAnsi="宋体" w:eastAsia="宋体" w:cs="宋体"/>
              <w:b/>
              <w:bCs/>
              <w:lang w:val="en-US" w:eastAsia="zh-CN"/>
            </w:rPr>
            <w:t>第四章  推进各级各类教育高质量发展</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_Toc31876 \h </w:instrText>
          </w:r>
          <w:r>
            <w:rPr>
              <w:rFonts w:hint="eastAsia" w:ascii="宋体" w:hAnsi="宋体" w:eastAsia="宋体" w:cs="宋体"/>
              <w:b/>
              <w:bCs/>
            </w:rPr>
            <w:fldChar w:fldCharType="separate"/>
          </w:r>
          <w:r>
            <w:rPr>
              <w:rFonts w:hint="eastAsia" w:ascii="宋体" w:hAnsi="宋体" w:eastAsia="宋体" w:cs="宋体"/>
              <w:b/>
              <w:bCs/>
            </w:rPr>
            <w:t>- 18 -</w:t>
          </w:r>
          <w:r>
            <w:rPr>
              <w:rFonts w:hint="eastAsia" w:ascii="宋体" w:hAnsi="宋体" w:eastAsia="宋体" w:cs="宋体"/>
              <w:b/>
              <w:bCs/>
            </w:rPr>
            <w:fldChar w:fldCharType="end"/>
          </w:r>
          <w:r>
            <w:rPr>
              <w:rFonts w:hint="eastAsia" w:ascii="宋体" w:hAnsi="宋体" w:eastAsia="宋体" w:cs="宋体"/>
              <w:b/>
              <w:bCs/>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_Toc25075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一、推进学前教育普及普惠发展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_Toc25075 \h </w:instrText>
          </w:r>
          <w:r>
            <w:rPr>
              <w:rFonts w:hint="eastAsia" w:ascii="宋体" w:hAnsi="宋体" w:eastAsia="宋体" w:cs="宋体"/>
            </w:rPr>
            <w:fldChar w:fldCharType="separate"/>
          </w:r>
          <w:r>
            <w:rPr>
              <w:rFonts w:hint="eastAsia" w:ascii="宋体" w:hAnsi="宋体" w:eastAsia="宋体" w:cs="宋体"/>
            </w:rPr>
            <w:t>- 18 -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_Toc509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二、推进义务教育优质均衡发展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_Toc509 \h </w:instrText>
          </w:r>
          <w:r>
            <w:rPr>
              <w:rFonts w:hint="eastAsia" w:ascii="宋体" w:hAnsi="宋体" w:eastAsia="宋体" w:cs="宋体"/>
            </w:rPr>
            <w:fldChar w:fldCharType="separate"/>
          </w:r>
          <w:r>
            <w:rPr>
              <w:rFonts w:hint="eastAsia" w:ascii="宋体" w:hAnsi="宋体" w:eastAsia="宋体" w:cs="宋体"/>
            </w:rPr>
            <w:t>- 19 -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_Toc7627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三、推进普通高中教育优质特色发展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_Toc7627 \h </w:instrText>
          </w:r>
          <w:r>
            <w:rPr>
              <w:rFonts w:hint="eastAsia" w:ascii="宋体" w:hAnsi="宋体" w:eastAsia="宋体" w:cs="宋体"/>
            </w:rPr>
            <w:fldChar w:fldCharType="separate"/>
          </w:r>
          <w:r>
            <w:rPr>
              <w:rFonts w:hint="eastAsia" w:ascii="宋体" w:hAnsi="宋体" w:eastAsia="宋体" w:cs="宋体"/>
            </w:rPr>
            <w:t>- 21 -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_Toc20427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四、推进职业教育优质融合发展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_Toc20427 \h </w:instrText>
          </w:r>
          <w:r>
            <w:rPr>
              <w:rFonts w:hint="eastAsia" w:ascii="宋体" w:hAnsi="宋体" w:eastAsia="宋体" w:cs="宋体"/>
            </w:rPr>
            <w:fldChar w:fldCharType="separate"/>
          </w:r>
          <w:r>
            <w:rPr>
              <w:rFonts w:hint="eastAsia" w:ascii="宋体" w:hAnsi="宋体" w:eastAsia="宋体" w:cs="宋体"/>
            </w:rPr>
            <w:t>- 22 -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_Toc32253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五、关心支持特殊教育发展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_Toc32253 \h </w:instrText>
          </w:r>
          <w:r>
            <w:rPr>
              <w:rFonts w:hint="eastAsia" w:ascii="宋体" w:hAnsi="宋体" w:eastAsia="宋体" w:cs="宋体"/>
            </w:rPr>
            <w:fldChar w:fldCharType="separate"/>
          </w:r>
          <w:r>
            <w:rPr>
              <w:rFonts w:hint="eastAsia" w:ascii="宋体" w:hAnsi="宋体" w:eastAsia="宋体" w:cs="宋体"/>
            </w:rPr>
            <w:t>- 23 -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_Toc27012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六、推进民办教育规范化发展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_Toc27012 \h </w:instrText>
          </w:r>
          <w:r>
            <w:rPr>
              <w:rFonts w:hint="eastAsia" w:ascii="宋体" w:hAnsi="宋体" w:eastAsia="宋体" w:cs="宋体"/>
            </w:rPr>
            <w:fldChar w:fldCharType="separate"/>
          </w:r>
          <w:r>
            <w:rPr>
              <w:rFonts w:hint="eastAsia" w:ascii="宋体" w:hAnsi="宋体" w:eastAsia="宋体" w:cs="宋体"/>
            </w:rPr>
            <w:t>- 23 -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_Toc15495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七、持续推进终身教育建设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_Toc15495 \h </w:instrText>
          </w:r>
          <w:r>
            <w:rPr>
              <w:rFonts w:hint="eastAsia" w:ascii="宋体" w:hAnsi="宋体" w:eastAsia="宋体" w:cs="宋体"/>
            </w:rPr>
            <w:fldChar w:fldCharType="separate"/>
          </w:r>
          <w:r>
            <w:rPr>
              <w:rFonts w:hint="eastAsia" w:ascii="宋体" w:hAnsi="宋体" w:eastAsia="宋体" w:cs="宋体"/>
            </w:rPr>
            <w:t>- 24 -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b/>
              <w:bCs/>
            </w:rPr>
          </w:pPr>
          <w:r>
            <w:rPr>
              <w:rFonts w:hint="eastAsia" w:ascii="宋体" w:hAnsi="宋体" w:eastAsia="宋体" w:cs="宋体"/>
              <w:b/>
              <w:bCs/>
              <w:szCs w:val="30"/>
              <w:lang w:val="en-US" w:eastAsia="zh-CN"/>
            </w:rPr>
            <w:fldChar w:fldCharType="begin"/>
          </w:r>
          <w:r>
            <w:rPr>
              <w:rFonts w:hint="eastAsia" w:ascii="宋体" w:hAnsi="宋体" w:eastAsia="宋体" w:cs="宋体"/>
              <w:b/>
              <w:bCs/>
              <w:szCs w:val="30"/>
              <w:lang w:val="en-US" w:eastAsia="zh-CN"/>
            </w:rPr>
            <w:instrText xml:space="preserve"> HYPERLINK \l _Toc23269 </w:instrText>
          </w:r>
          <w:r>
            <w:rPr>
              <w:rFonts w:hint="eastAsia" w:ascii="宋体" w:hAnsi="宋体" w:eastAsia="宋体" w:cs="宋体"/>
              <w:b/>
              <w:bCs/>
              <w:szCs w:val="30"/>
              <w:lang w:val="en-US" w:eastAsia="zh-CN"/>
            </w:rPr>
            <w:fldChar w:fldCharType="separate"/>
          </w:r>
          <w:r>
            <w:rPr>
              <w:rFonts w:hint="eastAsia" w:ascii="宋体" w:hAnsi="宋体" w:eastAsia="宋体" w:cs="宋体"/>
              <w:b/>
              <w:bCs/>
              <w:lang w:val="en-US" w:eastAsia="zh-CN"/>
            </w:rPr>
            <w:t>第五章  推进体育事业高质量发展</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_Toc23269 \h </w:instrText>
          </w:r>
          <w:r>
            <w:rPr>
              <w:rFonts w:hint="eastAsia" w:ascii="宋体" w:hAnsi="宋体" w:eastAsia="宋体" w:cs="宋体"/>
              <w:b/>
              <w:bCs/>
            </w:rPr>
            <w:fldChar w:fldCharType="separate"/>
          </w:r>
          <w:r>
            <w:rPr>
              <w:rFonts w:hint="eastAsia" w:ascii="宋体" w:hAnsi="宋体" w:eastAsia="宋体" w:cs="宋体"/>
              <w:b/>
              <w:bCs/>
            </w:rPr>
            <w:t>- 24 -</w:t>
          </w:r>
          <w:r>
            <w:rPr>
              <w:rFonts w:hint="eastAsia" w:ascii="宋体" w:hAnsi="宋体" w:eastAsia="宋体" w:cs="宋体"/>
              <w:b/>
              <w:bCs/>
            </w:rPr>
            <w:fldChar w:fldCharType="end"/>
          </w:r>
          <w:r>
            <w:rPr>
              <w:rFonts w:hint="eastAsia" w:ascii="宋体" w:hAnsi="宋体" w:eastAsia="宋体" w:cs="宋体"/>
              <w:b/>
              <w:bCs/>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_Toc28934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一、优化全民健身服务体系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_Toc28934 \h </w:instrText>
          </w:r>
          <w:r>
            <w:rPr>
              <w:rFonts w:hint="eastAsia" w:ascii="宋体" w:hAnsi="宋体" w:eastAsia="宋体" w:cs="宋体"/>
            </w:rPr>
            <w:fldChar w:fldCharType="separate"/>
          </w:r>
          <w:r>
            <w:rPr>
              <w:rFonts w:hint="eastAsia" w:ascii="宋体" w:hAnsi="宋体" w:eastAsia="宋体" w:cs="宋体"/>
            </w:rPr>
            <w:t>- 25 -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_Toc29859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二、提升青少年体育综合水平</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_Toc29859 \h </w:instrText>
          </w:r>
          <w:r>
            <w:rPr>
              <w:rFonts w:hint="eastAsia" w:ascii="宋体" w:hAnsi="宋体" w:eastAsia="宋体" w:cs="宋体"/>
            </w:rPr>
            <w:fldChar w:fldCharType="separate"/>
          </w:r>
          <w:r>
            <w:rPr>
              <w:rFonts w:hint="eastAsia" w:ascii="宋体" w:hAnsi="宋体" w:eastAsia="宋体" w:cs="宋体"/>
            </w:rPr>
            <w:t>- 26 -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_Toc2749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三、加快体育产业融合发展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_Toc2749 \h </w:instrText>
          </w:r>
          <w:r>
            <w:rPr>
              <w:rFonts w:hint="eastAsia" w:ascii="宋体" w:hAnsi="宋体" w:eastAsia="宋体" w:cs="宋体"/>
            </w:rPr>
            <w:fldChar w:fldCharType="separate"/>
          </w:r>
          <w:r>
            <w:rPr>
              <w:rFonts w:hint="eastAsia" w:ascii="宋体" w:hAnsi="宋体" w:eastAsia="宋体" w:cs="宋体"/>
            </w:rPr>
            <w:t>- 27 -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b/>
              <w:bCs/>
            </w:rPr>
          </w:pPr>
          <w:r>
            <w:rPr>
              <w:rFonts w:hint="eastAsia" w:ascii="宋体" w:hAnsi="宋体" w:eastAsia="宋体" w:cs="宋体"/>
              <w:b/>
              <w:bCs/>
              <w:szCs w:val="30"/>
              <w:lang w:val="en-US" w:eastAsia="zh-CN"/>
            </w:rPr>
            <w:fldChar w:fldCharType="begin"/>
          </w:r>
          <w:r>
            <w:rPr>
              <w:rFonts w:hint="eastAsia" w:ascii="宋体" w:hAnsi="宋体" w:eastAsia="宋体" w:cs="宋体"/>
              <w:b/>
              <w:bCs/>
              <w:szCs w:val="30"/>
              <w:lang w:val="en-US" w:eastAsia="zh-CN"/>
            </w:rPr>
            <w:instrText xml:space="preserve"> HYPERLINK \l _Toc19662 </w:instrText>
          </w:r>
          <w:r>
            <w:rPr>
              <w:rFonts w:hint="eastAsia" w:ascii="宋体" w:hAnsi="宋体" w:eastAsia="宋体" w:cs="宋体"/>
              <w:b/>
              <w:bCs/>
              <w:szCs w:val="30"/>
              <w:lang w:val="en-US" w:eastAsia="zh-CN"/>
            </w:rPr>
            <w:fldChar w:fldCharType="separate"/>
          </w:r>
          <w:r>
            <w:rPr>
              <w:rFonts w:hint="eastAsia" w:ascii="宋体" w:hAnsi="宋体" w:eastAsia="宋体" w:cs="宋体"/>
              <w:b/>
              <w:bCs/>
              <w:lang w:val="en-US" w:eastAsia="zh-CN"/>
            </w:rPr>
            <w:t>第六章  推进重点领域高质量发展举措</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_Toc19662 \h </w:instrText>
          </w:r>
          <w:r>
            <w:rPr>
              <w:rFonts w:hint="eastAsia" w:ascii="宋体" w:hAnsi="宋体" w:eastAsia="宋体" w:cs="宋体"/>
              <w:b/>
              <w:bCs/>
            </w:rPr>
            <w:fldChar w:fldCharType="separate"/>
          </w:r>
          <w:r>
            <w:rPr>
              <w:rFonts w:hint="eastAsia" w:ascii="宋体" w:hAnsi="宋体" w:eastAsia="宋体" w:cs="宋体"/>
              <w:b/>
              <w:bCs/>
            </w:rPr>
            <w:t>- 27 -</w:t>
          </w:r>
          <w:r>
            <w:rPr>
              <w:rFonts w:hint="eastAsia" w:ascii="宋体" w:hAnsi="宋体" w:eastAsia="宋体" w:cs="宋体"/>
              <w:b/>
              <w:bCs/>
            </w:rPr>
            <w:fldChar w:fldCharType="end"/>
          </w:r>
          <w:r>
            <w:rPr>
              <w:rFonts w:hint="eastAsia" w:ascii="宋体" w:hAnsi="宋体" w:eastAsia="宋体" w:cs="宋体"/>
              <w:b/>
              <w:bCs/>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_Toc1005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一、推进新时代评价改革</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_Toc1005 \h </w:instrText>
          </w:r>
          <w:r>
            <w:rPr>
              <w:rFonts w:hint="eastAsia" w:ascii="宋体" w:hAnsi="宋体" w:eastAsia="宋体" w:cs="宋体"/>
            </w:rPr>
            <w:fldChar w:fldCharType="separate"/>
          </w:r>
          <w:r>
            <w:rPr>
              <w:rFonts w:hint="eastAsia" w:ascii="宋体" w:hAnsi="宋体" w:eastAsia="宋体" w:cs="宋体"/>
            </w:rPr>
            <w:t>- 27 -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_Toc1870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二、全面加强教师队伍建设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_Toc1870 \h </w:instrText>
          </w:r>
          <w:r>
            <w:rPr>
              <w:rFonts w:hint="eastAsia" w:ascii="宋体" w:hAnsi="宋体" w:eastAsia="宋体" w:cs="宋体"/>
            </w:rPr>
            <w:fldChar w:fldCharType="separate"/>
          </w:r>
          <w:r>
            <w:rPr>
              <w:rFonts w:hint="eastAsia" w:ascii="宋体" w:hAnsi="宋体" w:eastAsia="宋体" w:cs="宋体"/>
            </w:rPr>
            <w:t>- 28 -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_Toc24799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三、提升教育信息化水平</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_Toc24799 \h </w:instrText>
          </w:r>
          <w:r>
            <w:rPr>
              <w:rFonts w:hint="eastAsia" w:ascii="宋体" w:hAnsi="宋体" w:eastAsia="宋体" w:cs="宋体"/>
            </w:rPr>
            <w:fldChar w:fldCharType="separate"/>
          </w:r>
          <w:r>
            <w:rPr>
              <w:rFonts w:hint="eastAsia" w:ascii="宋体" w:hAnsi="宋体" w:eastAsia="宋体" w:cs="宋体"/>
            </w:rPr>
            <w:t>- 31 -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_Toc20288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四、推进教育治理现代化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_Toc20288 \h </w:instrText>
          </w:r>
          <w:r>
            <w:rPr>
              <w:rFonts w:hint="eastAsia" w:ascii="宋体" w:hAnsi="宋体" w:eastAsia="宋体" w:cs="宋体"/>
            </w:rPr>
            <w:fldChar w:fldCharType="separate"/>
          </w:r>
          <w:r>
            <w:rPr>
              <w:rFonts w:hint="eastAsia" w:ascii="宋体" w:hAnsi="宋体" w:eastAsia="宋体" w:cs="宋体"/>
            </w:rPr>
            <w:t>- 33 -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_Toc24655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五、优化学校安全管理体系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_Toc24655 \h </w:instrText>
          </w:r>
          <w:r>
            <w:rPr>
              <w:rFonts w:hint="eastAsia" w:ascii="宋体" w:hAnsi="宋体" w:eastAsia="宋体" w:cs="宋体"/>
            </w:rPr>
            <w:fldChar w:fldCharType="separate"/>
          </w:r>
          <w:r>
            <w:rPr>
              <w:rFonts w:hint="eastAsia" w:ascii="宋体" w:hAnsi="宋体" w:eastAsia="宋体" w:cs="宋体"/>
            </w:rPr>
            <w:t>- 35 -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_Toc28732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六、推动教育服务乡村振兴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_Toc28732 \h </w:instrText>
          </w:r>
          <w:r>
            <w:rPr>
              <w:rFonts w:hint="eastAsia" w:ascii="宋体" w:hAnsi="宋体" w:eastAsia="宋体" w:cs="宋体"/>
            </w:rPr>
            <w:fldChar w:fldCharType="separate"/>
          </w:r>
          <w:r>
            <w:rPr>
              <w:rFonts w:hint="eastAsia" w:ascii="宋体" w:hAnsi="宋体" w:eastAsia="宋体" w:cs="宋体"/>
            </w:rPr>
            <w:t>- 36 -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_Toc12311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七、加强体育健康融合发展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_Toc12311 \h </w:instrText>
          </w:r>
          <w:r>
            <w:rPr>
              <w:rFonts w:hint="eastAsia" w:ascii="宋体" w:hAnsi="宋体" w:eastAsia="宋体" w:cs="宋体"/>
            </w:rPr>
            <w:fldChar w:fldCharType="separate"/>
          </w:r>
          <w:r>
            <w:rPr>
              <w:rFonts w:hint="eastAsia" w:ascii="宋体" w:hAnsi="宋体" w:eastAsia="宋体" w:cs="宋体"/>
            </w:rPr>
            <w:t>- 37 -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b/>
              <w:bCs/>
            </w:rPr>
          </w:pPr>
          <w:r>
            <w:rPr>
              <w:rFonts w:hint="eastAsia" w:ascii="宋体" w:hAnsi="宋体" w:eastAsia="宋体" w:cs="宋体"/>
              <w:b/>
              <w:bCs/>
              <w:szCs w:val="30"/>
              <w:lang w:val="en-US" w:eastAsia="zh-CN"/>
            </w:rPr>
            <w:fldChar w:fldCharType="begin"/>
          </w:r>
          <w:r>
            <w:rPr>
              <w:rFonts w:hint="eastAsia" w:ascii="宋体" w:hAnsi="宋体" w:eastAsia="宋体" w:cs="宋体"/>
              <w:b/>
              <w:bCs/>
              <w:szCs w:val="30"/>
              <w:lang w:val="en-US" w:eastAsia="zh-CN"/>
            </w:rPr>
            <w:instrText xml:space="preserve"> HYPERLINK \l _Toc14028 </w:instrText>
          </w:r>
          <w:r>
            <w:rPr>
              <w:rFonts w:hint="eastAsia" w:ascii="宋体" w:hAnsi="宋体" w:eastAsia="宋体" w:cs="宋体"/>
              <w:b/>
              <w:bCs/>
              <w:szCs w:val="30"/>
              <w:lang w:val="en-US" w:eastAsia="zh-CN"/>
            </w:rPr>
            <w:fldChar w:fldCharType="separate"/>
          </w:r>
          <w:r>
            <w:rPr>
              <w:rFonts w:hint="eastAsia" w:ascii="宋体" w:hAnsi="宋体" w:eastAsia="宋体" w:cs="宋体"/>
              <w:b/>
              <w:bCs/>
              <w:lang w:val="en-US" w:eastAsia="zh-CN"/>
            </w:rPr>
            <w:t>第七章  加强党对教体工作的全面领导</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_Toc14028 \h </w:instrText>
          </w:r>
          <w:r>
            <w:rPr>
              <w:rFonts w:hint="eastAsia" w:ascii="宋体" w:hAnsi="宋体" w:eastAsia="宋体" w:cs="宋体"/>
              <w:b/>
              <w:bCs/>
            </w:rPr>
            <w:fldChar w:fldCharType="separate"/>
          </w:r>
          <w:r>
            <w:rPr>
              <w:rFonts w:hint="eastAsia" w:ascii="宋体" w:hAnsi="宋体" w:eastAsia="宋体" w:cs="宋体"/>
              <w:b/>
              <w:bCs/>
            </w:rPr>
            <w:t>- 37 -</w:t>
          </w:r>
          <w:r>
            <w:rPr>
              <w:rFonts w:hint="eastAsia" w:ascii="宋体" w:hAnsi="宋体" w:eastAsia="宋体" w:cs="宋体"/>
              <w:b/>
              <w:bCs/>
            </w:rPr>
            <w:fldChar w:fldCharType="end"/>
          </w:r>
          <w:r>
            <w:rPr>
              <w:rFonts w:hint="eastAsia" w:ascii="宋体" w:hAnsi="宋体" w:eastAsia="宋体" w:cs="宋体"/>
              <w:b/>
              <w:bCs/>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_Toc20557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一、发挥党的领导核心作用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_Toc20557 \h </w:instrText>
          </w:r>
          <w:r>
            <w:rPr>
              <w:rFonts w:hint="eastAsia" w:ascii="宋体" w:hAnsi="宋体" w:eastAsia="宋体" w:cs="宋体"/>
            </w:rPr>
            <w:fldChar w:fldCharType="separate"/>
          </w:r>
          <w:r>
            <w:rPr>
              <w:rFonts w:hint="eastAsia" w:ascii="宋体" w:hAnsi="宋体" w:eastAsia="宋体" w:cs="宋体"/>
            </w:rPr>
            <w:t>- 37 -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_Toc14748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二、加强教体系统基层党组织建设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_Toc14748 \h </w:instrText>
          </w:r>
          <w:r>
            <w:rPr>
              <w:rFonts w:hint="eastAsia" w:ascii="宋体" w:hAnsi="宋体" w:eastAsia="宋体" w:cs="宋体"/>
            </w:rPr>
            <w:fldChar w:fldCharType="separate"/>
          </w:r>
          <w:r>
            <w:rPr>
              <w:rFonts w:hint="eastAsia" w:ascii="宋体" w:hAnsi="宋体" w:eastAsia="宋体" w:cs="宋体"/>
            </w:rPr>
            <w:t>- 38 -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_Toc24622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三、完善学校党建管理体制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_Toc24622 \h </w:instrText>
          </w:r>
          <w:r>
            <w:rPr>
              <w:rFonts w:hint="eastAsia" w:ascii="宋体" w:hAnsi="宋体" w:eastAsia="宋体" w:cs="宋体"/>
            </w:rPr>
            <w:fldChar w:fldCharType="separate"/>
          </w:r>
          <w:r>
            <w:rPr>
              <w:rFonts w:hint="eastAsia" w:ascii="宋体" w:hAnsi="宋体" w:eastAsia="宋体" w:cs="宋体"/>
            </w:rPr>
            <w:t>- 38 -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b/>
              <w:bCs/>
            </w:rPr>
          </w:pPr>
          <w:r>
            <w:rPr>
              <w:rFonts w:hint="eastAsia" w:ascii="宋体" w:hAnsi="宋体" w:eastAsia="宋体" w:cs="宋体"/>
              <w:b/>
              <w:bCs/>
              <w:szCs w:val="30"/>
              <w:lang w:val="en-US" w:eastAsia="zh-CN"/>
            </w:rPr>
            <w:fldChar w:fldCharType="begin"/>
          </w:r>
          <w:r>
            <w:rPr>
              <w:rFonts w:hint="eastAsia" w:ascii="宋体" w:hAnsi="宋体" w:eastAsia="宋体" w:cs="宋体"/>
              <w:b/>
              <w:bCs/>
              <w:szCs w:val="30"/>
              <w:lang w:val="en-US" w:eastAsia="zh-CN"/>
            </w:rPr>
            <w:instrText xml:space="preserve"> HYPERLINK \l _Toc31018 </w:instrText>
          </w:r>
          <w:r>
            <w:rPr>
              <w:rFonts w:hint="eastAsia" w:ascii="宋体" w:hAnsi="宋体" w:eastAsia="宋体" w:cs="宋体"/>
              <w:b/>
              <w:bCs/>
              <w:szCs w:val="30"/>
              <w:lang w:val="en-US" w:eastAsia="zh-CN"/>
            </w:rPr>
            <w:fldChar w:fldCharType="separate"/>
          </w:r>
          <w:r>
            <w:rPr>
              <w:rFonts w:hint="eastAsia" w:ascii="宋体" w:hAnsi="宋体" w:eastAsia="宋体" w:cs="宋体"/>
              <w:b/>
              <w:bCs/>
              <w:lang w:val="en-US" w:eastAsia="zh-CN"/>
            </w:rPr>
            <w:t>第八章  保障措施</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_Toc31018 \h </w:instrText>
          </w:r>
          <w:r>
            <w:rPr>
              <w:rFonts w:hint="eastAsia" w:ascii="宋体" w:hAnsi="宋体" w:eastAsia="宋体" w:cs="宋体"/>
              <w:b/>
              <w:bCs/>
            </w:rPr>
            <w:fldChar w:fldCharType="separate"/>
          </w:r>
          <w:r>
            <w:rPr>
              <w:rFonts w:hint="eastAsia" w:ascii="宋体" w:hAnsi="宋体" w:eastAsia="宋体" w:cs="宋体"/>
              <w:b/>
              <w:bCs/>
            </w:rPr>
            <w:t>- 39 -</w:t>
          </w:r>
          <w:r>
            <w:rPr>
              <w:rFonts w:hint="eastAsia" w:ascii="宋体" w:hAnsi="宋体" w:eastAsia="宋体" w:cs="宋体"/>
              <w:b/>
              <w:bCs/>
            </w:rPr>
            <w:fldChar w:fldCharType="end"/>
          </w:r>
          <w:r>
            <w:rPr>
              <w:rFonts w:hint="eastAsia" w:ascii="宋体" w:hAnsi="宋体" w:eastAsia="宋体" w:cs="宋体"/>
              <w:b/>
              <w:bCs/>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_Toc11151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一、强化组织领导</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_Toc11151 \h </w:instrText>
          </w:r>
          <w:r>
            <w:rPr>
              <w:rFonts w:hint="eastAsia" w:ascii="宋体" w:hAnsi="宋体" w:eastAsia="宋体" w:cs="宋体"/>
            </w:rPr>
            <w:fldChar w:fldCharType="separate"/>
          </w:r>
          <w:r>
            <w:rPr>
              <w:rFonts w:hint="eastAsia" w:ascii="宋体" w:hAnsi="宋体" w:eastAsia="宋体" w:cs="宋体"/>
            </w:rPr>
            <w:t>- 39 -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_Toc29188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二、强化规划实施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_Toc29188 \h </w:instrText>
          </w:r>
          <w:r>
            <w:rPr>
              <w:rFonts w:hint="eastAsia" w:ascii="宋体" w:hAnsi="宋体" w:eastAsia="宋体" w:cs="宋体"/>
            </w:rPr>
            <w:fldChar w:fldCharType="separate"/>
          </w:r>
          <w:r>
            <w:rPr>
              <w:rFonts w:hint="eastAsia" w:ascii="宋体" w:hAnsi="宋体" w:eastAsia="宋体" w:cs="宋体"/>
            </w:rPr>
            <w:t>- 39 -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_Toc17580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三、强化项目支撑</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_Toc17580 \h </w:instrText>
          </w:r>
          <w:r>
            <w:rPr>
              <w:rFonts w:hint="eastAsia" w:ascii="宋体" w:hAnsi="宋体" w:eastAsia="宋体" w:cs="宋体"/>
            </w:rPr>
            <w:fldChar w:fldCharType="separate"/>
          </w:r>
          <w:r>
            <w:rPr>
              <w:rFonts w:hint="eastAsia" w:ascii="宋体" w:hAnsi="宋体" w:eastAsia="宋体" w:cs="宋体"/>
            </w:rPr>
            <w:t>- 40 -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szCs w:val="30"/>
              <w:lang w:val="en-US" w:eastAsia="zh-CN"/>
            </w:rPr>
            <w:fldChar w:fldCharType="begin"/>
          </w:r>
          <w:r>
            <w:rPr>
              <w:rFonts w:hint="eastAsia" w:ascii="宋体" w:hAnsi="宋体" w:eastAsia="宋体" w:cs="宋体"/>
              <w:szCs w:val="30"/>
              <w:lang w:val="en-US" w:eastAsia="zh-CN"/>
            </w:rPr>
            <w:instrText xml:space="preserve"> HYPERLINK \l _Toc24014 </w:instrText>
          </w:r>
          <w:r>
            <w:rPr>
              <w:rFonts w:hint="eastAsia" w:ascii="宋体" w:hAnsi="宋体" w:eastAsia="宋体" w:cs="宋体"/>
              <w:szCs w:val="30"/>
              <w:lang w:val="en-US" w:eastAsia="zh-CN"/>
            </w:rPr>
            <w:fldChar w:fldCharType="separate"/>
          </w:r>
          <w:r>
            <w:rPr>
              <w:rFonts w:hint="eastAsia" w:ascii="宋体" w:hAnsi="宋体" w:eastAsia="宋体" w:cs="宋体"/>
              <w:lang w:val="en-US" w:eastAsia="zh-CN"/>
            </w:rPr>
            <w:t>四、营造良好氛围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_Toc24014 \h </w:instrText>
          </w:r>
          <w:r>
            <w:rPr>
              <w:rFonts w:hint="eastAsia" w:ascii="宋体" w:hAnsi="宋体" w:eastAsia="宋体" w:cs="宋体"/>
            </w:rPr>
            <w:fldChar w:fldCharType="separate"/>
          </w:r>
          <w:r>
            <w:rPr>
              <w:rFonts w:hint="eastAsia" w:ascii="宋体" w:hAnsi="宋体" w:eastAsia="宋体" w:cs="宋体"/>
            </w:rPr>
            <w:t>- 40 -</w:t>
          </w:r>
          <w:r>
            <w:rPr>
              <w:rFonts w:hint="eastAsia" w:ascii="宋体" w:hAnsi="宋体" w:eastAsia="宋体" w:cs="宋体"/>
            </w:rPr>
            <w:fldChar w:fldCharType="end"/>
          </w:r>
          <w:r>
            <w:rPr>
              <w:rFonts w:hint="eastAsia" w:ascii="宋体" w:hAnsi="宋体" w:eastAsia="宋体" w:cs="宋体"/>
              <w:szCs w:val="30"/>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Cs w:val="30"/>
              <w:lang w:val="en-US" w:eastAsia="zh-CN"/>
            </w:rPr>
            <w:fldChar w:fldCharType="end"/>
          </w:r>
        </w:p>
      </w:sdtContent>
    </w:sdt>
    <w:p>
      <w:pPr>
        <w:pStyle w:val="2"/>
        <w:rPr>
          <w:rFonts w:hint="eastAsia" w:ascii="仿宋" w:hAnsi="仿宋" w:eastAsia="仿宋" w:cs="仿宋"/>
          <w:lang w:val="en-US" w:eastAsia="zh-CN"/>
        </w:rPr>
      </w:pPr>
    </w:p>
    <w:p>
      <w:pPr>
        <w:pStyle w:val="2"/>
        <w:rPr>
          <w:rFonts w:hint="eastAsia" w:ascii="仿宋" w:hAnsi="仿宋" w:eastAsia="仿宋" w:cs="仿宋"/>
          <w:lang w:val="en-US" w:eastAsia="zh-CN"/>
        </w:rPr>
        <w:sectPr>
          <w:footerReference r:id="rId6" w:type="default"/>
          <w:pgSz w:w="11906" w:h="16838"/>
          <w:pgMar w:top="2098" w:right="1474" w:bottom="1984" w:left="1587" w:header="851" w:footer="992" w:gutter="0"/>
          <w:pgNumType w:fmt="numberInDash" w:start="1"/>
          <w:cols w:space="425" w:num="1"/>
          <w:docGrid w:type="lines" w:linePitch="312" w:charSpace="0"/>
        </w:sectPr>
      </w:pP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lang w:val="en-US" w:eastAsia="zh-CN"/>
        </w:rPr>
        <w:t>为加快推进教育体育现代化，构建高质量教育体系，不断满足人民群众多层次、多样化的教育体育公共服务需求，依据《陕西省教育事业发展“十四五”规划》《陕西省“十四五”体育事业发展规划》《陕西教育现代化2035》《安康市教育体育事业发展“十四五”规划》《紫阳县国民经济和社会发展第十四个五年规划和二〇三五年远景目标纲要》，制定本规划</w:t>
      </w:r>
      <w:r>
        <w:rPr>
          <w:rFonts w:hint="eastAsia" w:ascii="仿宋_GB2312" w:hAnsi="仿宋_GB2312" w:eastAsia="仿宋_GB2312" w:cs="仿宋_GB2312"/>
          <w:color w:val="000000"/>
          <w:kern w:val="2"/>
          <w:sz w:val="32"/>
          <w:szCs w:val="32"/>
          <w:lang w:val="en-US" w:eastAsia="zh-CN" w:bidi="ar"/>
        </w:rPr>
        <w:t>。</w:t>
      </w:r>
    </w:p>
    <w:p>
      <w:pPr>
        <w:pStyle w:val="3"/>
        <w:pageBreakBefore w:val="0"/>
        <w:widowControl w:val="0"/>
        <w:kinsoku/>
        <w:wordWrap/>
        <w:overflowPunct/>
        <w:topLinePunct w:val="0"/>
        <w:autoSpaceDE/>
        <w:autoSpaceDN/>
        <w:bidi w:val="0"/>
        <w:adjustRightInd/>
        <w:snapToGrid/>
        <w:spacing w:line="560" w:lineRule="exact"/>
        <w:jc w:val="center"/>
        <w:textAlignment w:val="auto"/>
        <w:rPr>
          <w:rFonts w:hint="default"/>
          <w:b w:val="0"/>
          <w:bCs/>
          <w:sz w:val="32"/>
          <w:szCs w:val="32"/>
          <w:lang w:val="en-US" w:eastAsia="zh-CN"/>
        </w:rPr>
      </w:pPr>
      <w:bookmarkStart w:id="0" w:name="_Toc19260"/>
      <w:bookmarkStart w:id="1" w:name="_Toc16092"/>
      <w:r>
        <w:rPr>
          <w:rFonts w:hint="eastAsia"/>
          <w:b w:val="0"/>
          <w:bCs/>
          <w:sz w:val="32"/>
          <w:szCs w:val="32"/>
          <w:lang w:eastAsia="zh-CN"/>
        </w:rPr>
        <w:t>第一章</w:t>
      </w:r>
      <w:bookmarkEnd w:id="0"/>
      <w:r>
        <w:rPr>
          <w:rFonts w:hint="eastAsia"/>
          <w:b w:val="0"/>
          <w:bCs/>
          <w:sz w:val="32"/>
          <w:szCs w:val="32"/>
          <w:lang w:val="en-US" w:eastAsia="zh-CN"/>
        </w:rPr>
        <w:t xml:space="preserve">  </w:t>
      </w:r>
      <w:r>
        <w:rPr>
          <w:rFonts w:hint="eastAsia"/>
          <w:b w:val="0"/>
          <w:bCs/>
          <w:sz w:val="32"/>
          <w:szCs w:val="32"/>
        </w:rPr>
        <w:t>“十</w:t>
      </w:r>
      <w:r>
        <w:rPr>
          <w:rFonts w:hint="eastAsia"/>
          <w:b w:val="0"/>
          <w:bCs/>
          <w:sz w:val="32"/>
          <w:szCs w:val="32"/>
          <w:lang w:eastAsia="zh-CN"/>
        </w:rPr>
        <w:t>三</w:t>
      </w:r>
      <w:r>
        <w:rPr>
          <w:rFonts w:hint="eastAsia"/>
          <w:b w:val="0"/>
          <w:bCs/>
          <w:sz w:val="32"/>
          <w:szCs w:val="32"/>
        </w:rPr>
        <w:t>五”</w:t>
      </w:r>
      <w:r>
        <w:rPr>
          <w:rFonts w:hint="eastAsia"/>
          <w:b w:val="0"/>
          <w:bCs/>
          <w:sz w:val="32"/>
          <w:szCs w:val="32"/>
          <w:lang w:val="en-US" w:eastAsia="zh-CN"/>
        </w:rPr>
        <w:t>期间紫阳教育体育事业发展情况</w:t>
      </w:r>
      <w:bookmarkEnd w:id="1"/>
    </w:p>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eastAsia="zh-CN"/>
        </w:rPr>
      </w:pPr>
      <w:bookmarkStart w:id="2" w:name="_Toc27959"/>
      <w:r>
        <w:rPr>
          <w:rFonts w:hint="eastAsia" w:ascii="楷体_GB2312" w:hAnsi="楷体_GB2312" w:eastAsia="楷体_GB2312" w:cs="楷体_GB2312"/>
          <w:lang w:val="en-US" w:eastAsia="zh-CN"/>
        </w:rPr>
        <w:t>一、</w:t>
      </w:r>
      <w:r>
        <w:rPr>
          <w:rFonts w:hint="eastAsia" w:ascii="楷体_GB2312" w:hAnsi="楷体_GB2312" w:eastAsia="楷体_GB2312" w:cs="楷体_GB2312"/>
        </w:rPr>
        <w:t>发展</w:t>
      </w:r>
      <w:r>
        <w:rPr>
          <w:rFonts w:hint="eastAsia" w:ascii="楷体_GB2312" w:hAnsi="楷体_GB2312" w:eastAsia="楷体_GB2312" w:cs="楷体_GB2312"/>
          <w:lang w:eastAsia="zh-CN"/>
        </w:rPr>
        <w:t>成就</w:t>
      </w:r>
      <w:bookmarkEnd w:id="2"/>
    </w:p>
    <w:p>
      <w:pPr>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十三五”时期，紫阳县委、县政府坚持以习近平新时代中国特色社会主义思想为指导，坚持党的教育方针，认真贯彻落实中省市教育体育决策部署，全面加强党对教育体育工作的领导，始终坚持促进教育公平、提高教育质量，不断深化教育领域综合改革，全面加强教育环境建设，落实素质教育，统筹推进紫阳教育现代化。扎实推进全民健身、青少年体育、体育产业发展，为全县经济社会发展作出了重要贡献。</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党对教育工作的领导不断加强。</w:t>
      </w:r>
      <w:r>
        <w:rPr>
          <w:rFonts w:hint="eastAsia" w:ascii="仿宋_GB2312" w:hAnsi="仿宋_GB2312" w:eastAsia="仿宋_GB2312" w:cs="仿宋_GB2312"/>
          <w:lang w:val="en-US" w:eastAsia="zh-CN"/>
        </w:rPr>
        <w:t>县委、县政府认真贯彻党的教育方针，加强党的建设，成立县教育工作领导小组，保证党对紫阳教育工作的领导。县级主要领导和分管领导常态化深入教育行政部门、学校调研，为师生上党课，研究教育改革发展问题。全面落实从严治党主体责任，将党建与教育工作同谋划、同部署、同推进、同考核。进一步健全县教体科技局党委领导的校长负责制，实现“两个全覆盖”。严格执行“三会一课”制度，规范基层党建工作。成立党风廉政建设领导小组，针对教育领域突出问题，印发《全县教育系统加强作风建设切实解决反映突出问题专项整治工作方案》，全面落实具体政治责任，营造风清气正的育人环境。</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各级各类教育加速发展。</w:t>
      </w:r>
      <w:r>
        <w:rPr>
          <w:rFonts w:hint="eastAsia" w:ascii="仿宋_GB2312" w:hAnsi="仿宋_GB2312" w:eastAsia="仿宋_GB2312" w:cs="仿宋_GB2312"/>
          <w:lang w:val="en-US" w:eastAsia="zh-CN"/>
        </w:rPr>
        <w:t>学前教育普及普惠发展成效明显，</w:t>
      </w:r>
      <w:r>
        <w:rPr>
          <w:rFonts w:hint="eastAsia" w:ascii="仿宋_GB2312" w:hAnsi="仿宋_GB2312" w:eastAsia="仿宋_GB2312" w:cs="仿宋_GB2312"/>
        </w:rPr>
        <w:t>全县普惠性幼儿园占比</w:t>
      </w:r>
      <w:r>
        <w:rPr>
          <w:rFonts w:hint="eastAsia" w:ascii="仿宋_GB2312" w:hAnsi="仿宋_GB2312" w:eastAsia="仿宋_GB2312" w:cs="仿宋_GB2312"/>
          <w:lang w:eastAsia="zh-CN"/>
        </w:rPr>
        <w:t>达到</w:t>
      </w:r>
      <w:r>
        <w:rPr>
          <w:rFonts w:hint="eastAsia" w:ascii="仿宋_GB2312" w:hAnsi="仿宋_GB2312" w:eastAsia="仿宋_GB2312" w:cs="仿宋_GB2312"/>
          <w:lang w:val="en-US" w:eastAsia="zh-CN"/>
        </w:rPr>
        <w:t>91.42</w:t>
      </w:r>
      <w:r>
        <w:rPr>
          <w:rFonts w:hint="eastAsia" w:ascii="仿宋_GB2312" w:hAnsi="仿宋_GB2312" w:eastAsia="仿宋_GB2312" w:cs="仿宋_GB2312"/>
        </w:rPr>
        <w:t>%</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学前三年毛入园率达92.5%，分别较“十二五”末期提高了41.42和3.38个百分点。</w:t>
      </w:r>
      <w:r>
        <w:rPr>
          <w:rFonts w:hint="eastAsia" w:ascii="仿宋_GB2312" w:hAnsi="仿宋_GB2312" w:eastAsia="仿宋_GB2312" w:cs="仿宋_GB2312"/>
          <w:sz w:val="32"/>
          <w:szCs w:val="32"/>
          <w:lang w:val="en-US" w:eastAsia="zh-CN"/>
        </w:rPr>
        <w:t>义务教育办学资源均衡配置不断深化</w:t>
      </w:r>
      <w:r>
        <w:rPr>
          <w:rFonts w:hint="eastAsia" w:ascii="仿宋_GB2312" w:hAnsi="仿宋_GB2312" w:eastAsia="仿宋_GB2312" w:cs="仿宋_GB2312"/>
          <w:lang w:val="en-US" w:eastAsia="zh-CN"/>
        </w:rPr>
        <w:t>，义务教育净入学率100%，巩固率达99.97%，2017年获评全国义务教育发展基本均衡县，县政府被省政府评为全省义务教育基本均衡发展先进单位</w:t>
      </w:r>
      <w:r>
        <w:rPr>
          <w:rFonts w:hint="eastAsia" w:ascii="仿宋_GB2312" w:hAnsi="仿宋_GB2312" w:eastAsia="仿宋_GB2312" w:cs="仿宋_GB2312"/>
          <w:lang w:eastAsia="zh-CN"/>
        </w:rPr>
        <w:t>。高中阶段毛入学率达</w:t>
      </w:r>
      <w:r>
        <w:rPr>
          <w:rFonts w:hint="eastAsia" w:ascii="仿宋_GB2312" w:hAnsi="仿宋_GB2312" w:eastAsia="仿宋_GB2312" w:cs="仿宋_GB2312"/>
          <w:lang w:val="en-US" w:eastAsia="zh-CN"/>
        </w:rPr>
        <w:t>98.25%，高考二本以上达线人数连续十四年保持增长。持续补强短板弱项，顺利通过陕西省“双高双普”合格县评估验收。</w:t>
      </w:r>
      <w:r>
        <w:rPr>
          <w:rFonts w:hint="eastAsia" w:ascii="仿宋_GB2312" w:hAnsi="仿宋_GB2312" w:eastAsia="仿宋_GB2312" w:cs="仿宋_GB2312"/>
          <w:sz w:val="32"/>
          <w:szCs w:val="32"/>
          <w:lang w:eastAsia="zh-CN"/>
        </w:rPr>
        <w:t>中职教育办学水平稳步提高，完成职普比4:6招生任务。职业教育主动适应市场变化和外部用工需求，积极打造技能脱贫的创新“紫阳模式”，产生了一系列良好的经济效益和积极的社会效果。</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办学条件持续改善。</w:t>
      </w:r>
      <w:r>
        <w:rPr>
          <w:rFonts w:hint="eastAsia" w:ascii="仿宋_GB2312" w:hAnsi="仿宋_GB2312" w:eastAsia="仿宋_GB2312" w:cs="仿宋_GB2312"/>
          <w:lang w:val="en-US" w:eastAsia="zh-CN"/>
        </w:rPr>
        <w:t>“十三五”期间，紫阳全县开展教育建设项目160个，累计投入资金8亿余元。学校布局更趋合理，基础设施持续推进，建设学位供给稳步增加，先后完成县文体活动中心、紫阳县第二小学、城关镇中心学校建设工程及毛坝中学、紫阳中学初中部扩建工程，截至2020年底，紫阳县共有111所，其中高级中学1所，完全中学1所，中等职业学校1所；义务教育学校73所，其中：初级中学9所，九年一贯制学校9所，完全小学39所，教学点15个，特殊教育学校1所；幼儿园35所，其中：公办幼儿园22所，民办幼儿园13所，在校学生4.74万人。持续加大学校标准化建设投入，积极补齐教学仪器、计算机、多媒体设备、实验器材等教学设施设备；全面实施农村薄弱学校改造计划，着力补齐学校教室、运动场、活动场地、围墙等硬件“短板”，校园面貌焕然一新，学校办学条件得到根本性改善。</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教育扶贫成效显著。</w:t>
      </w:r>
      <w:r>
        <w:rPr>
          <w:rFonts w:hint="eastAsia" w:ascii="仿宋_GB2312" w:hAnsi="仿宋_GB2312" w:eastAsia="仿宋_GB2312" w:cs="仿宋_GB2312"/>
          <w:color w:val="000000" w:themeColor="text1"/>
          <w:szCs w:val="32"/>
          <w14:textFill>
            <w14:solidFill>
              <w14:schemeClr w14:val="tx1"/>
            </w14:solidFill>
          </w14:textFill>
        </w:rPr>
        <w:t>严格落实控辍保学</w:t>
      </w:r>
      <w:r>
        <w:rPr>
          <w:rFonts w:hint="eastAsia" w:ascii="仿宋_GB2312" w:hAnsi="仿宋_GB2312" w:eastAsia="仿宋_GB2312" w:cs="仿宋_GB2312"/>
          <w:color w:val="000000" w:themeColor="text1"/>
          <w:szCs w:val="32"/>
          <w:lang w:eastAsia="zh-CN"/>
          <w14:textFill>
            <w14:solidFill>
              <w14:schemeClr w14:val="tx1"/>
            </w14:solidFill>
          </w14:textFill>
        </w:rPr>
        <w:t>“</w:t>
      </w:r>
      <w:r>
        <w:rPr>
          <w:rFonts w:hint="eastAsia" w:ascii="仿宋_GB2312" w:hAnsi="仿宋_GB2312" w:eastAsia="仿宋_GB2312" w:cs="仿宋_GB2312"/>
          <w:color w:val="000000" w:themeColor="text1"/>
          <w:szCs w:val="32"/>
          <w14:textFill>
            <w14:solidFill>
              <w14:schemeClr w14:val="tx1"/>
            </w14:solidFill>
          </w14:textFill>
        </w:rPr>
        <w:t>双线七长</w:t>
      </w:r>
      <w:r>
        <w:rPr>
          <w:rFonts w:hint="eastAsia" w:ascii="仿宋_GB2312" w:hAnsi="仿宋_GB2312" w:eastAsia="仿宋_GB2312" w:cs="仿宋_GB2312"/>
          <w:color w:val="000000" w:themeColor="text1"/>
          <w:szCs w:val="32"/>
          <w:lang w:eastAsia="zh-CN"/>
          <w14:textFill>
            <w14:solidFill>
              <w14:schemeClr w14:val="tx1"/>
            </w14:solidFill>
          </w14:textFill>
        </w:rPr>
        <w:t>”</w:t>
      </w:r>
      <w:r>
        <w:rPr>
          <w:rFonts w:hint="eastAsia" w:ascii="仿宋_GB2312" w:hAnsi="仿宋_GB2312" w:eastAsia="仿宋_GB2312" w:cs="仿宋_GB2312"/>
          <w:color w:val="000000" w:themeColor="text1"/>
          <w:szCs w:val="32"/>
          <w14:textFill>
            <w14:solidFill>
              <w14:schemeClr w14:val="tx1"/>
            </w14:solidFill>
          </w14:textFill>
        </w:rPr>
        <w:t>责任制和</w:t>
      </w:r>
      <w:r>
        <w:rPr>
          <w:rFonts w:hint="eastAsia" w:ascii="仿宋_GB2312" w:hAnsi="仿宋_GB2312" w:eastAsia="仿宋_GB2312" w:cs="仿宋_GB2312"/>
          <w:color w:val="000000" w:themeColor="text1"/>
          <w:szCs w:val="32"/>
          <w:lang w:eastAsia="zh-CN"/>
          <w14:textFill>
            <w14:solidFill>
              <w14:schemeClr w14:val="tx1"/>
            </w14:solidFill>
          </w14:textFill>
        </w:rPr>
        <w:t>“</w:t>
      </w:r>
      <w:r>
        <w:rPr>
          <w:rFonts w:hint="eastAsia" w:ascii="仿宋_GB2312" w:hAnsi="仿宋_GB2312" w:eastAsia="仿宋_GB2312" w:cs="仿宋_GB2312"/>
          <w:color w:val="000000" w:themeColor="text1"/>
          <w:szCs w:val="32"/>
          <w14:textFill>
            <w14:solidFill>
              <w14:schemeClr w14:val="tx1"/>
            </w14:solidFill>
          </w14:textFill>
        </w:rPr>
        <w:t>九条措施</w:t>
      </w:r>
      <w:r>
        <w:rPr>
          <w:rFonts w:hint="eastAsia" w:ascii="仿宋_GB2312" w:hAnsi="仿宋_GB2312" w:eastAsia="仿宋_GB2312" w:cs="仿宋_GB2312"/>
          <w:color w:val="000000" w:themeColor="text1"/>
          <w:szCs w:val="32"/>
          <w:lang w:eastAsia="zh-CN"/>
          <w14:textFill>
            <w14:solidFill>
              <w14:schemeClr w14:val="tx1"/>
            </w14:solidFill>
          </w14:textFill>
        </w:rPr>
        <w:t>”，</w:t>
      </w:r>
      <w:r>
        <w:rPr>
          <w:rFonts w:hint="eastAsia" w:ascii="仿宋_GB2312" w:hAnsi="仿宋_GB2312" w:eastAsia="仿宋_GB2312" w:cs="仿宋_GB2312"/>
          <w:color w:val="000000" w:themeColor="text1"/>
          <w:szCs w:val="24"/>
          <w14:textFill>
            <w14:solidFill>
              <w14:schemeClr w14:val="tx1"/>
            </w14:solidFill>
          </w14:textFill>
        </w:rPr>
        <w:t>建立完整的助学体系，</w:t>
      </w:r>
      <w:r>
        <w:rPr>
          <w:rFonts w:hint="eastAsia" w:ascii="仿宋_GB2312" w:hAnsi="仿宋_GB2312" w:eastAsia="仿宋_GB2312" w:cs="仿宋_GB2312"/>
          <w:color w:val="000000" w:themeColor="text1"/>
          <w:szCs w:val="24"/>
          <w:lang w:eastAsia="zh-CN"/>
          <w14:textFill>
            <w14:solidFill>
              <w14:schemeClr w14:val="tx1"/>
            </w14:solidFill>
          </w14:textFill>
        </w:rPr>
        <w:t>规范资金管理，</w:t>
      </w:r>
      <w:r>
        <w:rPr>
          <w:rFonts w:hint="eastAsia" w:ascii="仿宋_GB2312" w:hAnsi="仿宋_GB2312" w:eastAsia="仿宋_GB2312" w:cs="仿宋_GB2312"/>
          <w:color w:val="000000" w:themeColor="text1"/>
          <w:szCs w:val="24"/>
          <w:lang w:val="en-US" w:eastAsia="zh-CN"/>
          <w14:textFill>
            <w14:solidFill>
              <w14:schemeClr w14:val="tx1"/>
            </w14:solidFill>
          </w14:textFill>
        </w:rPr>
        <w:t>落实</w:t>
      </w:r>
      <w:r>
        <w:rPr>
          <w:rFonts w:hint="eastAsia" w:ascii="仿宋_GB2312" w:hAnsi="仿宋_GB2312" w:eastAsia="仿宋_GB2312" w:cs="仿宋_GB2312"/>
          <w:color w:val="000000" w:themeColor="text1"/>
          <w:szCs w:val="24"/>
          <w14:textFill>
            <w14:solidFill>
              <w14:schemeClr w14:val="tx1"/>
            </w14:solidFill>
          </w14:textFill>
        </w:rPr>
        <w:t>精准资助</w:t>
      </w:r>
      <w:r>
        <w:rPr>
          <w:rFonts w:hint="eastAsia" w:ascii="仿宋_GB2312" w:hAnsi="仿宋_GB2312" w:eastAsia="仿宋_GB2312" w:cs="仿宋_GB2312"/>
          <w:color w:val="000000" w:themeColor="text1"/>
          <w:szCs w:val="24"/>
          <w:lang w:eastAsia="zh-CN"/>
          <w14:textFill>
            <w14:solidFill>
              <w14:schemeClr w14:val="tx1"/>
            </w14:solidFill>
          </w14:textFill>
        </w:rPr>
        <w:t>。通过教师结对方式</w:t>
      </w:r>
      <w:r>
        <w:rPr>
          <w:rFonts w:hint="eastAsia" w:ascii="仿宋_GB2312" w:hAnsi="仿宋_GB2312" w:eastAsia="仿宋_GB2312" w:cs="仿宋_GB2312"/>
          <w:color w:val="000000" w:themeColor="text1"/>
          <w:szCs w:val="24"/>
          <w:highlight w:val="none"/>
          <w:lang w:eastAsia="zh-CN"/>
          <w14:textFill>
            <w14:solidFill>
              <w14:schemeClr w14:val="tx1"/>
            </w14:solidFill>
          </w14:textFill>
        </w:rPr>
        <w:t>开展</w:t>
      </w:r>
      <w:r>
        <w:rPr>
          <w:rFonts w:hint="eastAsia" w:ascii="仿宋_GB2312" w:hAnsi="仿宋_GB2312" w:eastAsia="仿宋_GB2312" w:cs="仿宋_GB2312"/>
          <w:color w:val="000000" w:themeColor="text1"/>
          <w:szCs w:val="24"/>
          <w:lang w:eastAsia="zh-CN"/>
          <w14:textFill>
            <w14:solidFill>
              <w14:schemeClr w14:val="tx1"/>
            </w14:solidFill>
          </w14:textFill>
        </w:rPr>
        <w:t>情感、学业、物质三大帮扶行动，</w:t>
      </w:r>
      <w:r>
        <w:rPr>
          <w:rFonts w:hint="eastAsia" w:ascii="仿宋_GB2312" w:hAnsi="仿宋_GB2312" w:eastAsia="仿宋_GB2312" w:cs="仿宋_GB2312"/>
          <w:color w:val="000000" w:themeColor="text1"/>
          <w:szCs w:val="32"/>
          <w14:textFill>
            <w14:solidFill>
              <w14:schemeClr w14:val="tx1"/>
            </w14:solidFill>
          </w14:textFill>
        </w:rPr>
        <w:t>积极整合高校帮扶、苏陕协作和社会助学等多方力量，广泛开展贫困学生关爱和资助活动</w:t>
      </w:r>
      <w:r>
        <w:rPr>
          <w:rFonts w:hint="eastAsia" w:ascii="仿宋_GB2312" w:hAnsi="仿宋_GB2312" w:eastAsia="仿宋_GB2312" w:cs="仿宋_GB2312"/>
          <w:color w:val="000000" w:themeColor="text1"/>
          <w:szCs w:val="24"/>
          <w:lang w:eastAsia="zh-CN"/>
          <w14:textFill>
            <w14:solidFill>
              <w14:schemeClr w14:val="tx1"/>
            </w14:solidFill>
          </w14:textFill>
        </w:rPr>
        <w:t>。“</w:t>
      </w:r>
      <w:r>
        <w:rPr>
          <w:rFonts w:hint="eastAsia" w:ascii="仿宋_GB2312" w:hAnsi="仿宋_GB2312" w:eastAsia="仿宋_GB2312" w:cs="仿宋_GB2312"/>
          <w:color w:val="000000" w:themeColor="text1"/>
          <w:szCs w:val="24"/>
          <w14:textFill>
            <w14:solidFill>
              <w14:schemeClr w14:val="tx1"/>
            </w14:solidFill>
          </w14:textFill>
        </w:rPr>
        <w:t>十三五</w:t>
      </w:r>
      <w:r>
        <w:rPr>
          <w:rFonts w:hint="eastAsia" w:ascii="仿宋_GB2312" w:hAnsi="仿宋_GB2312" w:eastAsia="仿宋_GB2312" w:cs="仿宋_GB2312"/>
          <w:color w:val="000000" w:themeColor="text1"/>
          <w:szCs w:val="24"/>
          <w:lang w:eastAsia="zh-CN"/>
          <w14:textFill>
            <w14:solidFill>
              <w14:schemeClr w14:val="tx1"/>
            </w14:solidFill>
          </w14:textFill>
        </w:rPr>
        <w:t>”</w:t>
      </w:r>
      <w:r>
        <w:rPr>
          <w:rFonts w:hint="eastAsia" w:ascii="仿宋_GB2312" w:hAnsi="仿宋_GB2312" w:eastAsia="仿宋_GB2312" w:cs="仿宋_GB2312"/>
          <w:color w:val="000000" w:themeColor="text1"/>
          <w:szCs w:val="24"/>
          <w14:textFill>
            <w14:solidFill>
              <w14:schemeClr w14:val="tx1"/>
            </w14:solidFill>
          </w14:textFill>
        </w:rPr>
        <w:t>期间，</w:t>
      </w:r>
      <w:r>
        <w:rPr>
          <w:rFonts w:hint="eastAsia" w:ascii="仿宋_GB2312" w:hAnsi="仿宋_GB2312" w:eastAsia="仿宋_GB2312" w:cs="仿宋_GB2312"/>
          <w:color w:val="000000" w:themeColor="text1"/>
          <w:szCs w:val="32"/>
          <w14:textFill>
            <w14:solidFill>
              <w14:schemeClr w14:val="tx1"/>
            </w14:solidFill>
          </w14:textFill>
        </w:rPr>
        <w:t>资助学生</w:t>
      </w:r>
      <w:r>
        <w:rPr>
          <w:rFonts w:hint="eastAsia" w:ascii="仿宋_GB2312" w:hAnsi="仿宋_GB2312" w:eastAsia="仿宋_GB2312" w:cs="仿宋_GB2312"/>
          <w:color w:val="000000" w:themeColor="text1"/>
          <w:szCs w:val="32"/>
          <w:lang w:val="en-US" w:eastAsia="zh-CN"/>
          <w14:textFill>
            <w14:solidFill>
              <w14:schemeClr w14:val="tx1"/>
            </w14:solidFill>
          </w14:textFill>
        </w:rPr>
        <w:t>13.7万</w:t>
      </w:r>
      <w:r>
        <w:rPr>
          <w:rFonts w:hint="eastAsia" w:ascii="仿宋_GB2312" w:hAnsi="仿宋_GB2312" w:eastAsia="仿宋_GB2312" w:cs="仿宋_GB2312"/>
          <w:color w:val="000000" w:themeColor="text1"/>
          <w:szCs w:val="32"/>
          <w14:textFill>
            <w14:solidFill>
              <w14:schemeClr w14:val="tx1"/>
            </w14:solidFill>
          </w14:textFill>
        </w:rPr>
        <w:t>人次</w:t>
      </w:r>
      <w:r>
        <w:rPr>
          <w:rFonts w:hint="eastAsia" w:ascii="仿宋_GB2312" w:hAnsi="仿宋_GB2312" w:eastAsia="仿宋_GB2312" w:cs="仿宋_GB2312"/>
          <w:color w:val="000000" w:themeColor="text1"/>
          <w:szCs w:val="32"/>
          <w:lang w:eastAsia="zh-CN"/>
          <w14:textFill>
            <w14:solidFill>
              <w14:schemeClr w14:val="tx1"/>
            </w14:solidFill>
          </w14:textFill>
        </w:rPr>
        <w:t>，总计</w:t>
      </w:r>
      <w:r>
        <w:rPr>
          <w:rFonts w:hint="eastAsia" w:ascii="仿宋_GB2312" w:hAnsi="仿宋_GB2312" w:eastAsia="仿宋_GB2312" w:cs="仿宋_GB2312"/>
          <w:color w:val="000000" w:themeColor="text1"/>
          <w:szCs w:val="32"/>
          <w:lang w:val="en-US" w:eastAsia="zh-CN"/>
          <w14:textFill>
            <w14:solidFill>
              <w14:schemeClr w14:val="tx1"/>
            </w14:solidFill>
          </w14:textFill>
        </w:rPr>
        <w:t>9306.63</w:t>
      </w:r>
      <w:r>
        <w:rPr>
          <w:rFonts w:hint="eastAsia" w:ascii="仿宋_GB2312" w:hAnsi="仿宋_GB2312" w:eastAsia="仿宋_GB2312" w:cs="仿宋_GB2312"/>
          <w:color w:val="000000" w:themeColor="text1"/>
          <w:szCs w:val="32"/>
          <w14:textFill>
            <w14:solidFill>
              <w14:schemeClr w14:val="tx1"/>
            </w14:solidFill>
          </w14:textFill>
        </w:rPr>
        <w:t>万元，</w:t>
      </w:r>
      <w:r>
        <w:rPr>
          <w:rFonts w:hint="eastAsia" w:ascii="仿宋_GB2312" w:hAnsi="仿宋_GB2312" w:eastAsia="仿宋_GB2312" w:cs="仿宋_GB2312"/>
          <w:color w:val="000000" w:themeColor="text1"/>
          <w:szCs w:val="32"/>
          <w:lang w:eastAsia="zh-CN"/>
          <w14:textFill>
            <w14:solidFill>
              <w14:schemeClr w14:val="tx1"/>
            </w14:solidFill>
          </w14:textFill>
        </w:rPr>
        <w:t>实现</w:t>
      </w:r>
      <w:r>
        <w:rPr>
          <w:rFonts w:hint="eastAsia" w:ascii="仿宋_GB2312" w:hAnsi="仿宋_GB2312" w:eastAsia="仿宋_GB2312" w:cs="仿宋_GB2312"/>
          <w:color w:val="000000" w:themeColor="text1"/>
          <w:szCs w:val="32"/>
          <w14:textFill>
            <w14:solidFill>
              <w14:schemeClr w14:val="tx1"/>
            </w14:solidFill>
          </w14:textFill>
        </w:rPr>
        <w:t>了全县建档立卡贫困家庭</w:t>
      </w:r>
      <w:r>
        <w:rPr>
          <w:rFonts w:hint="eastAsia" w:ascii="仿宋_GB2312" w:hAnsi="仿宋_GB2312" w:eastAsia="仿宋_GB2312" w:cs="仿宋_GB2312"/>
          <w:color w:val="000000" w:themeColor="text1"/>
          <w:szCs w:val="32"/>
          <w:lang w:eastAsia="zh-CN"/>
          <w14:textFill>
            <w14:solidFill>
              <w14:schemeClr w14:val="tx1"/>
            </w14:solidFill>
          </w14:textFill>
        </w:rPr>
        <w:t>及边缘户家庭</w:t>
      </w:r>
      <w:r>
        <w:rPr>
          <w:rFonts w:hint="eastAsia" w:ascii="仿宋_GB2312" w:hAnsi="仿宋_GB2312" w:eastAsia="仿宋_GB2312" w:cs="仿宋_GB2312"/>
          <w:color w:val="000000" w:themeColor="text1"/>
          <w:szCs w:val="32"/>
          <w14:textFill>
            <w14:solidFill>
              <w14:schemeClr w14:val="tx1"/>
            </w14:solidFill>
          </w14:textFill>
        </w:rPr>
        <w:t>义务教育阶段无辍学学生</w:t>
      </w:r>
      <w:r>
        <w:rPr>
          <w:rFonts w:hint="eastAsia" w:ascii="仿宋_GB2312" w:hAnsi="仿宋_GB2312" w:eastAsia="仿宋_GB2312" w:cs="仿宋_GB2312"/>
          <w:color w:val="000000" w:themeColor="text1"/>
          <w:szCs w:val="32"/>
          <w:lang w:eastAsia="zh-CN"/>
          <w14:textFill>
            <w14:solidFill>
              <w14:schemeClr w14:val="tx1"/>
            </w14:solidFill>
          </w14:textFill>
        </w:rPr>
        <w:t>；</w:t>
      </w:r>
      <w:r>
        <w:rPr>
          <w:rFonts w:hint="eastAsia" w:ascii="仿宋_GB2312" w:hAnsi="仿宋_GB2312" w:eastAsia="仿宋_GB2312" w:cs="仿宋_GB2312"/>
          <w:color w:val="000000" w:themeColor="text1"/>
          <w:szCs w:val="32"/>
          <w14:textFill>
            <w14:solidFill>
              <w14:schemeClr w14:val="tx1"/>
            </w14:solidFill>
          </w14:textFill>
        </w:rPr>
        <w:t>办理大学生生源地助学贷款</w:t>
      </w:r>
      <w:r>
        <w:rPr>
          <w:rFonts w:hint="eastAsia" w:ascii="仿宋_GB2312" w:hAnsi="仿宋_GB2312" w:eastAsia="仿宋_GB2312" w:cs="仿宋_GB2312"/>
          <w:color w:val="000000" w:themeColor="text1"/>
          <w:szCs w:val="32"/>
          <w:lang w:val="en-US" w:eastAsia="zh-CN"/>
          <w14:textFill>
            <w14:solidFill>
              <w14:schemeClr w14:val="tx1"/>
            </w14:solidFill>
          </w14:textFill>
        </w:rPr>
        <w:t>1.06万</w:t>
      </w:r>
      <w:r>
        <w:rPr>
          <w:rFonts w:hint="eastAsia" w:ascii="仿宋_GB2312" w:hAnsi="仿宋_GB2312" w:eastAsia="仿宋_GB2312" w:cs="仿宋_GB2312"/>
          <w:color w:val="000000" w:themeColor="text1"/>
          <w:szCs w:val="32"/>
          <w14:textFill>
            <w14:solidFill>
              <w14:schemeClr w14:val="tx1"/>
            </w14:solidFill>
          </w14:textFill>
        </w:rPr>
        <w:t>人次</w:t>
      </w:r>
      <w:r>
        <w:rPr>
          <w:rFonts w:hint="eastAsia" w:ascii="仿宋_GB2312" w:hAnsi="仿宋_GB2312" w:eastAsia="仿宋_GB2312" w:cs="仿宋_GB2312"/>
          <w:color w:val="000000" w:themeColor="text1"/>
          <w:szCs w:val="32"/>
          <w:lang w:eastAsia="zh-CN"/>
          <w14:textFill>
            <w14:solidFill>
              <w14:schemeClr w14:val="tx1"/>
            </w14:solidFill>
          </w14:textFill>
        </w:rPr>
        <w:t>，总计</w:t>
      </w:r>
      <w:r>
        <w:rPr>
          <w:rFonts w:hint="eastAsia" w:ascii="仿宋_GB2312" w:hAnsi="仿宋_GB2312" w:eastAsia="仿宋_GB2312" w:cs="仿宋_GB2312"/>
          <w:color w:val="000000" w:themeColor="text1"/>
          <w:szCs w:val="32"/>
          <w:lang w:val="en-US" w:eastAsia="zh-CN"/>
          <w14:textFill>
            <w14:solidFill>
              <w14:schemeClr w14:val="tx1"/>
            </w14:solidFill>
          </w14:textFill>
        </w:rPr>
        <w:t>7338.12</w:t>
      </w:r>
      <w:r>
        <w:rPr>
          <w:rFonts w:hint="eastAsia" w:ascii="仿宋_GB2312" w:hAnsi="仿宋_GB2312" w:eastAsia="仿宋_GB2312" w:cs="仿宋_GB2312"/>
          <w:color w:val="000000" w:themeColor="text1"/>
          <w:szCs w:val="32"/>
          <w14:textFill>
            <w14:solidFill>
              <w14:schemeClr w14:val="tx1"/>
            </w14:solidFill>
          </w14:textFill>
        </w:rPr>
        <w:t>万元。累计</w:t>
      </w:r>
      <w:r>
        <w:rPr>
          <w:rFonts w:hint="eastAsia" w:ascii="仿宋_GB2312" w:hAnsi="仿宋_GB2312" w:eastAsia="仿宋_GB2312" w:cs="仿宋_GB2312"/>
          <w:color w:val="000000" w:themeColor="text1"/>
          <w:szCs w:val="32"/>
          <w:lang w:eastAsia="zh-CN"/>
          <w14:textFill>
            <w14:solidFill>
              <w14:schemeClr w14:val="tx1"/>
            </w14:solidFill>
          </w14:textFill>
        </w:rPr>
        <w:t>投入</w:t>
      </w:r>
      <w:r>
        <w:rPr>
          <w:rFonts w:hint="eastAsia" w:ascii="仿宋_GB2312" w:hAnsi="仿宋_GB2312" w:eastAsia="仿宋_GB2312" w:cs="仿宋_GB2312"/>
          <w:color w:val="000000" w:themeColor="text1"/>
          <w:szCs w:val="32"/>
          <w:lang w:val="en-US" w:eastAsia="zh-CN"/>
          <w14:textFill>
            <w14:solidFill>
              <w14:schemeClr w14:val="tx1"/>
            </w14:solidFill>
          </w14:textFill>
        </w:rPr>
        <w:t>1.2</w:t>
      </w:r>
      <w:r>
        <w:rPr>
          <w:rFonts w:hint="eastAsia" w:ascii="仿宋_GB2312" w:hAnsi="仿宋_GB2312" w:eastAsia="仿宋_GB2312" w:cs="仿宋_GB2312"/>
          <w:color w:val="000000" w:themeColor="text1"/>
          <w:szCs w:val="32"/>
          <w14:textFill>
            <w14:solidFill>
              <w14:schemeClr w14:val="tx1"/>
            </w14:solidFill>
          </w14:textFill>
        </w:rPr>
        <w:t>亿</w:t>
      </w:r>
      <w:r>
        <w:rPr>
          <w:rFonts w:hint="eastAsia" w:ascii="仿宋_GB2312" w:hAnsi="仿宋_GB2312" w:eastAsia="仿宋_GB2312" w:cs="仿宋_GB2312"/>
          <w:color w:val="000000" w:themeColor="text1"/>
          <w:szCs w:val="32"/>
          <w:lang w:eastAsia="zh-CN"/>
          <w14:textFill>
            <w14:solidFill>
              <w14:schemeClr w14:val="tx1"/>
            </w14:solidFill>
          </w14:textFill>
        </w:rPr>
        <w:t>余</w:t>
      </w:r>
      <w:r>
        <w:rPr>
          <w:rFonts w:hint="eastAsia" w:ascii="仿宋_GB2312" w:hAnsi="仿宋_GB2312" w:eastAsia="仿宋_GB2312" w:cs="仿宋_GB2312"/>
          <w:color w:val="000000" w:themeColor="text1"/>
          <w:szCs w:val="32"/>
          <w14:textFill>
            <w14:solidFill>
              <w14:schemeClr w14:val="tx1"/>
            </w14:solidFill>
          </w14:textFill>
        </w:rPr>
        <w:t>元</w:t>
      </w:r>
      <w:r>
        <w:rPr>
          <w:rFonts w:hint="eastAsia" w:ascii="仿宋_GB2312" w:hAnsi="仿宋_GB2312" w:eastAsia="仿宋_GB2312" w:cs="仿宋_GB2312"/>
          <w:color w:val="000000" w:themeColor="text1"/>
          <w:szCs w:val="32"/>
          <w:lang w:eastAsia="zh-CN"/>
          <w14:textFill>
            <w14:solidFill>
              <w14:schemeClr w14:val="tx1"/>
            </w14:solidFill>
          </w14:textFill>
        </w:rPr>
        <w:t>，严格落实</w:t>
      </w:r>
      <w:r>
        <w:rPr>
          <w:rFonts w:hint="eastAsia" w:ascii="仿宋_GB2312" w:hAnsi="仿宋_GB2312" w:eastAsia="仿宋_GB2312" w:cs="仿宋_GB2312"/>
          <w:color w:val="000000" w:themeColor="text1"/>
          <w:szCs w:val="32"/>
          <w14:textFill>
            <w14:solidFill>
              <w14:schemeClr w14:val="tx1"/>
            </w14:solidFill>
          </w14:textFill>
        </w:rPr>
        <w:t>营养改善计划，学生受益</w:t>
      </w:r>
      <w:r>
        <w:rPr>
          <w:rFonts w:hint="eastAsia" w:ascii="仿宋_GB2312" w:hAnsi="仿宋_GB2312" w:eastAsia="仿宋_GB2312" w:cs="仿宋_GB2312"/>
          <w:color w:val="000000" w:themeColor="text1"/>
          <w:szCs w:val="32"/>
          <w:lang w:eastAsia="zh-CN"/>
          <w14:textFill>
            <w14:solidFill>
              <w14:schemeClr w14:val="tx1"/>
            </w14:solidFill>
          </w14:textFill>
        </w:rPr>
        <w:t>人次已超</w:t>
      </w:r>
      <w:r>
        <w:rPr>
          <w:rFonts w:hint="eastAsia" w:ascii="仿宋_GB2312" w:hAnsi="仿宋_GB2312" w:eastAsia="仿宋_GB2312" w:cs="仿宋_GB2312"/>
          <w:color w:val="000000" w:themeColor="text1"/>
          <w:szCs w:val="32"/>
          <w:lang w:val="en-US" w:eastAsia="zh-CN"/>
          <w14:textFill>
            <w14:solidFill>
              <w14:schemeClr w14:val="tx1"/>
            </w14:solidFill>
          </w14:textFill>
        </w:rPr>
        <w:t>35</w:t>
      </w:r>
      <w:r>
        <w:rPr>
          <w:rFonts w:hint="eastAsia" w:ascii="仿宋_GB2312" w:hAnsi="仿宋_GB2312" w:eastAsia="仿宋_GB2312" w:cs="仿宋_GB2312"/>
          <w:color w:val="000000" w:themeColor="text1"/>
          <w:szCs w:val="32"/>
          <w14:textFill>
            <w14:solidFill>
              <w14:schemeClr w14:val="tx1"/>
            </w14:solidFill>
          </w14:textFill>
        </w:rPr>
        <w:t>万，实现义务教育阶段</w:t>
      </w:r>
      <w:r>
        <w:rPr>
          <w:rFonts w:hint="eastAsia" w:ascii="仿宋_GB2312" w:hAnsi="仿宋_GB2312" w:eastAsia="仿宋_GB2312" w:cs="仿宋_GB2312"/>
          <w:color w:val="000000" w:themeColor="text1"/>
          <w:szCs w:val="32"/>
          <w:lang w:eastAsia="zh-CN"/>
          <w14:textFill>
            <w14:solidFill>
              <w14:schemeClr w14:val="tx1"/>
            </w14:solidFill>
          </w14:textFill>
        </w:rPr>
        <w:t>按标准</w:t>
      </w:r>
      <w:r>
        <w:rPr>
          <w:rFonts w:hint="eastAsia" w:ascii="仿宋_GB2312" w:hAnsi="仿宋_GB2312" w:eastAsia="仿宋_GB2312" w:cs="仿宋_GB2312"/>
          <w:color w:val="000000" w:themeColor="text1"/>
          <w:szCs w:val="32"/>
          <w14:textFill>
            <w14:solidFill>
              <w14:schemeClr w14:val="tx1"/>
            </w14:solidFill>
          </w14:textFill>
        </w:rPr>
        <w:t>全覆盖</w:t>
      </w:r>
      <w:r>
        <w:rPr>
          <w:rFonts w:hint="eastAsia" w:ascii="仿宋_GB2312" w:hAnsi="仿宋_GB2312" w:eastAsia="仿宋_GB2312" w:cs="仿宋_GB2312"/>
          <w:color w:val="000000" w:themeColor="text1"/>
          <w:szCs w:val="24"/>
          <w:lang w:eastAsia="zh-CN"/>
          <w14:textFill>
            <w14:solidFill>
              <w14:schemeClr w14:val="tx1"/>
            </w14:solidFill>
          </w14:textFill>
        </w:rPr>
        <w:t>。</w:t>
      </w:r>
      <w:r>
        <w:rPr>
          <w:rFonts w:hint="eastAsia" w:ascii="仿宋_GB2312" w:hAnsi="仿宋_GB2312" w:eastAsia="仿宋_GB2312" w:cs="仿宋_GB2312"/>
          <w:color w:val="000000" w:themeColor="text1"/>
          <w:szCs w:val="24"/>
          <w14:textFill>
            <w14:solidFill>
              <w14:schemeClr w14:val="tx1"/>
            </w14:solidFill>
          </w14:textFill>
        </w:rPr>
        <w:t>教育脱贫</w:t>
      </w:r>
      <w:r>
        <w:rPr>
          <w:rFonts w:hint="eastAsia" w:ascii="仿宋_GB2312" w:hAnsi="仿宋_GB2312" w:eastAsia="仿宋_GB2312" w:cs="仿宋_GB2312"/>
          <w:color w:val="000000" w:themeColor="text1"/>
          <w:szCs w:val="24"/>
          <w:lang w:eastAsia="zh-CN"/>
          <w14:textFill>
            <w14:solidFill>
              <w14:schemeClr w14:val="tx1"/>
            </w14:solidFill>
          </w14:textFill>
        </w:rPr>
        <w:t>“</w:t>
      </w:r>
      <w:r>
        <w:rPr>
          <w:rFonts w:hint="eastAsia" w:ascii="仿宋_GB2312" w:hAnsi="仿宋_GB2312" w:eastAsia="仿宋_GB2312" w:cs="仿宋_GB2312"/>
          <w:color w:val="000000" w:themeColor="text1"/>
          <w:szCs w:val="24"/>
          <w14:textFill>
            <w14:solidFill>
              <w14:schemeClr w14:val="tx1"/>
            </w14:solidFill>
          </w14:textFill>
        </w:rPr>
        <w:t>4+4</w:t>
      </w:r>
      <w:r>
        <w:rPr>
          <w:rFonts w:hint="eastAsia" w:ascii="仿宋_GB2312" w:hAnsi="仿宋_GB2312" w:eastAsia="仿宋_GB2312" w:cs="仿宋_GB2312"/>
          <w:color w:val="000000" w:themeColor="text1"/>
          <w:szCs w:val="24"/>
          <w:lang w:eastAsia="zh-CN"/>
          <w14:textFill>
            <w14:solidFill>
              <w14:schemeClr w14:val="tx1"/>
            </w14:solidFill>
          </w14:textFill>
        </w:rPr>
        <w:t>”</w:t>
      </w:r>
      <w:r>
        <w:rPr>
          <w:rFonts w:hint="eastAsia" w:ascii="仿宋_GB2312" w:hAnsi="仿宋_GB2312" w:eastAsia="仿宋_GB2312" w:cs="仿宋_GB2312"/>
          <w:color w:val="000000" w:themeColor="text1"/>
          <w:szCs w:val="24"/>
          <w14:textFill>
            <w14:solidFill>
              <w14:schemeClr w14:val="tx1"/>
            </w14:solidFill>
          </w14:textFill>
        </w:rPr>
        <w:t>工作经验得到省市教育部门的充分肯定，</w:t>
      </w:r>
      <w:r>
        <w:rPr>
          <w:rFonts w:hint="eastAsia" w:ascii="仿宋_GB2312" w:hAnsi="仿宋_GB2312" w:eastAsia="仿宋_GB2312" w:cs="仿宋_GB2312"/>
          <w:color w:val="000000" w:themeColor="text1"/>
          <w:szCs w:val="24"/>
          <w:lang w:eastAsia="zh-CN"/>
          <w14:textFill>
            <w14:solidFill>
              <w14:schemeClr w14:val="tx1"/>
            </w14:solidFill>
          </w14:textFill>
        </w:rPr>
        <w:t>“</w:t>
      </w:r>
      <w:r>
        <w:rPr>
          <w:rFonts w:hint="eastAsia" w:ascii="仿宋_GB2312" w:hAnsi="仿宋_GB2312" w:eastAsia="仿宋_GB2312" w:cs="仿宋_GB2312"/>
          <w:color w:val="000000" w:themeColor="text1"/>
          <w:szCs w:val="24"/>
          <w14:textFill>
            <w14:solidFill>
              <w14:schemeClr w14:val="tx1"/>
            </w14:solidFill>
          </w14:textFill>
        </w:rPr>
        <w:t>一三六</w:t>
      </w:r>
      <w:r>
        <w:rPr>
          <w:rFonts w:hint="eastAsia" w:ascii="仿宋_GB2312" w:hAnsi="仿宋_GB2312" w:eastAsia="仿宋_GB2312" w:cs="仿宋_GB2312"/>
          <w:color w:val="000000" w:themeColor="text1"/>
          <w:szCs w:val="24"/>
          <w:lang w:eastAsia="zh-CN"/>
          <w14:textFill>
            <w14:solidFill>
              <w14:schemeClr w14:val="tx1"/>
            </w14:solidFill>
          </w14:textFill>
        </w:rPr>
        <w:t>”</w:t>
      </w:r>
      <w:r>
        <w:rPr>
          <w:rFonts w:hint="eastAsia" w:ascii="仿宋_GB2312" w:hAnsi="仿宋_GB2312" w:eastAsia="仿宋_GB2312" w:cs="仿宋_GB2312"/>
          <w:color w:val="000000" w:themeColor="text1"/>
          <w:szCs w:val="24"/>
          <w14:textFill>
            <w14:solidFill>
              <w14:schemeClr w14:val="tx1"/>
            </w14:solidFill>
          </w14:textFill>
        </w:rPr>
        <w:t>工作法和学生资助工作受到省教育厅表彰。</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教师队伍不断加强。</w:t>
      </w:r>
      <w:r>
        <w:rPr>
          <w:rFonts w:hint="eastAsia" w:ascii="仿宋_GB2312" w:hAnsi="仿宋_GB2312" w:eastAsia="仿宋_GB2312" w:cs="仿宋_GB2312"/>
          <w:lang w:val="en-US" w:eastAsia="zh-CN"/>
        </w:rPr>
        <w:t>“十三五”期间，通过“国培计划”“名师大篷车”等项目，集中培训教师超过16000人次，培养省市级教学能手96人，教师综合教学水平稳步提升。出台《紫阳县中小学校长聘任管理办法》，推行校长和学校领导人员公开选聘和任期聘任制，全县820余名教师参加了义务教育学校校长教师交流轮岗。累计补充新任教师896人，出台《紫阳县中小学幼儿园教职工流动管理办法（试行）》，基本实现教师归口管理，教师有序流动机制得到加强，全县教师总量缺编、农村师资力量薄弱等问题得到解决，基本实现全县教师资源的均衡配置。深入推进师德师风建设，校本研修氛围日益浓厚，教师队伍学历水平和专业化水平大幅度提高。2018年紫阳县国培案例被评为全省优秀工作案例，三所学校被命名为“陕西省乡村教师专业发展示范校”。大力改善教师工资待遇，全面落实教师工资稳定增长机制，县政府每年设立500万元教育教学奖励专项资金，重奖教育突出贡献人员，比拼赶超、开拓进取的工作氛围基本形成。</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校园安全水平大幅提升。</w:t>
      </w:r>
      <w:r>
        <w:rPr>
          <w:rFonts w:hint="eastAsia" w:ascii="仿宋_GB2312" w:hAnsi="仿宋_GB2312" w:eastAsia="仿宋_GB2312" w:cs="仿宋_GB2312"/>
          <w:b w:val="0"/>
          <w:bCs w:val="0"/>
          <w:lang w:val="en-US" w:eastAsia="zh-CN"/>
        </w:rPr>
        <w:t>积极开展“护校安园”专项行动，</w:t>
      </w:r>
      <w:r>
        <w:rPr>
          <w:rFonts w:hint="eastAsia" w:ascii="仿宋_GB2312" w:hAnsi="仿宋_GB2312" w:eastAsia="仿宋_GB2312" w:cs="仿宋_GB2312"/>
          <w:lang w:val="en-US" w:eastAsia="zh-CN"/>
        </w:rPr>
        <w:t>深入推进扫黑除恶专项斗争，全面开展校园及周边地区安全隐患排查整治，全面落实校园安全管理责任，联防联控机制更加健全。加强涉校矛盾纠纷排查化解，强化重点人员管控，全面提升校园安保力量，在重点时段常态化开展治安巡查。积极预防校园欺凌事件，持续开展安全宣传教育，增强师生安全意识和法制观念，有力维护了全县学校的安全稳定。近五年来，全县累计投入2000万元加强校园“三防”建设，创建省市平安校园四十余所，接送学生船只“五定”和矛盾纠纷大调解等做法得到省市主管部门充分肯定。</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lang w:val="en-US" w:eastAsia="zh-CN"/>
        </w:rPr>
        <w:t>体育工作取得新发展。</w:t>
      </w:r>
      <w:r>
        <w:rPr>
          <w:rFonts w:hint="eastAsia" w:ascii="仿宋_GB2312" w:hAnsi="仿宋_GB2312" w:eastAsia="仿宋_GB2312" w:cs="仿宋_GB2312"/>
          <w:b w:val="0"/>
          <w:bCs w:val="0"/>
          <w:lang w:val="en-US" w:eastAsia="zh-CN"/>
        </w:rPr>
        <w:t>城乡体育健身场地和设施条件得到较大改善，</w:t>
      </w:r>
      <w:r>
        <w:rPr>
          <w:rFonts w:hint="eastAsia" w:ascii="仿宋_GB2312" w:hAnsi="仿宋_GB2312" w:eastAsia="仿宋_GB2312" w:cs="仿宋_GB2312"/>
          <w:lang w:val="en-US" w:eastAsia="zh-CN"/>
        </w:rPr>
        <w:t>长期开展各种丰富多彩的群众体育活动、比赛，群众健康意识不断增强，体育活动参与度不断提升，自发组织的运动团体与活动数量稳步增长。各学校严格执行国家课程标准，开齐、开足体育课，通过多种形式科学合理安排青少年体育赛事活动，多次组队参加安康市举办的运动会、比赛，多个比赛项目取得优异成绩。全面开展学生体质健康监测，及时上报数据。“骑行茶山·相约紫阳”山地自行车越野赛等一系列具有紫阳特色的体育赛事活动成功举办，“农商银行杯”秦巴片区冬泳赛荣获陕西省2019年度全民健身银牌赛事。</w:t>
      </w:r>
    </w:p>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3" w:name="_Toc23156"/>
      <w:r>
        <w:rPr>
          <w:rFonts w:hint="eastAsia" w:ascii="楷体_GB2312" w:hAnsi="楷体_GB2312" w:eastAsia="楷体_GB2312" w:cs="楷体_GB2312"/>
          <w:lang w:val="en-US" w:eastAsia="zh-CN"/>
        </w:rPr>
        <w:t>二、存在问题</w:t>
      </w:r>
      <w:bookmarkEnd w:id="3"/>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lang w:eastAsia="zh-CN"/>
        </w:rPr>
        <w:t>“十三五”期间，紫阳县教育体育发展取得了显著成绩，但</w:t>
      </w:r>
      <w:r>
        <w:rPr>
          <w:rFonts w:hint="eastAsia" w:ascii="仿宋_GB2312" w:hAnsi="仿宋_GB2312" w:eastAsia="仿宋_GB2312" w:cs="仿宋_GB2312"/>
          <w:kern w:val="2"/>
          <w:sz w:val="32"/>
          <w:szCs w:val="32"/>
          <w:lang w:val="en-US" w:eastAsia="zh-CN" w:bidi="ar"/>
        </w:rPr>
        <w:t>教育体育发展与紫阳经济社会发展的新变化、新趋势还不够契合，尤其是人民日益增长的对优质教育的需求和渴望，仍然面临着一系列突出的问题和挑战。</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教育方面：</w:t>
      </w:r>
      <w:r>
        <w:rPr>
          <w:rFonts w:hint="eastAsia" w:ascii="仿宋_GB2312" w:hAnsi="仿宋_GB2312" w:eastAsia="仿宋_GB2312" w:cs="仿宋_GB2312"/>
          <w:b w:val="0"/>
          <w:bCs w:val="0"/>
          <w:lang w:val="en-US" w:eastAsia="zh-CN"/>
        </w:rPr>
        <w:t>随着地区人口流动，整体呈现出县城集镇生源增多，乡村生源减少的发展趋势。城乡之间办学条件、师资力量、办学理念、教育质量、管理水平等方面的差距依然明显，</w:t>
      </w:r>
      <w:r>
        <w:rPr>
          <w:rFonts w:hint="eastAsia" w:ascii="仿宋_GB2312" w:hAnsi="仿宋_GB2312" w:eastAsia="仿宋_GB2312" w:cs="仿宋_GB2312"/>
          <w:lang w:val="en-US" w:eastAsia="zh-CN"/>
        </w:rPr>
        <w:t>城区学位不足、大班额问题依然严峻，住宿、就餐条件难以满足学生要求；乡村学校呈萎缩态势，教育（保育）水平持续下降。教师区域性、结构性缺口矛盾突出，薄弱学科教师不能满足教学需要，骨干教师流失、高层次人才“难引难留”问题亟待解决，校长及学校中层干部教育教学管理水平仍需提升，部分教师综合素质、教学能力、法制观念有待加强。科学的教育观、人才观和政绩观还没有牢固树立，减负、校外培训等一些社会关注的教育热点、难点尚未从根本解决。山区地貌及气候复杂，学生日常及假期安全工作难度较大。</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体育方面：</w:t>
      </w:r>
      <w:r>
        <w:rPr>
          <w:rFonts w:hint="eastAsia" w:ascii="仿宋_GB2312" w:hAnsi="仿宋_GB2312" w:eastAsia="仿宋_GB2312" w:cs="仿宋_GB2312"/>
          <w:b w:val="0"/>
          <w:bCs w:val="0"/>
          <w:lang w:val="en-US" w:eastAsia="zh-CN"/>
        </w:rPr>
        <w:t>体育事业发展整体水平不高，公共</w:t>
      </w:r>
      <w:r>
        <w:rPr>
          <w:rFonts w:hint="eastAsia" w:ascii="仿宋_GB2312" w:hAnsi="仿宋_GB2312" w:eastAsia="仿宋_GB2312" w:cs="仿宋_GB2312"/>
          <w:lang w:val="en-US" w:eastAsia="zh-CN"/>
        </w:rPr>
        <w:t>体育场地设施不足、城乡配置不均衡，无法满足广大群众日益增长的运动需求。全民健身工作服务体系仍处在起步阶段。学校体育与素质教育、特色办学的要求相比仍有差距，专职体育教师缺额，竞赛体系不完备，青少年体育人才培养基础不实。</w:t>
      </w:r>
      <w:r>
        <w:rPr>
          <w:rFonts w:hint="eastAsia" w:ascii="仿宋_GB2312" w:hAnsi="仿宋_GB2312" w:eastAsia="仿宋_GB2312" w:cs="仿宋_GB2312"/>
          <w:b w:val="0"/>
          <w:bCs w:val="0"/>
          <w:lang w:val="en-US" w:eastAsia="zh-CN"/>
        </w:rPr>
        <w:t>体育产业</w:t>
      </w:r>
      <w:r>
        <w:rPr>
          <w:rFonts w:hint="eastAsia" w:ascii="仿宋_GB2312" w:hAnsi="仿宋_GB2312" w:eastAsia="仿宋_GB2312" w:cs="仿宋_GB2312"/>
          <w:lang w:val="en-US" w:eastAsia="zh-CN"/>
        </w:rPr>
        <w:t>基础薄弱，规模较小，培育难度较大。</w:t>
      </w:r>
    </w:p>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4" w:name="_Toc21057"/>
      <w:r>
        <w:rPr>
          <w:rFonts w:hint="eastAsia" w:ascii="楷体_GB2312" w:hAnsi="楷体_GB2312" w:eastAsia="楷体_GB2312" w:cs="楷体_GB2312"/>
          <w:lang w:val="en-US" w:eastAsia="zh-CN"/>
        </w:rPr>
        <w:t>三、发展机遇</w:t>
      </w:r>
      <w:bookmarkEnd w:id="4"/>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十四五”时期是开启全面建设社会主义现代化国家新征程、向第二个百年奋斗目标进军的第一个五年。“一带一路”、乡村振兴、新一轮西部大开发等一系列国家战略落地实施，建成教育强国、体育强国的宏伟目标和路径清晰展现。</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从教育领域发展看，</w:t>
      </w:r>
      <w:r>
        <w:rPr>
          <w:rFonts w:hint="eastAsia" w:ascii="仿宋_GB2312" w:hAnsi="仿宋_GB2312" w:eastAsia="仿宋_GB2312" w:cs="仿宋_GB2312"/>
          <w:lang w:val="en-US" w:eastAsia="zh-CN"/>
        </w:rPr>
        <w:t>高质量发展成为教育发展新主题，国家九部委相继出台《“十四五”县域普通高中发展提升行动计划》《“十四五”学前教育发展提升行动计划》《“十四五”公共服务规划》《新时代基础教育强师计划》等利好政策，对“十四五”时期紫阳积极争取项目和资金，优化提升教育布局，破解县城学位紧张问题提供了解决途径，将县域普通高中整体质量、中西部欠发达地区教师综合素质等方面作为重点，进行政策倾斜和资金支持。巩固拓展教育脱贫攻坚成果同乡村振兴有效衔接重点工作稳步推进，振兴乡村教育和教育振兴乡村的良性循环逐步形成，“十四五”时期紫阳教育发展的方向更加明确，任务更为具体。</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从体育领域发展看，</w:t>
      </w:r>
      <w:r>
        <w:rPr>
          <w:rFonts w:hint="eastAsia" w:ascii="仿宋_GB2312" w:hAnsi="仿宋_GB2312" w:eastAsia="仿宋_GB2312" w:cs="仿宋_GB2312"/>
          <w:lang w:val="en-US" w:eastAsia="zh-CN"/>
        </w:rPr>
        <w:t>中央将全民健身上升为国家战略，把增强人民体质、提高健康水平作为根本目标。陕西省围绕公共体育设施县级“七个一”、镇村级“三个一”建设，统筹中央及省级资金重点支持全民健身设施项目，为紫阳加大健身设施有效供给提供了机遇。“一县一特色”要求为紫阳发挥自然优势，打造地区特色赛事品牌提供了支持。《学校体育工作条例》《关于全面加强和改进新时代学校体育工作的意见》进一步明确了学校体育工作开展方向和方式。乡村振兴、文旅产业发展、特色小镇建设与体育融合持续深化，为紫阳体育产业发展注入了新动力。</w:t>
      </w:r>
    </w:p>
    <w:p>
      <w:pPr>
        <w:pStyle w:val="2"/>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sectPr>
          <w:footerReference r:id="rId7" w:type="default"/>
          <w:pgSz w:w="11906" w:h="16838"/>
          <w:pgMar w:top="2098" w:right="1474" w:bottom="1984" w:left="1587" w:header="851" w:footer="992" w:gutter="0"/>
          <w:pgNumType w:fmt="numberInDash" w:start="1"/>
          <w:cols w:space="425" w:num="1"/>
          <w:docGrid w:type="lines" w:linePitch="312" w:charSpace="0"/>
        </w:sectPr>
      </w:pPr>
    </w:p>
    <w:p>
      <w:pPr>
        <w:pStyle w:val="3"/>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b w:val="0"/>
          <w:bCs/>
          <w:sz w:val="32"/>
          <w:szCs w:val="32"/>
          <w:lang w:val="en-US" w:eastAsia="zh-CN"/>
        </w:rPr>
      </w:pPr>
      <w:r>
        <w:rPr>
          <w:rFonts w:hint="eastAsia"/>
          <w:b w:val="0"/>
          <w:bCs/>
          <w:sz w:val="32"/>
          <w:szCs w:val="32"/>
          <w:lang w:val="en-US" w:eastAsia="zh-CN"/>
        </w:rPr>
        <w:t xml:space="preserve"> </w:t>
      </w:r>
      <w:bookmarkStart w:id="5" w:name="_Toc29443"/>
      <w:r>
        <w:rPr>
          <w:rFonts w:hint="eastAsia"/>
          <w:b w:val="0"/>
          <w:bCs/>
          <w:sz w:val="32"/>
          <w:szCs w:val="32"/>
          <w:lang w:val="en-US" w:eastAsia="zh-CN"/>
        </w:rPr>
        <w:t>总体思路</w:t>
      </w:r>
      <w:bookmarkEnd w:id="5"/>
    </w:p>
    <w:p>
      <w:pPr>
        <w:pStyle w:val="4"/>
        <w:pageBreakBefore w:val="0"/>
        <w:widowControl w:val="0"/>
        <w:numPr>
          <w:ilvl w:val="0"/>
          <w:numId w:val="2"/>
        </w:numPr>
        <w:kinsoku/>
        <w:wordWrap/>
        <w:overflowPunct/>
        <w:topLinePunct w:val="0"/>
        <w:autoSpaceDE/>
        <w:autoSpaceDN/>
        <w:bidi w:val="0"/>
        <w:adjustRightInd/>
        <w:snapToGrid/>
        <w:spacing w:line="560" w:lineRule="exact"/>
        <w:ind w:left="220" w:leftChars="0" w:firstLineChars="0"/>
        <w:textAlignment w:val="auto"/>
        <w:rPr>
          <w:rFonts w:hint="eastAsia" w:ascii="楷体_GB2312" w:hAnsi="楷体_GB2312" w:eastAsia="楷体_GB2312" w:cs="楷体_GB2312"/>
          <w:lang w:val="en-US" w:eastAsia="zh-CN"/>
        </w:rPr>
      </w:pPr>
      <w:bookmarkStart w:id="6" w:name="_Toc25645"/>
      <w:r>
        <w:rPr>
          <w:rFonts w:hint="eastAsia" w:ascii="楷体_GB2312" w:hAnsi="楷体_GB2312" w:eastAsia="楷体_GB2312" w:cs="楷体_GB2312"/>
          <w:lang w:val="en-US" w:eastAsia="zh-CN"/>
        </w:rPr>
        <w:t>指导思想</w:t>
      </w:r>
      <w:bookmarkEnd w:id="6"/>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仿宋_GB2312" w:hAnsi="仿宋_GB2312" w:eastAsia="仿宋_GB2312" w:cs="仿宋_GB2312"/>
          <w:lang w:val="en-US" w:eastAsia="zh-CN"/>
        </w:rPr>
        <w:t>以习近平新时代中国特色社会主义思想为指导，深入学习贯彻党的十九大及十九届历次全会精神，学习贯彻习近平总书记关于教育体育工作的重要论述及全国、省市教育大会会议，落实教育强国、体育强国战略和省市决策部署，全面贯彻党的教育方针，坚持社会主义办学方向，落实立德树人根本任务，坚持改革创新，优化教育结构，促进教育公平，提高教育质量，加快推进教育信息化和教育治理能力现代化，培养德智体美劳全面发展的社会主义建设者和接班人。深入实施全民健身国家战略，推动全民健身与全民健康深度融合，构建更高水平的全民健身公共服务体系，加快体育产业融合发展，持续提高全县人民身体素质和健康水平。</w:t>
      </w:r>
    </w:p>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7" w:name="_Toc4749"/>
      <w:r>
        <w:rPr>
          <w:rFonts w:hint="eastAsia" w:ascii="楷体_GB2312" w:hAnsi="楷体_GB2312" w:eastAsia="楷体_GB2312" w:cs="楷体_GB2312"/>
          <w:lang w:val="en-US" w:eastAsia="zh-CN"/>
        </w:rPr>
        <w:t>二、基本原则</w:t>
      </w:r>
      <w:bookmarkEnd w:id="7"/>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坚持党的全面领导。</w:t>
      </w:r>
      <w:r>
        <w:rPr>
          <w:rFonts w:hint="eastAsia" w:ascii="仿宋_GB2312" w:hAnsi="仿宋_GB2312" w:eastAsia="仿宋_GB2312" w:cs="仿宋_GB2312"/>
          <w:lang w:val="en-US" w:eastAsia="zh-CN"/>
        </w:rPr>
        <w:t>全面加强党对教育体育工作的全面领导，全面贯彻落实党的教育方针，坚定不移走中国特色社会主义教育发展道路，不断完善党领导下紫阳县教育体育工作相关体制机制，全面提升教育系统党的建设质量，为教育体育改革发展提供更为坚实的政治保证。</w:t>
      </w:r>
    </w:p>
    <w:p>
      <w:pPr>
        <w:pStyle w:val="2"/>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坚持教育优先发展。</w:t>
      </w:r>
      <w:r>
        <w:rPr>
          <w:rFonts w:hint="eastAsia" w:ascii="仿宋_GB2312" w:hAnsi="仿宋_GB2312" w:eastAsia="仿宋_GB2312" w:cs="仿宋_GB2312"/>
          <w:b w:val="0"/>
          <w:bCs w:val="0"/>
          <w:lang w:val="en-US" w:eastAsia="zh-CN"/>
        </w:rPr>
        <w:t>把教育摆在基础性、先导性、全局性的战略地位，健全优先发展教育的体制机制，在经济社会发展规划上优先安排教育、财政资金投入上优先保障教育、公共资源配置上优先满足教育和人力资源开发需要。</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lang w:val="en-US" w:eastAsia="zh-CN"/>
        </w:rPr>
        <w:t>坚持以人民为中心。</w:t>
      </w:r>
      <w:r>
        <w:rPr>
          <w:rFonts w:hint="eastAsia" w:ascii="仿宋_GB2312" w:hAnsi="仿宋_GB2312" w:eastAsia="仿宋_GB2312" w:cs="仿宋_GB2312"/>
          <w:b w:val="0"/>
          <w:bCs w:val="0"/>
          <w:lang w:val="en-US" w:eastAsia="zh-CN"/>
        </w:rPr>
        <w:t>牢固树立以人民为中心的发展思想，把满足人民群众享有公平而有质量的教育体育需求作为改革发展的出发点和落脚点，着力解决人民群众最关心最直接最现实的教育体育问题，办好人民满意的教育，提升全民身体素质。</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坚持改革创新发展。</w:t>
      </w:r>
      <w:r>
        <w:rPr>
          <w:rFonts w:hint="eastAsia" w:ascii="仿宋_GB2312" w:hAnsi="仿宋_GB2312" w:eastAsia="仿宋_GB2312" w:cs="仿宋_GB2312"/>
          <w:lang w:val="en-US" w:eastAsia="zh-CN"/>
        </w:rPr>
        <w:t>坚持全面深化教育体育领域综合改革，推动改革和发展深度融合、高效联动，推动教育领域制度机制更加成熟更加定型。牢固树立改革创新意识，探索实践先进经验，充分激发教育体育发展生机活力，为推进教育体育现代化提供根本动力。</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坚持依法治理思维。</w:t>
      </w:r>
      <w:r>
        <w:rPr>
          <w:rFonts w:hint="eastAsia" w:ascii="仿宋_GB2312" w:hAnsi="仿宋_GB2312" w:eastAsia="仿宋_GB2312" w:cs="仿宋_GB2312"/>
          <w:lang w:val="en-US" w:eastAsia="zh-CN"/>
        </w:rPr>
        <w:t>注重运用法治思维和法治方式推动教育体育改革发展，保障广大人民群众受教育权利和体质健康权，推进依法治教、依法治体，提升教育体育治理体系和治理能力现代化水平。</w:t>
      </w:r>
    </w:p>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8" w:name="_Toc19783"/>
      <w:r>
        <w:rPr>
          <w:rFonts w:hint="eastAsia" w:ascii="楷体_GB2312" w:hAnsi="楷体_GB2312" w:eastAsia="楷体_GB2312" w:cs="楷体_GB2312"/>
          <w:lang w:val="en-US" w:eastAsia="zh-CN"/>
        </w:rPr>
        <w:t>三、发展目标</w:t>
      </w:r>
      <w:bookmarkEnd w:id="8"/>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到2025年，紫阳县城乡均衡、体系健全、发展充分、质量较高的教育体育发展格局基本形成。巩固提升学前教育的普及普惠水平，推动义务教育优质均衡发展，高中教育落实优质发展，职业教育持续深化产教融合，学校布局更加科学合理，办学条件明显改善，依法治教和学校内部管理的制度体系全面完善，</w:t>
      </w:r>
      <w:r>
        <w:rPr>
          <w:rFonts w:hint="eastAsia" w:ascii="仿宋_GB2312" w:hAnsi="仿宋_GB2312" w:eastAsia="仿宋_GB2312" w:cs="仿宋_GB2312"/>
          <w:lang w:eastAsia="zh-CN"/>
        </w:rPr>
        <w:t>人民群众关心的教育热点难点问题得到有效破解</w:t>
      </w:r>
      <w:r>
        <w:rPr>
          <w:rFonts w:hint="eastAsia" w:ascii="仿宋_GB2312" w:hAnsi="仿宋_GB2312" w:eastAsia="仿宋_GB2312" w:cs="仿宋_GB2312"/>
          <w:lang w:val="en-US" w:eastAsia="zh-CN"/>
        </w:rPr>
        <w:t>。强化体育公共服务职能，全面实施全民健身国家战略，构建更高水平的全民健身公共服务体系。青少年体育后备人才体系建设更加完善，体育产业与相关产业融合发展程度进一步提升，不断满足人民群众日益增长的多元化、多层次的体育消费需求。</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Cs w:val="32"/>
          <w:lang w:bidi="ar"/>
        </w:rPr>
      </w:pPr>
      <w:r>
        <w:rPr>
          <w:rFonts w:hint="eastAsia" w:ascii="仿宋_GB2312" w:hAnsi="仿宋_GB2312" w:eastAsia="仿宋_GB2312" w:cs="仿宋_GB2312"/>
          <w:b/>
          <w:bCs/>
          <w:color w:val="333333"/>
          <w:kern w:val="0"/>
          <w:szCs w:val="32"/>
          <w:lang w:bidi="ar"/>
        </w:rPr>
        <w:t>学前教育：</w:t>
      </w:r>
      <w:r>
        <w:rPr>
          <w:rFonts w:hint="eastAsia" w:ascii="仿宋_GB2312" w:hAnsi="仿宋_GB2312" w:eastAsia="仿宋_GB2312" w:cs="仿宋_GB2312"/>
          <w:b w:val="0"/>
          <w:bCs w:val="0"/>
          <w:color w:val="auto"/>
          <w:kern w:val="0"/>
          <w:szCs w:val="32"/>
          <w:lang w:bidi="ar"/>
        </w:rPr>
        <w:t>全面建立起覆盖城乡、布局合理、资源均衡、公益普惠、优质高效的学前教育公共服务体系。</w:t>
      </w:r>
      <w:r>
        <w:rPr>
          <w:rFonts w:hint="eastAsia" w:ascii="仿宋_GB2312" w:hAnsi="仿宋_GB2312" w:eastAsia="仿宋_GB2312" w:cs="仿宋_GB2312"/>
          <w:lang w:val="en-US" w:eastAsia="zh-CN"/>
        </w:rPr>
        <w:t>到2025年底</w:t>
      </w:r>
      <w:r>
        <w:rPr>
          <w:rFonts w:hint="eastAsia" w:ascii="仿宋_GB2312" w:hAnsi="仿宋_GB2312" w:eastAsia="仿宋_GB2312" w:cs="仿宋_GB2312"/>
          <w:b w:val="0"/>
          <w:bCs w:val="0"/>
          <w:color w:val="auto"/>
          <w:kern w:val="0"/>
          <w:szCs w:val="32"/>
          <w:lang w:val="en-US" w:eastAsia="zh-CN" w:bidi="ar"/>
        </w:rPr>
        <w:t>，</w:t>
      </w:r>
      <w:r>
        <w:rPr>
          <w:rFonts w:hint="eastAsia" w:ascii="仿宋_GB2312" w:hAnsi="仿宋_GB2312" w:eastAsia="仿宋_GB2312" w:cs="仿宋_GB2312"/>
          <w:color w:val="auto"/>
          <w:kern w:val="0"/>
          <w:szCs w:val="32"/>
          <w:lang w:bidi="ar"/>
        </w:rPr>
        <w:t>公办幼儿园占比达到</w:t>
      </w:r>
      <w:r>
        <w:rPr>
          <w:rFonts w:hint="eastAsia" w:ascii="仿宋_GB2312" w:hAnsi="仿宋_GB2312" w:eastAsia="仿宋_GB2312" w:cs="仿宋_GB2312"/>
          <w:color w:val="auto"/>
          <w:kern w:val="0"/>
          <w:szCs w:val="32"/>
          <w:lang w:val="en-US" w:eastAsia="zh-CN" w:bidi="ar"/>
        </w:rPr>
        <w:t>69.6%</w:t>
      </w:r>
      <w:r>
        <w:rPr>
          <w:rFonts w:hint="eastAsia" w:ascii="仿宋_GB2312" w:hAnsi="仿宋_GB2312" w:eastAsia="仿宋_GB2312" w:cs="仿宋_GB2312"/>
          <w:color w:val="auto"/>
          <w:kern w:val="0"/>
          <w:szCs w:val="32"/>
          <w:lang w:bidi="ar"/>
        </w:rPr>
        <w:t>以上，公办幼儿园在园幼儿占比达到</w:t>
      </w:r>
      <w:r>
        <w:rPr>
          <w:rFonts w:hint="eastAsia" w:ascii="仿宋_GB2312" w:hAnsi="仿宋_GB2312" w:eastAsia="仿宋_GB2312" w:cs="仿宋_GB2312"/>
          <w:color w:val="auto"/>
          <w:kern w:val="0"/>
          <w:szCs w:val="32"/>
          <w:lang w:val="en-US" w:eastAsia="zh-CN" w:bidi="ar"/>
        </w:rPr>
        <w:t>79%</w:t>
      </w:r>
      <w:r>
        <w:rPr>
          <w:rFonts w:hint="eastAsia" w:ascii="仿宋_GB2312" w:hAnsi="仿宋_GB2312" w:eastAsia="仿宋_GB2312" w:cs="仿宋_GB2312"/>
          <w:color w:val="auto"/>
          <w:kern w:val="0"/>
          <w:szCs w:val="32"/>
          <w:lang w:bidi="ar"/>
        </w:rPr>
        <w:t>以上，普惠性幼儿园占比达到</w:t>
      </w:r>
      <w:r>
        <w:rPr>
          <w:rFonts w:hint="eastAsia" w:ascii="仿宋_GB2312" w:hAnsi="仿宋_GB2312" w:eastAsia="仿宋_GB2312" w:cs="仿宋_GB2312"/>
          <w:color w:val="auto"/>
          <w:kern w:val="0"/>
          <w:szCs w:val="32"/>
          <w:lang w:val="en-US" w:eastAsia="zh-CN" w:bidi="ar"/>
        </w:rPr>
        <w:t>100%</w:t>
      </w:r>
      <w:r>
        <w:rPr>
          <w:rFonts w:hint="eastAsia" w:ascii="仿宋_GB2312" w:hAnsi="仿宋_GB2312" w:eastAsia="仿宋_GB2312" w:cs="仿宋_GB2312"/>
          <w:color w:val="auto"/>
          <w:kern w:val="0"/>
          <w:szCs w:val="32"/>
          <w:lang w:bidi="ar"/>
        </w:rPr>
        <w:t>，学前三年毛入园率稳定在</w:t>
      </w:r>
      <w:r>
        <w:rPr>
          <w:rFonts w:hint="eastAsia" w:ascii="仿宋_GB2312" w:hAnsi="仿宋_GB2312" w:eastAsia="仿宋_GB2312" w:cs="仿宋_GB2312"/>
          <w:color w:val="auto"/>
          <w:kern w:val="0"/>
          <w:szCs w:val="32"/>
          <w:lang w:val="en-US" w:eastAsia="zh-CN" w:bidi="ar"/>
        </w:rPr>
        <w:t>97%</w:t>
      </w:r>
      <w:r>
        <w:rPr>
          <w:rFonts w:hint="eastAsia" w:ascii="仿宋_GB2312" w:hAnsi="仿宋_GB2312" w:eastAsia="仿宋_GB2312" w:cs="仿宋_GB2312"/>
          <w:color w:val="auto"/>
          <w:kern w:val="0"/>
          <w:szCs w:val="32"/>
          <w:lang w:bidi="ar"/>
        </w:rPr>
        <w:t>以上，</w:t>
      </w:r>
      <w:r>
        <w:rPr>
          <w:rFonts w:hint="eastAsia" w:ascii="仿宋_GB2312" w:hAnsi="仿宋_GB2312" w:eastAsia="仿宋_GB2312" w:cs="仿宋_GB2312"/>
          <w:color w:val="auto"/>
          <w:kern w:val="0"/>
          <w:szCs w:val="32"/>
          <w:lang w:eastAsia="zh-CN" w:bidi="ar"/>
        </w:rPr>
        <w:t>办园条件合格，班额普遍达标，</w:t>
      </w:r>
      <w:r>
        <w:rPr>
          <w:rFonts w:hint="eastAsia" w:ascii="仿宋_GB2312" w:hAnsi="仿宋_GB2312" w:eastAsia="仿宋_GB2312" w:cs="仿宋_GB2312"/>
          <w:color w:val="auto"/>
          <w:kern w:val="0"/>
          <w:szCs w:val="32"/>
          <w:lang w:bidi="ar"/>
        </w:rPr>
        <w:t>2</w:t>
      </w:r>
      <w:r>
        <w:rPr>
          <w:rFonts w:hint="eastAsia" w:ascii="仿宋_GB2312" w:hAnsi="仿宋_GB2312" w:eastAsia="仿宋_GB2312" w:cs="仿宋_GB2312"/>
          <w:color w:val="auto"/>
          <w:kern w:val="0"/>
          <w:szCs w:val="32"/>
          <w:lang w:val="en-US" w:eastAsia="zh-CN" w:bidi="ar"/>
        </w:rPr>
        <w:t>7</w:t>
      </w:r>
      <w:r>
        <w:rPr>
          <w:rFonts w:hint="eastAsia" w:ascii="仿宋_GB2312" w:hAnsi="仿宋_GB2312" w:eastAsia="仿宋_GB2312" w:cs="仿宋_GB2312"/>
          <w:color w:val="auto"/>
          <w:kern w:val="0"/>
          <w:szCs w:val="32"/>
          <w:lang w:bidi="ar"/>
        </w:rPr>
        <w:t>所幼儿园达到符合学前教育普及普惠办学标准。</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Cs w:val="32"/>
          <w:lang w:val="en-US" w:eastAsia="zh-CN" w:bidi="ar"/>
        </w:rPr>
      </w:pPr>
      <w:r>
        <w:rPr>
          <w:rFonts w:hint="eastAsia" w:ascii="仿宋_GB2312" w:hAnsi="仿宋_GB2312" w:eastAsia="仿宋_GB2312" w:cs="仿宋_GB2312"/>
          <w:b/>
          <w:bCs/>
          <w:color w:val="auto"/>
          <w:kern w:val="0"/>
          <w:szCs w:val="32"/>
          <w:lang w:bidi="ar"/>
        </w:rPr>
        <w:t>义务教育：</w:t>
      </w:r>
      <w:r>
        <w:rPr>
          <w:rFonts w:hint="eastAsia" w:ascii="仿宋_GB2312" w:hAnsi="仿宋_GB2312" w:eastAsia="仿宋_GB2312" w:cs="仿宋_GB2312"/>
          <w:b w:val="0"/>
          <w:bCs w:val="0"/>
          <w:color w:val="auto"/>
          <w:kern w:val="0"/>
          <w:szCs w:val="32"/>
          <w:lang w:eastAsia="zh-CN" w:bidi="ar"/>
        </w:rPr>
        <w:t>在现有义务教育基本均衡发展基础上，补短板、强弱项，进一步缩小城乡间教育发展差距，</w:t>
      </w:r>
      <w:r>
        <w:rPr>
          <w:rFonts w:hint="eastAsia" w:ascii="仿宋_GB2312" w:hAnsi="仿宋_GB2312" w:eastAsia="仿宋_GB2312" w:cs="仿宋_GB2312"/>
          <w:color w:val="auto"/>
          <w:kern w:val="0"/>
          <w:szCs w:val="32"/>
          <w:lang w:bidi="ar"/>
        </w:rPr>
        <w:t>落实“双减”工作，深入开展德育、心理健康教育和行为习惯养成教育。</w:t>
      </w:r>
      <w:r>
        <w:rPr>
          <w:rFonts w:hint="eastAsia" w:ascii="仿宋_GB2312" w:hAnsi="仿宋_GB2312" w:eastAsia="仿宋_GB2312" w:cs="仿宋_GB2312"/>
          <w:lang w:val="en-US" w:eastAsia="zh-CN"/>
        </w:rPr>
        <w:t>到2025年底，</w:t>
      </w:r>
      <w:r>
        <w:rPr>
          <w:rFonts w:hint="eastAsia" w:ascii="仿宋_GB2312" w:hAnsi="仿宋_GB2312" w:eastAsia="仿宋_GB2312" w:cs="仿宋_GB2312"/>
          <w:color w:val="auto"/>
          <w:kern w:val="0"/>
          <w:szCs w:val="32"/>
          <w:lang w:val="en-US" w:eastAsia="zh-CN" w:bidi="ar"/>
        </w:rPr>
        <w:t>47所义务教育阶段学校达到符合义务教育优质均衡发展办学标准</w:t>
      </w:r>
      <w:r>
        <w:rPr>
          <w:rFonts w:hint="eastAsia" w:ascii="仿宋_GB2312" w:hAnsi="仿宋_GB2312" w:eastAsia="仿宋_GB2312" w:cs="仿宋_GB2312"/>
          <w:color w:val="auto"/>
          <w:kern w:val="0"/>
          <w:szCs w:val="32"/>
          <w:lang w:eastAsia="zh-CN" w:bidi="ar"/>
        </w:rPr>
        <w:t>；九年义务教育巩固率达到</w:t>
      </w:r>
      <w:r>
        <w:rPr>
          <w:rFonts w:hint="eastAsia" w:ascii="仿宋_GB2312" w:hAnsi="仿宋_GB2312" w:eastAsia="仿宋_GB2312" w:cs="仿宋_GB2312"/>
          <w:color w:val="auto"/>
          <w:kern w:val="0"/>
          <w:szCs w:val="32"/>
          <w:lang w:val="en-US" w:eastAsia="zh-CN" w:bidi="ar"/>
        </w:rPr>
        <w:t>100%。</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Cs w:val="32"/>
          <w:lang w:bidi="ar"/>
        </w:rPr>
      </w:pPr>
      <w:r>
        <w:rPr>
          <w:rFonts w:hint="eastAsia" w:ascii="仿宋_GB2312" w:hAnsi="仿宋_GB2312" w:eastAsia="仿宋_GB2312" w:cs="仿宋_GB2312"/>
          <w:b/>
          <w:bCs/>
          <w:color w:val="auto"/>
          <w:kern w:val="0"/>
          <w:szCs w:val="32"/>
          <w:lang w:bidi="ar"/>
        </w:rPr>
        <w:t>高中教育：</w:t>
      </w:r>
      <w:r>
        <w:rPr>
          <w:rFonts w:hint="eastAsia" w:ascii="仿宋_GB2312" w:hAnsi="仿宋_GB2312" w:eastAsia="仿宋_GB2312" w:cs="仿宋_GB2312"/>
          <w:color w:val="auto"/>
          <w:kern w:val="0"/>
          <w:szCs w:val="32"/>
          <w:lang w:bidi="ar"/>
        </w:rPr>
        <w:t>实施标准化建设工程，校舍资源配置和功能结构进一步优化</w:t>
      </w:r>
      <w:r>
        <w:rPr>
          <w:rFonts w:hint="eastAsia" w:ascii="仿宋_GB2312" w:hAnsi="仿宋_GB2312" w:eastAsia="仿宋_GB2312" w:cs="仿宋_GB2312"/>
          <w:color w:val="auto"/>
          <w:kern w:val="0"/>
          <w:szCs w:val="32"/>
          <w:lang w:eastAsia="zh-CN" w:bidi="ar"/>
        </w:rPr>
        <w:t>，大班额、大校额问题得到明显改善。</w:t>
      </w:r>
      <w:r>
        <w:rPr>
          <w:rFonts w:hint="eastAsia" w:ascii="仿宋_GB2312" w:hAnsi="仿宋_GB2312" w:eastAsia="仿宋_GB2312" w:cs="仿宋_GB2312"/>
          <w:lang w:val="en-US" w:eastAsia="zh-CN"/>
        </w:rPr>
        <w:t>到2025年底，</w:t>
      </w:r>
      <w:r>
        <w:rPr>
          <w:rFonts w:hint="eastAsia" w:ascii="仿宋_GB2312" w:hAnsi="仿宋_GB2312" w:eastAsia="仿宋_GB2312" w:cs="仿宋_GB2312"/>
          <w:color w:val="auto"/>
          <w:kern w:val="0"/>
          <w:szCs w:val="32"/>
          <w:lang w:bidi="ar"/>
        </w:rPr>
        <w:t>高中阶段学生毛入学率达</w:t>
      </w:r>
      <w:r>
        <w:rPr>
          <w:rFonts w:hint="eastAsia" w:ascii="仿宋_GB2312" w:hAnsi="仿宋_GB2312" w:eastAsia="仿宋_GB2312" w:cs="仿宋_GB2312"/>
          <w:color w:val="auto"/>
          <w:kern w:val="0"/>
          <w:szCs w:val="32"/>
          <w:lang w:val="en-US" w:eastAsia="zh-CN" w:bidi="ar"/>
        </w:rPr>
        <w:t>98.3</w:t>
      </w:r>
      <w:r>
        <w:rPr>
          <w:rFonts w:hint="eastAsia" w:ascii="仿宋_GB2312" w:hAnsi="仿宋_GB2312" w:eastAsia="仿宋_GB2312" w:cs="仿宋_GB2312"/>
          <w:color w:val="auto"/>
          <w:kern w:val="0"/>
          <w:szCs w:val="32"/>
          <w:lang w:bidi="ar"/>
        </w:rPr>
        <w:t>%以上</w:t>
      </w:r>
      <w:r>
        <w:rPr>
          <w:rFonts w:hint="eastAsia" w:ascii="仿宋_GB2312" w:hAnsi="仿宋_GB2312" w:eastAsia="仿宋_GB2312" w:cs="仿宋_GB2312"/>
          <w:color w:val="auto"/>
          <w:kern w:val="0"/>
          <w:szCs w:val="32"/>
          <w:lang w:eastAsia="zh-CN" w:bidi="ar"/>
        </w:rPr>
        <w:t>，</w:t>
      </w:r>
      <w:r>
        <w:rPr>
          <w:rFonts w:hint="eastAsia" w:ascii="仿宋_GB2312" w:hAnsi="仿宋_GB2312" w:eastAsia="仿宋_GB2312" w:cs="仿宋_GB2312"/>
          <w:color w:val="auto"/>
          <w:kern w:val="0"/>
          <w:szCs w:val="32"/>
          <w:lang w:bidi="ar"/>
        </w:rPr>
        <w:t>特色化多样化更加明显，教育质量稳步提升。</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Cs w:val="32"/>
          <w:lang w:bidi="ar"/>
        </w:rPr>
      </w:pPr>
      <w:r>
        <w:rPr>
          <w:rFonts w:hint="eastAsia" w:ascii="仿宋_GB2312" w:hAnsi="仿宋_GB2312" w:eastAsia="仿宋_GB2312" w:cs="仿宋_GB2312"/>
          <w:b/>
          <w:bCs/>
          <w:color w:val="333333"/>
          <w:kern w:val="0"/>
          <w:szCs w:val="32"/>
          <w:lang w:bidi="ar"/>
        </w:rPr>
        <w:t>职业教育：</w:t>
      </w:r>
      <w:r>
        <w:rPr>
          <w:rFonts w:hint="eastAsia" w:ascii="仿宋_GB2312" w:hAnsi="仿宋_GB2312" w:eastAsia="仿宋_GB2312" w:cs="仿宋_GB2312"/>
          <w:color w:val="auto"/>
          <w:kern w:val="0"/>
          <w:szCs w:val="32"/>
          <w:lang w:bidi="ar"/>
        </w:rPr>
        <w:t>持续深化产教融合，提升校企合作水平，强化</w:t>
      </w:r>
      <w:r>
        <w:rPr>
          <w:rFonts w:hint="eastAsia" w:ascii="仿宋_GB2312" w:hAnsi="仿宋_GB2312" w:eastAsia="仿宋_GB2312" w:cs="仿宋_GB2312"/>
          <w:color w:val="auto"/>
          <w:kern w:val="0"/>
          <w:szCs w:val="32"/>
          <w:lang w:eastAsia="zh-CN" w:bidi="ar"/>
        </w:rPr>
        <w:t>县职业教育中心</w:t>
      </w:r>
      <w:r>
        <w:rPr>
          <w:rFonts w:hint="eastAsia" w:ascii="仿宋_GB2312" w:hAnsi="仿宋_GB2312" w:eastAsia="仿宋_GB2312" w:cs="仿宋_GB2312"/>
          <w:color w:val="auto"/>
          <w:kern w:val="0"/>
          <w:szCs w:val="32"/>
          <w:lang w:bidi="ar"/>
        </w:rPr>
        <w:t>承载能力，不断提升教学与技能培养能力。</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Cs w:val="32"/>
          <w:lang w:eastAsia="zh-CN" w:bidi="ar"/>
        </w:rPr>
      </w:pPr>
      <w:r>
        <w:rPr>
          <w:rFonts w:hint="eastAsia" w:ascii="仿宋_GB2312" w:hAnsi="仿宋_GB2312" w:eastAsia="仿宋_GB2312" w:cs="仿宋_GB2312"/>
          <w:b/>
          <w:bCs/>
          <w:color w:val="auto"/>
          <w:kern w:val="0"/>
          <w:szCs w:val="32"/>
          <w:lang w:eastAsia="zh-CN" w:bidi="ar"/>
        </w:rPr>
        <w:t>特殊教育。</w:t>
      </w:r>
      <w:r>
        <w:rPr>
          <w:rFonts w:hint="eastAsia" w:ascii="仿宋_GB2312" w:hAnsi="仿宋_GB2312" w:eastAsia="仿宋_GB2312" w:cs="仿宋_GB2312"/>
          <w:color w:val="auto"/>
          <w:kern w:val="0"/>
          <w:szCs w:val="32"/>
          <w:lang w:eastAsia="zh-CN" w:bidi="ar"/>
        </w:rPr>
        <w:t>为适龄残疾儿童提供公平受教育机会，保证特殊教育经费投入，确保适龄残疾儿童入学率不低于9</w:t>
      </w:r>
      <w:r>
        <w:rPr>
          <w:rFonts w:hint="eastAsia" w:ascii="仿宋_GB2312" w:hAnsi="仿宋_GB2312" w:eastAsia="仿宋_GB2312" w:cs="仿宋_GB2312"/>
          <w:color w:val="auto"/>
          <w:kern w:val="0"/>
          <w:szCs w:val="32"/>
          <w:lang w:val="en-US" w:eastAsia="zh-CN" w:bidi="ar"/>
        </w:rPr>
        <w:t>5</w:t>
      </w:r>
      <w:r>
        <w:rPr>
          <w:rFonts w:hint="eastAsia" w:ascii="仿宋_GB2312" w:hAnsi="仿宋_GB2312" w:eastAsia="仿宋_GB2312" w:cs="仿宋_GB2312"/>
          <w:color w:val="auto"/>
          <w:kern w:val="0"/>
          <w:szCs w:val="32"/>
          <w:lang w:eastAsia="zh-CN" w:bidi="ar"/>
        </w:rPr>
        <w:t>%。</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Cs w:val="32"/>
          <w:lang w:eastAsia="zh-CN" w:bidi="ar"/>
        </w:rPr>
      </w:pPr>
      <w:r>
        <w:rPr>
          <w:rFonts w:hint="eastAsia" w:ascii="仿宋_GB2312" w:hAnsi="仿宋_GB2312" w:eastAsia="仿宋_GB2312" w:cs="仿宋_GB2312"/>
          <w:b/>
          <w:bCs/>
          <w:color w:val="auto"/>
          <w:kern w:val="0"/>
          <w:szCs w:val="32"/>
          <w:lang w:bidi="ar"/>
        </w:rPr>
        <w:t>教师队伍</w:t>
      </w:r>
      <w:r>
        <w:rPr>
          <w:rFonts w:hint="eastAsia" w:ascii="仿宋_GB2312" w:hAnsi="仿宋_GB2312" w:eastAsia="仿宋_GB2312" w:cs="仿宋_GB2312"/>
          <w:color w:val="auto"/>
        </w:rPr>
        <w:t>：加大“三级三类”骨干教师培训力度，</w:t>
      </w:r>
      <w:r>
        <w:rPr>
          <w:rFonts w:hint="eastAsia" w:ascii="仿宋_GB2312" w:hAnsi="仿宋_GB2312" w:eastAsia="仿宋_GB2312" w:cs="仿宋_GB2312"/>
          <w:color w:val="auto"/>
          <w:lang w:eastAsia="zh-CN"/>
        </w:rPr>
        <w:t>中小学</w:t>
      </w:r>
      <w:r>
        <w:rPr>
          <w:rFonts w:hint="eastAsia" w:ascii="仿宋_GB2312" w:hAnsi="仿宋_GB2312" w:eastAsia="仿宋_GB2312" w:cs="仿宋_GB2312"/>
          <w:color w:val="auto"/>
        </w:rPr>
        <w:t>教师五年360学时培训完成率达到100%。按标准配齐配足薄弱学科教师，“双师型”教师占职业</w:t>
      </w:r>
      <w:r>
        <w:rPr>
          <w:rFonts w:hint="eastAsia" w:ascii="仿宋_GB2312" w:hAnsi="仿宋_GB2312" w:eastAsia="仿宋_GB2312" w:cs="仿宋_GB2312"/>
          <w:color w:val="auto"/>
          <w:lang w:eastAsia="zh-CN"/>
        </w:rPr>
        <w:t>学</w:t>
      </w:r>
      <w:r>
        <w:rPr>
          <w:rFonts w:hint="eastAsia" w:ascii="仿宋_GB2312" w:hAnsi="仿宋_GB2312" w:eastAsia="仿宋_GB2312" w:cs="仿宋_GB2312"/>
          <w:color w:val="auto"/>
        </w:rPr>
        <w:t>校专业课教师总数</w:t>
      </w:r>
      <w:r>
        <w:rPr>
          <w:rFonts w:hint="eastAsia" w:ascii="仿宋_GB2312" w:hAnsi="仿宋_GB2312" w:eastAsia="仿宋_GB2312" w:cs="仿宋_GB2312"/>
          <w:color w:val="auto"/>
          <w:lang w:val="en-US" w:eastAsia="zh-CN"/>
        </w:rPr>
        <w:t>30</w:t>
      </w:r>
      <w:r>
        <w:rPr>
          <w:rFonts w:hint="eastAsia" w:ascii="仿宋_GB2312" w:hAnsi="仿宋_GB2312" w:eastAsia="仿宋_GB2312" w:cs="仿宋_GB2312"/>
          <w:color w:val="auto"/>
        </w:rPr>
        <w:t>%以上。</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Cs w:val="32"/>
          <w:lang w:eastAsia="zh-CN" w:bidi="ar"/>
        </w:rPr>
      </w:pPr>
      <w:r>
        <w:rPr>
          <w:rFonts w:hint="eastAsia" w:ascii="仿宋_GB2312" w:hAnsi="仿宋_GB2312" w:eastAsia="仿宋_GB2312" w:cs="仿宋_GB2312"/>
          <w:b/>
          <w:bCs/>
          <w:color w:val="auto"/>
          <w:kern w:val="0"/>
          <w:szCs w:val="32"/>
          <w:lang w:bidi="ar"/>
        </w:rPr>
        <w:t>教育信息化：</w:t>
      </w:r>
      <w:r>
        <w:rPr>
          <w:rFonts w:hint="eastAsia" w:ascii="仿宋_GB2312" w:hAnsi="仿宋_GB2312" w:eastAsia="仿宋_GB2312" w:cs="仿宋_GB2312"/>
          <w:color w:val="auto"/>
          <w:kern w:val="0"/>
          <w:szCs w:val="32"/>
          <w:lang w:bidi="ar"/>
        </w:rPr>
        <w:t>县级教育城域网、数字校园、智慧校园等项目</w:t>
      </w:r>
      <w:r>
        <w:rPr>
          <w:rFonts w:hint="eastAsia" w:ascii="仿宋_GB2312" w:hAnsi="仿宋_GB2312" w:eastAsia="仿宋_GB2312" w:cs="仿宋_GB2312"/>
          <w:color w:val="auto"/>
          <w:kern w:val="0"/>
          <w:szCs w:val="32"/>
          <w:lang w:eastAsia="zh-CN" w:bidi="ar"/>
        </w:rPr>
        <w:t>建成投用</w:t>
      </w:r>
      <w:r>
        <w:rPr>
          <w:rFonts w:hint="eastAsia" w:ascii="仿宋_GB2312" w:hAnsi="仿宋_GB2312" w:eastAsia="仿宋_GB2312" w:cs="仿宋_GB2312"/>
          <w:color w:val="auto"/>
          <w:kern w:val="0"/>
          <w:szCs w:val="32"/>
          <w:lang w:bidi="ar"/>
        </w:rPr>
        <w:t>，</w:t>
      </w:r>
      <w:r>
        <w:rPr>
          <w:rFonts w:hint="eastAsia" w:ascii="仿宋_GB2312" w:hAnsi="仿宋_GB2312" w:eastAsia="仿宋_GB2312" w:cs="仿宋_GB2312"/>
          <w:color w:val="auto"/>
          <w:kern w:val="0"/>
          <w:szCs w:val="32"/>
          <w:lang w:eastAsia="zh-CN" w:bidi="ar"/>
        </w:rPr>
        <w:t>教育</w:t>
      </w:r>
      <w:r>
        <w:rPr>
          <w:rFonts w:hint="eastAsia" w:ascii="仿宋_GB2312" w:hAnsi="仿宋_GB2312" w:eastAsia="仿宋_GB2312" w:cs="仿宋_GB2312"/>
          <w:color w:val="auto"/>
          <w:kern w:val="0"/>
          <w:szCs w:val="32"/>
          <w:lang w:bidi="ar"/>
        </w:rPr>
        <w:t>信息化应用水平和师生信息素养明显提高</w:t>
      </w:r>
      <w:r>
        <w:rPr>
          <w:rFonts w:hint="eastAsia" w:ascii="仿宋_GB2312" w:hAnsi="仿宋_GB2312" w:eastAsia="仿宋_GB2312" w:cs="仿宋_GB2312"/>
          <w:color w:val="auto"/>
          <w:kern w:val="0"/>
          <w:szCs w:val="32"/>
          <w:lang w:eastAsia="zh-CN" w:bidi="ar"/>
        </w:rPr>
        <w:t>。</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Cs w:val="32"/>
          <w:lang w:val="en-US" w:bidi="ar"/>
        </w:rPr>
      </w:pPr>
      <w:r>
        <w:rPr>
          <w:rFonts w:hint="eastAsia" w:ascii="仿宋_GB2312" w:hAnsi="仿宋_GB2312" w:eastAsia="仿宋_GB2312" w:cs="仿宋_GB2312"/>
          <w:b/>
          <w:bCs/>
          <w:color w:val="auto"/>
          <w:kern w:val="0"/>
          <w:szCs w:val="32"/>
          <w:lang w:bidi="ar"/>
        </w:rPr>
        <w:t>青少年体育：</w:t>
      </w:r>
      <w:r>
        <w:rPr>
          <w:rFonts w:hint="eastAsia" w:ascii="仿宋_GB2312" w:hAnsi="仿宋_GB2312" w:eastAsia="仿宋_GB2312" w:cs="仿宋_GB2312"/>
          <w:b w:val="0"/>
          <w:bCs w:val="0"/>
          <w:color w:val="auto"/>
          <w:kern w:val="0"/>
          <w:szCs w:val="32"/>
          <w:lang w:bidi="ar"/>
        </w:rPr>
        <w:t>实施青少年体育活动促进计划，</w:t>
      </w:r>
      <w:r>
        <w:rPr>
          <w:rFonts w:hint="eastAsia" w:ascii="仿宋_GB2312" w:hAnsi="仿宋_GB2312" w:eastAsia="仿宋_GB2312" w:cs="仿宋_GB2312"/>
          <w:b w:val="0"/>
          <w:bCs w:val="0"/>
          <w:color w:val="auto"/>
          <w:kern w:val="0"/>
          <w:szCs w:val="32"/>
          <w:lang w:eastAsia="zh-CN" w:bidi="ar"/>
        </w:rPr>
        <w:t>学生体质健康测试合格率和优良率分别达到9</w:t>
      </w:r>
      <w:r>
        <w:rPr>
          <w:rFonts w:hint="eastAsia" w:ascii="仿宋_GB2312" w:hAnsi="仿宋_GB2312" w:eastAsia="仿宋_GB2312" w:cs="仿宋_GB2312"/>
          <w:b w:val="0"/>
          <w:bCs w:val="0"/>
          <w:color w:val="auto"/>
          <w:kern w:val="0"/>
          <w:szCs w:val="32"/>
          <w:lang w:val="en-US" w:eastAsia="zh-CN" w:bidi="ar"/>
        </w:rPr>
        <w:t>3</w:t>
      </w:r>
      <w:r>
        <w:rPr>
          <w:rFonts w:hint="eastAsia" w:ascii="仿宋_GB2312" w:hAnsi="仿宋_GB2312" w:eastAsia="仿宋_GB2312" w:cs="仿宋_GB2312"/>
          <w:b w:val="0"/>
          <w:bCs w:val="0"/>
          <w:color w:val="auto"/>
          <w:kern w:val="0"/>
          <w:szCs w:val="32"/>
          <w:lang w:eastAsia="zh-CN" w:bidi="ar"/>
        </w:rPr>
        <w:t>%和</w:t>
      </w:r>
      <w:r>
        <w:rPr>
          <w:rFonts w:hint="eastAsia" w:ascii="仿宋_GB2312" w:hAnsi="仿宋_GB2312" w:eastAsia="仿宋_GB2312" w:cs="仿宋_GB2312"/>
          <w:b w:val="0"/>
          <w:bCs w:val="0"/>
          <w:color w:val="auto"/>
          <w:kern w:val="0"/>
          <w:szCs w:val="32"/>
          <w:lang w:val="en-US" w:eastAsia="zh-CN" w:bidi="ar"/>
        </w:rPr>
        <w:t>25</w:t>
      </w:r>
      <w:r>
        <w:rPr>
          <w:rFonts w:hint="eastAsia" w:ascii="仿宋_GB2312" w:hAnsi="仿宋_GB2312" w:eastAsia="仿宋_GB2312" w:cs="仿宋_GB2312"/>
          <w:b w:val="0"/>
          <w:bCs w:val="0"/>
          <w:color w:val="auto"/>
          <w:kern w:val="0"/>
          <w:szCs w:val="32"/>
          <w:lang w:eastAsia="zh-CN" w:bidi="ar"/>
        </w:rPr>
        <w:t>%。青少年总体近视率逐年下降1%以上。</w:t>
      </w:r>
      <w:r>
        <w:rPr>
          <w:rFonts w:hint="eastAsia" w:ascii="仿宋_GB2312" w:hAnsi="仿宋_GB2312" w:eastAsia="仿宋_GB2312" w:cs="仿宋_GB2312"/>
          <w:color w:val="333333"/>
          <w:kern w:val="0"/>
          <w:szCs w:val="32"/>
          <w:lang w:eastAsia="zh-CN" w:bidi="ar"/>
        </w:rPr>
        <w:t>开展学生课余训练竞赛活动，完善青少年体育赛事体系和后备人才培养体系，提升人才培养能力和综合训练水平。</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Cs w:val="32"/>
          <w:lang w:bidi="ar"/>
        </w:rPr>
      </w:pPr>
      <w:r>
        <w:rPr>
          <w:rFonts w:hint="eastAsia" w:ascii="仿宋_GB2312" w:hAnsi="仿宋_GB2312" w:eastAsia="仿宋_GB2312" w:cs="仿宋_GB2312"/>
          <w:b/>
          <w:bCs/>
          <w:color w:val="auto"/>
          <w:kern w:val="0"/>
          <w:szCs w:val="32"/>
          <w:lang w:eastAsia="zh-CN" w:bidi="ar"/>
        </w:rPr>
        <w:t>群众</w:t>
      </w:r>
      <w:r>
        <w:rPr>
          <w:rFonts w:hint="eastAsia" w:ascii="仿宋_GB2312" w:hAnsi="仿宋_GB2312" w:eastAsia="仿宋_GB2312" w:cs="仿宋_GB2312"/>
          <w:b/>
          <w:bCs/>
          <w:color w:val="auto"/>
          <w:kern w:val="0"/>
          <w:szCs w:val="32"/>
          <w:lang w:bidi="ar"/>
        </w:rPr>
        <w:t>体育：</w:t>
      </w:r>
      <w:r>
        <w:rPr>
          <w:rFonts w:hint="eastAsia" w:ascii="仿宋_GB2312" w:hAnsi="仿宋_GB2312" w:eastAsia="仿宋_GB2312" w:cs="仿宋_GB2312"/>
          <w:lang w:val="en-US" w:eastAsia="zh-CN"/>
        </w:rPr>
        <w:t>到2025年底，</w:t>
      </w:r>
      <w:r>
        <w:rPr>
          <w:rFonts w:hint="eastAsia" w:ascii="仿宋_GB2312" w:hAnsi="仿宋_GB2312" w:eastAsia="仿宋_GB2312" w:cs="仿宋_GB2312"/>
          <w:color w:val="auto"/>
          <w:kern w:val="0"/>
          <w:szCs w:val="32"/>
          <w:lang w:bidi="ar"/>
        </w:rPr>
        <w:t>人均体育场地面积达到2平方米以上</w:t>
      </w:r>
      <w:r>
        <w:rPr>
          <w:rFonts w:hint="eastAsia" w:ascii="仿宋_GB2312" w:hAnsi="仿宋_GB2312" w:eastAsia="仿宋_GB2312" w:cs="仿宋_GB2312"/>
          <w:color w:val="auto"/>
          <w:kern w:val="0"/>
          <w:szCs w:val="32"/>
          <w:lang w:eastAsia="zh-CN" w:bidi="ar"/>
        </w:rPr>
        <w:t>，</w:t>
      </w:r>
      <w:r>
        <w:rPr>
          <w:rFonts w:hint="eastAsia" w:ascii="仿宋_GB2312" w:hAnsi="仿宋_GB2312" w:eastAsia="仿宋_GB2312" w:cs="仿宋_GB2312"/>
          <w:color w:val="auto"/>
          <w:kern w:val="0"/>
          <w:szCs w:val="32"/>
          <w:lang w:bidi="ar"/>
        </w:rPr>
        <w:t>城乡居民体育健身意识进一步增强，经常参加体育锻炼人数比例达到</w:t>
      </w:r>
      <w:r>
        <w:rPr>
          <w:rFonts w:hint="eastAsia" w:ascii="仿宋_GB2312" w:hAnsi="仿宋_GB2312" w:eastAsia="仿宋_GB2312" w:cs="仿宋_GB2312"/>
          <w:color w:val="auto"/>
          <w:kern w:val="0"/>
          <w:szCs w:val="32"/>
          <w:lang w:val="en-US" w:eastAsia="zh-CN" w:bidi="ar"/>
        </w:rPr>
        <w:t>41.5</w:t>
      </w:r>
      <w:r>
        <w:rPr>
          <w:rFonts w:hint="eastAsia" w:ascii="仿宋_GB2312" w:hAnsi="仿宋_GB2312" w:eastAsia="仿宋_GB2312" w:cs="仿宋_GB2312"/>
          <w:color w:val="auto"/>
          <w:kern w:val="0"/>
          <w:szCs w:val="32"/>
          <w:lang w:bidi="ar"/>
        </w:rPr>
        <w:t>%以上，国民体质合格率达到91.2%，建成城市社区“15分钟健身圈”。</w:t>
      </w:r>
    </w:p>
    <w:p>
      <w:pPr>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ind w:left="0" w:leftChars="0" w:firstLine="0" w:firstLineChars="0"/>
        <w:rPr>
          <w:rFonts w:hint="eastAsia"/>
          <w:lang w:eastAsia="zh-CN"/>
        </w:rPr>
      </w:pPr>
    </w:p>
    <w:p>
      <w:pPr>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b/>
          <w:bCs/>
          <w:lang w:val="en-US" w:eastAsia="zh-CN"/>
        </w:rPr>
      </w:pPr>
      <w:r>
        <w:rPr>
          <w:rFonts w:hint="eastAsia"/>
          <w:b/>
          <w:bCs/>
          <w:lang w:eastAsia="zh-CN"/>
        </w:rPr>
        <w:t>表</w:t>
      </w:r>
      <w:r>
        <w:rPr>
          <w:rFonts w:hint="eastAsia"/>
          <w:b/>
          <w:bCs/>
          <w:lang w:val="en-US" w:eastAsia="zh-CN"/>
        </w:rPr>
        <w:t>1</w:t>
      </w:r>
      <w:r>
        <w:rPr>
          <w:rFonts w:hint="eastAsia"/>
          <w:b/>
          <w:bCs/>
        </w:rPr>
        <w:t>“十四五”教育体育发展主要指标</w:t>
      </w:r>
      <w:r>
        <w:rPr>
          <w:rFonts w:hint="eastAsia"/>
          <w:b/>
          <w:bCs/>
          <w:lang w:val="en-US" w:eastAsia="zh-CN"/>
        </w:rPr>
        <w:t>表</w:t>
      </w:r>
    </w:p>
    <w:tbl>
      <w:tblPr>
        <w:tblStyle w:val="11"/>
        <w:tblW w:w="8959" w:type="dxa"/>
        <w:tblInd w:w="93"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3923"/>
        <w:gridCol w:w="1268"/>
        <w:gridCol w:w="1376"/>
        <w:gridCol w:w="239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60" w:hRule="atLeast"/>
          <w:tblHeader/>
        </w:trPr>
        <w:tc>
          <w:tcPr>
            <w:tcW w:w="3923"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b/>
                <w:bCs/>
              </w:rPr>
            </w:pPr>
            <w:r>
              <w:rPr>
                <w:rFonts w:hint="eastAsia" w:ascii="宋体" w:hAnsi="宋体" w:eastAsia="宋体" w:cs="宋体"/>
                <w:b/>
                <w:bCs/>
              </w:rPr>
              <w:t>指标</w:t>
            </w:r>
          </w:p>
        </w:tc>
        <w:tc>
          <w:tcPr>
            <w:tcW w:w="1268"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b/>
                <w:bCs/>
              </w:rPr>
            </w:pPr>
            <w:r>
              <w:rPr>
                <w:rFonts w:hint="eastAsia" w:ascii="宋体" w:hAnsi="宋体" w:eastAsia="宋体" w:cs="宋体"/>
                <w:b/>
                <w:bCs/>
              </w:rPr>
              <w:t>2020年</w:t>
            </w:r>
          </w:p>
        </w:tc>
        <w:tc>
          <w:tcPr>
            <w:tcW w:w="1376"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b/>
                <w:bCs/>
              </w:rPr>
            </w:pPr>
            <w:r>
              <w:rPr>
                <w:rFonts w:hint="eastAsia" w:ascii="宋体" w:hAnsi="宋体" w:eastAsia="宋体" w:cs="宋体"/>
                <w:b/>
                <w:bCs/>
              </w:rPr>
              <w:t>2025年</w:t>
            </w:r>
          </w:p>
        </w:tc>
        <w:tc>
          <w:tcPr>
            <w:tcW w:w="2392"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b/>
                <w:bCs/>
              </w:rPr>
            </w:pPr>
            <w:r>
              <w:rPr>
                <w:rFonts w:hint="eastAsia" w:ascii="宋体" w:hAnsi="宋体" w:eastAsia="宋体" w:cs="宋体"/>
                <w:b/>
                <w:bCs/>
              </w:rPr>
              <w:t>指标属性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959" w:type="dxa"/>
            <w:gridSpan w:val="4"/>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b/>
                <w:bCs/>
              </w:rPr>
            </w:pPr>
            <w:r>
              <w:rPr>
                <w:rFonts w:hint="eastAsia" w:ascii="宋体" w:hAnsi="宋体" w:eastAsia="宋体" w:cs="宋体"/>
                <w:b/>
                <w:bCs/>
              </w:rPr>
              <w:t>学前教育</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923"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eastAsia="zh-CN"/>
              </w:rPr>
            </w:pPr>
            <w:r>
              <w:rPr>
                <w:rFonts w:hint="eastAsia" w:ascii="宋体" w:hAnsi="宋体" w:eastAsia="宋体" w:cs="宋体"/>
                <w:lang w:eastAsia="zh-CN"/>
              </w:rPr>
              <w:t>公办幼儿园占比（</w:t>
            </w:r>
            <w:r>
              <w:rPr>
                <w:rFonts w:hint="eastAsia" w:ascii="宋体" w:hAnsi="宋体" w:eastAsia="宋体" w:cs="宋体"/>
              </w:rPr>
              <w:t>%</w:t>
            </w:r>
            <w:r>
              <w:rPr>
                <w:rFonts w:hint="eastAsia" w:ascii="宋体" w:hAnsi="宋体" w:eastAsia="宋体" w:cs="宋体"/>
                <w:lang w:eastAsia="zh-CN"/>
              </w:rPr>
              <w:t>）</w:t>
            </w:r>
          </w:p>
        </w:tc>
        <w:tc>
          <w:tcPr>
            <w:tcW w:w="1268"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62.8</w:t>
            </w:r>
          </w:p>
        </w:tc>
        <w:tc>
          <w:tcPr>
            <w:tcW w:w="1376"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&gt;69.6</w:t>
            </w:r>
          </w:p>
        </w:tc>
        <w:tc>
          <w:tcPr>
            <w:tcW w:w="2392"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lang w:eastAsia="zh-CN"/>
              </w:rPr>
              <w:t>约束</w:t>
            </w:r>
            <w:r>
              <w:rPr>
                <w:rFonts w:hint="eastAsia" w:ascii="宋体" w:hAnsi="宋体" w:eastAsia="宋体" w:cs="宋体"/>
              </w:rPr>
              <w:t>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923"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eastAsia="zh-CN"/>
              </w:rPr>
            </w:pPr>
            <w:r>
              <w:rPr>
                <w:rFonts w:hint="eastAsia" w:ascii="宋体" w:hAnsi="宋体" w:eastAsia="宋体" w:cs="宋体"/>
                <w:lang w:eastAsia="zh-CN"/>
              </w:rPr>
              <w:t>公办园在园幼儿占比（</w:t>
            </w:r>
            <w:r>
              <w:rPr>
                <w:rFonts w:hint="eastAsia" w:ascii="宋体" w:hAnsi="宋体" w:eastAsia="宋体" w:cs="宋体"/>
                <w:lang w:val="en-US" w:eastAsia="zh-CN"/>
              </w:rPr>
              <w:t>%</w:t>
            </w:r>
            <w:r>
              <w:rPr>
                <w:rFonts w:hint="eastAsia" w:ascii="宋体" w:hAnsi="宋体" w:eastAsia="宋体" w:cs="宋体"/>
                <w:lang w:eastAsia="zh-CN"/>
              </w:rPr>
              <w:t>）</w:t>
            </w:r>
          </w:p>
        </w:tc>
        <w:tc>
          <w:tcPr>
            <w:tcW w:w="1268"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76.45</w:t>
            </w:r>
          </w:p>
        </w:tc>
        <w:tc>
          <w:tcPr>
            <w:tcW w:w="1376"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&gt;79</w:t>
            </w:r>
          </w:p>
        </w:tc>
        <w:tc>
          <w:tcPr>
            <w:tcW w:w="2392"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rPr>
              <w:t>预期性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923"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eastAsia="zh-CN"/>
              </w:rPr>
            </w:pPr>
            <w:r>
              <w:rPr>
                <w:rFonts w:hint="eastAsia" w:ascii="宋体" w:hAnsi="宋体" w:eastAsia="宋体" w:cs="宋体"/>
                <w:lang w:eastAsia="zh-CN"/>
              </w:rPr>
              <w:t>普惠性幼儿园占比（</w:t>
            </w:r>
            <w:r>
              <w:rPr>
                <w:rFonts w:hint="eastAsia" w:ascii="宋体" w:hAnsi="宋体" w:eastAsia="宋体" w:cs="宋体"/>
              </w:rPr>
              <w:t>%</w:t>
            </w:r>
            <w:r>
              <w:rPr>
                <w:rFonts w:hint="eastAsia" w:ascii="宋体" w:hAnsi="宋体" w:eastAsia="宋体" w:cs="宋体"/>
                <w:lang w:eastAsia="zh-CN"/>
              </w:rPr>
              <w:t>）</w:t>
            </w:r>
          </w:p>
        </w:tc>
        <w:tc>
          <w:tcPr>
            <w:tcW w:w="1268"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91.42</w:t>
            </w:r>
          </w:p>
        </w:tc>
        <w:tc>
          <w:tcPr>
            <w:tcW w:w="1376"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100</w:t>
            </w:r>
          </w:p>
        </w:tc>
        <w:tc>
          <w:tcPr>
            <w:tcW w:w="2392"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lang w:eastAsia="zh-CN"/>
              </w:rPr>
              <w:t>约束</w:t>
            </w:r>
            <w:r>
              <w:rPr>
                <w:rFonts w:hint="eastAsia" w:ascii="宋体" w:hAnsi="宋体" w:eastAsia="宋体" w:cs="宋体"/>
              </w:rPr>
              <w:t>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923"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rPr>
              <w:t>学前三年毛入园率</w:t>
            </w:r>
            <w:r>
              <w:rPr>
                <w:rFonts w:hint="eastAsia" w:ascii="宋体" w:hAnsi="宋体" w:eastAsia="宋体" w:cs="宋体"/>
                <w:lang w:eastAsia="zh-CN"/>
              </w:rPr>
              <w:t>（</w:t>
            </w:r>
            <w:r>
              <w:rPr>
                <w:rFonts w:hint="eastAsia" w:ascii="宋体" w:hAnsi="宋体" w:eastAsia="宋体" w:cs="宋体"/>
              </w:rPr>
              <w:t>%</w:t>
            </w:r>
            <w:r>
              <w:rPr>
                <w:rFonts w:hint="eastAsia" w:ascii="宋体" w:hAnsi="宋体" w:eastAsia="宋体" w:cs="宋体"/>
                <w:lang w:eastAsia="zh-CN"/>
              </w:rPr>
              <w:t>）</w:t>
            </w:r>
          </w:p>
        </w:tc>
        <w:tc>
          <w:tcPr>
            <w:tcW w:w="1268"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95.1</w:t>
            </w:r>
          </w:p>
        </w:tc>
        <w:tc>
          <w:tcPr>
            <w:tcW w:w="1376"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&gt;97</w:t>
            </w:r>
          </w:p>
        </w:tc>
        <w:tc>
          <w:tcPr>
            <w:tcW w:w="2392"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rPr>
              <w:t>预期性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959" w:type="dxa"/>
            <w:gridSpan w:val="4"/>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b/>
                <w:bCs/>
              </w:rPr>
              <w:t>义务教育</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923"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rPr>
              <w:t>九年义务教育巩固率</w:t>
            </w:r>
            <w:r>
              <w:rPr>
                <w:rFonts w:hint="eastAsia" w:ascii="宋体" w:hAnsi="宋体" w:eastAsia="宋体" w:cs="宋体"/>
                <w:lang w:eastAsia="zh-CN"/>
              </w:rPr>
              <w:t>（</w:t>
            </w:r>
            <w:r>
              <w:rPr>
                <w:rFonts w:hint="eastAsia" w:ascii="宋体" w:hAnsi="宋体" w:eastAsia="宋体" w:cs="宋体"/>
              </w:rPr>
              <w:t>%</w:t>
            </w:r>
            <w:r>
              <w:rPr>
                <w:rFonts w:hint="eastAsia" w:ascii="宋体" w:hAnsi="宋体" w:eastAsia="宋体" w:cs="宋体"/>
                <w:lang w:eastAsia="zh-CN"/>
              </w:rPr>
              <w:t>）</w:t>
            </w:r>
          </w:p>
        </w:tc>
        <w:tc>
          <w:tcPr>
            <w:tcW w:w="1268"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99.97</w:t>
            </w:r>
          </w:p>
        </w:tc>
        <w:tc>
          <w:tcPr>
            <w:tcW w:w="1376"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100</w:t>
            </w:r>
          </w:p>
        </w:tc>
        <w:tc>
          <w:tcPr>
            <w:tcW w:w="2392"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rPr>
              <w:t>约束性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959" w:type="dxa"/>
            <w:gridSpan w:val="4"/>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b/>
                <w:bCs/>
              </w:rPr>
              <w:t>高中教育</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923"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rPr>
              <w:t>高中阶段教育毛入学率</w:t>
            </w:r>
            <w:r>
              <w:rPr>
                <w:rFonts w:hint="eastAsia" w:ascii="宋体" w:hAnsi="宋体" w:eastAsia="宋体" w:cs="宋体"/>
                <w:lang w:eastAsia="zh-CN"/>
              </w:rPr>
              <w:t>（</w:t>
            </w:r>
            <w:r>
              <w:rPr>
                <w:rFonts w:hint="eastAsia" w:ascii="宋体" w:hAnsi="宋体" w:eastAsia="宋体" w:cs="宋体"/>
              </w:rPr>
              <w:t>%</w:t>
            </w:r>
            <w:r>
              <w:rPr>
                <w:rFonts w:hint="eastAsia" w:ascii="宋体" w:hAnsi="宋体" w:eastAsia="宋体" w:cs="宋体"/>
                <w:lang w:eastAsia="zh-CN"/>
              </w:rPr>
              <w:t>）</w:t>
            </w:r>
          </w:p>
        </w:tc>
        <w:tc>
          <w:tcPr>
            <w:tcW w:w="1268"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98.2</w:t>
            </w:r>
          </w:p>
        </w:tc>
        <w:tc>
          <w:tcPr>
            <w:tcW w:w="1376"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&gt;98.3</w:t>
            </w:r>
          </w:p>
        </w:tc>
        <w:tc>
          <w:tcPr>
            <w:tcW w:w="2392"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rPr>
              <w:t>预期性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959" w:type="dxa"/>
            <w:gridSpan w:val="4"/>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eastAsia="zh-CN"/>
              </w:rPr>
            </w:pPr>
            <w:r>
              <w:rPr>
                <w:rFonts w:hint="eastAsia" w:ascii="宋体" w:hAnsi="宋体" w:eastAsia="宋体" w:cs="宋体"/>
                <w:b/>
                <w:bCs/>
                <w:lang w:eastAsia="zh-CN"/>
              </w:rPr>
              <w:t>职业教育</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923"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lang w:val="en-US" w:eastAsia="zh-CN"/>
              </w:rPr>
              <w:t>“双师型”教师占比</w:t>
            </w:r>
            <w:r>
              <w:rPr>
                <w:rFonts w:hint="eastAsia" w:ascii="宋体" w:hAnsi="宋体" w:eastAsia="宋体" w:cs="宋体"/>
                <w:lang w:eastAsia="zh-CN"/>
              </w:rPr>
              <w:t>（</w:t>
            </w:r>
            <w:r>
              <w:rPr>
                <w:rFonts w:hint="eastAsia" w:ascii="宋体" w:hAnsi="宋体" w:eastAsia="宋体" w:cs="宋体"/>
              </w:rPr>
              <w:t>%</w:t>
            </w:r>
            <w:r>
              <w:rPr>
                <w:rFonts w:hint="eastAsia" w:ascii="宋体" w:hAnsi="宋体" w:eastAsia="宋体" w:cs="宋体"/>
                <w:lang w:eastAsia="zh-CN"/>
              </w:rPr>
              <w:t>）</w:t>
            </w:r>
          </w:p>
        </w:tc>
        <w:tc>
          <w:tcPr>
            <w:tcW w:w="1268"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24</w:t>
            </w:r>
          </w:p>
        </w:tc>
        <w:tc>
          <w:tcPr>
            <w:tcW w:w="1376"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&gt;30</w:t>
            </w:r>
          </w:p>
        </w:tc>
        <w:tc>
          <w:tcPr>
            <w:tcW w:w="2392"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rPr>
              <w:t>预期性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959" w:type="dxa"/>
            <w:gridSpan w:val="4"/>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eastAsia="zh-CN"/>
              </w:rPr>
            </w:pPr>
            <w:r>
              <w:rPr>
                <w:rFonts w:hint="eastAsia" w:ascii="宋体" w:hAnsi="宋体" w:eastAsia="宋体" w:cs="宋体"/>
                <w:b/>
                <w:bCs/>
                <w:lang w:eastAsia="zh-CN"/>
              </w:rPr>
              <w:t>特殊教育</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923"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残疾儿童少年入学率</w:t>
            </w:r>
            <w:r>
              <w:rPr>
                <w:rFonts w:hint="eastAsia" w:ascii="宋体" w:hAnsi="宋体" w:eastAsia="宋体" w:cs="宋体"/>
                <w:lang w:eastAsia="zh-CN"/>
              </w:rPr>
              <w:t>（</w:t>
            </w:r>
            <w:r>
              <w:rPr>
                <w:rFonts w:hint="eastAsia" w:ascii="宋体" w:hAnsi="宋体" w:eastAsia="宋体" w:cs="宋体"/>
              </w:rPr>
              <w:t>%</w:t>
            </w:r>
            <w:r>
              <w:rPr>
                <w:rFonts w:hint="eastAsia" w:ascii="宋体" w:hAnsi="宋体" w:eastAsia="宋体" w:cs="宋体"/>
                <w:lang w:eastAsia="zh-CN"/>
              </w:rPr>
              <w:t>）</w:t>
            </w:r>
          </w:p>
        </w:tc>
        <w:tc>
          <w:tcPr>
            <w:tcW w:w="1268"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94.8</w:t>
            </w:r>
          </w:p>
        </w:tc>
        <w:tc>
          <w:tcPr>
            <w:tcW w:w="1376"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&gt;95</w:t>
            </w:r>
          </w:p>
        </w:tc>
        <w:tc>
          <w:tcPr>
            <w:tcW w:w="2392"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rPr>
              <w:t>预期性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9" w:type="dxa"/>
            <w:gridSpan w:val="4"/>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b/>
                <w:bCs/>
              </w:rPr>
              <w:t>体育事业</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923"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rPr>
              <w:t>人均体育场地面积（平方米）</w:t>
            </w:r>
          </w:p>
        </w:tc>
        <w:tc>
          <w:tcPr>
            <w:tcW w:w="1268"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1.7</w:t>
            </w:r>
          </w:p>
        </w:tc>
        <w:tc>
          <w:tcPr>
            <w:tcW w:w="1376"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2.0</w:t>
            </w:r>
          </w:p>
        </w:tc>
        <w:tc>
          <w:tcPr>
            <w:tcW w:w="2392"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rPr>
              <w:t>预期性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923"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rPr>
              <w:t>经常参加体育锻炼人数</w:t>
            </w:r>
            <w:r>
              <w:rPr>
                <w:rFonts w:hint="eastAsia" w:ascii="宋体" w:hAnsi="宋体" w:eastAsia="宋体" w:cs="宋体"/>
                <w:lang w:eastAsia="zh-CN"/>
              </w:rPr>
              <w:t>比例（</w:t>
            </w:r>
            <w:r>
              <w:rPr>
                <w:rFonts w:hint="eastAsia" w:ascii="宋体" w:hAnsi="宋体" w:eastAsia="宋体" w:cs="宋体"/>
              </w:rPr>
              <w:t>%</w:t>
            </w:r>
            <w:r>
              <w:rPr>
                <w:rFonts w:hint="eastAsia" w:ascii="宋体" w:hAnsi="宋体" w:eastAsia="宋体" w:cs="宋体"/>
                <w:lang w:eastAsia="zh-CN"/>
              </w:rPr>
              <w:t>）</w:t>
            </w:r>
          </w:p>
        </w:tc>
        <w:tc>
          <w:tcPr>
            <w:tcW w:w="1268"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w:t>
            </w:r>
          </w:p>
        </w:tc>
        <w:tc>
          <w:tcPr>
            <w:tcW w:w="1376"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41.5</w:t>
            </w:r>
          </w:p>
        </w:tc>
        <w:tc>
          <w:tcPr>
            <w:tcW w:w="2392"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rPr>
              <w:t>预期性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923"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rPr>
              <w:t>国民体质合格率</w:t>
            </w:r>
            <w:r>
              <w:rPr>
                <w:rFonts w:hint="eastAsia" w:ascii="宋体" w:hAnsi="宋体" w:eastAsia="宋体" w:cs="宋体"/>
                <w:lang w:eastAsia="zh-CN"/>
              </w:rPr>
              <w:t>（</w:t>
            </w:r>
            <w:r>
              <w:rPr>
                <w:rFonts w:hint="eastAsia" w:ascii="宋体" w:hAnsi="宋体" w:eastAsia="宋体" w:cs="宋体"/>
              </w:rPr>
              <w:t>%</w:t>
            </w:r>
            <w:r>
              <w:rPr>
                <w:rFonts w:hint="eastAsia" w:ascii="宋体" w:hAnsi="宋体" w:eastAsia="宋体" w:cs="宋体"/>
                <w:lang w:eastAsia="zh-CN"/>
              </w:rPr>
              <w:t>）</w:t>
            </w:r>
          </w:p>
        </w:tc>
        <w:tc>
          <w:tcPr>
            <w:tcW w:w="1268"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w:t>
            </w:r>
          </w:p>
        </w:tc>
        <w:tc>
          <w:tcPr>
            <w:tcW w:w="1376"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91.2</w:t>
            </w:r>
          </w:p>
        </w:tc>
        <w:tc>
          <w:tcPr>
            <w:tcW w:w="2392"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rPr>
              <w:t>预期性</w:t>
            </w:r>
          </w:p>
        </w:tc>
      </w:tr>
    </w:tbl>
    <w:p>
      <w:pPr>
        <w:pStyle w:val="2"/>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color w:val="333333"/>
          <w:kern w:val="0"/>
          <w:szCs w:val="32"/>
          <w:lang w:val="en-US" w:eastAsia="zh-CN" w:bidi="ar"/>
        </w:rPr>
        <w:sectPr>
          <w:pgSz w:w="11906" w:h="16838"/>
          <w:pgMar w:top="2098" w:right="1474" w:bottom="1984" w:left="1587" w:header="851" w:footer="992" w:gutter="0"/>
          <w:pgNumType w:fmt="numberInDash"/>
          <w:cols w:space="425" w:num="1"/>
          <w:docGrid w:type="lines" w:linePitch="312" w:charSpace="0"/>
        </w:sectPr>
      </w:pPr>
    </w:p>
    <w:p>
      <w:pPr>
        <w:pStyle w:val="3"/>
        <w:pageBreakBefore w:val="0"/>
        <w:widowControl w:val="0"/>
        <w:numPr>
          <w:ilvl w:val="0"/>
          <w:numId w:val="3"/>
        </w:numPr>
        <w:kinsoku/>
        <w:wordWrap/>
        <w:overflowPunct/>
        <w:topLinePunct w:val="0"/>
        <w:autoSpaceDE/>
        <w:autoSpaceDN/>
        <w:bidi w:val="0"/>
        <w:adjustRightInd/>
        <w:snapToGrid/>
        <w:spacing w:line="560" w:lineRule="exact"/>
        <w:textAlignment w:val="auto"/>
        <w:rPr>
          <w:rFonts w:hint="eastAsia"/>
          <w:b w:val="0"/>
          <w:bCs/>
          <w:sz w:val="32"/>
          <w:szCs w:val="32"/>
          <w:lang w:val="en-US" w:eastAsia="zh-CN"/>
        </w:rPr>
      </w:pPr>
      <w:bookmarkStart w:id="9" w:name="_Toc19542"/>
      <w:bookmarkStart w:id="10" w:name="_Toc11005"/>
      <w:bookmarkStart w:id="11" w:name="_Toc26242"/>
      <w:r>
        <w:rPr>
          <w:rFonts w:hint="eastAsia"/>
          <w:b w:val="0"/>
          <w:bCs/>
          <w:sz w:val="32"/>
          <w:szCs w:val="32"/>
          <w:lang w:val="en-US" w:eastAsia="zh-CN"/>
        </w:rPr>
        <w:t xml:space="preserve"> </w:t>
      </w:r>
      <w:bookmarkStart w:id="12" w:name="_Toc10550"/>
      <w:r>
        <w:rPr>
          <w:rFonts w:hint="eastAsia"/>
          <w:b w:val="0"/>
          <w:bCs/>
          <w:sz w:val="32"/>
          <w:szCs w:val="32"/>
          <w:lang w:val="en-US" w:eastAsia="zh-CN"/>
        </w:rPr>
        <w:t>聚焦立德树人根本任务</w:t>
      </w:r>
      <w:bookmarkEnd w:id="9"/>
      <w:bookmarkEnd w:id="10"/>
      <w:bookmarkEnd w:id="11"/>
      <w:bookmarkEnd w:id="12"/>
    </w:p>
    <w:p>
      <w:pPr>
        <w:pStyle w:val="4"/>
        <w:pageBreakBefore w:val="0"/>
        <w:widowControl w:val="0"/>
        <w:numPr>
          <w:ilvl w:val="0"/>
          <w:numId w:val="4"/>
        </w:numPr>
        <w:kinsoku/>
        <w:wordWrap/>
        <w:overflowPunct/>
        <w:topLinePunct w:val="0"/>
        <w:autoSpaceDE/>
        <w:autoSpaceDN/>
        <w:bidi w:val="0"/>
        <w:adjustRightInd/>
        <w:snapToGrid/>
        <w:spacing w:line="560" w:lineRule="exact"/>
        <w:ind w:left="220" w:leftChars="0" w:firstLineChars="0"/>
        <w:textAlignment w:val="auto"/>
        <w:rPr>
          <w:rFonts w:hint="eastAsia" w:ascii="楷体_GB2312" w:hAnsi="楷体_GB2312" w:eastAsia="楷体_GB2312" w:cs="楷体_GB2312"/>
          <w:lang w:val="en-US" w:eastAsia="zh-CN"/>
        </w:rPr>
      </w:pPr>
      <w:bookmarkStart w:id="13" w:name="_Toc6147"/>
      <w:r>
        <w:rPr>
          <w:rFonts w:hint="eastAsia" w:ascii="楷体_GB2312" w:hAnsi="楷体_GB2312" w:eastAsia="楷体_GB2312" w:cs="楷体_GB2312"/>
          <w:lang w:val="en-US" w:eastAsia="zh-CN"/>
        </w:rPr>
        <w:t>用习近平新时代中国特色社会主义思想铸魂育人</w:t>
      </w:r>
      <w:bookmarkEnd w:id="13"/>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坚持用习近平新时代中国特色社会主义思想铸魂育人，深入推动习近平新时代中国特色社会主义思想进教材进课堂进头脑。遵循学生认知规律设计德育课程内容，以思想政治课为主体，德育活动为辅助，推动在幼儿园开展德育课，中小学开设教师引导解读课，在高中、职校阶段学校开设习近平新时代中国特色社会主义思想集体课；强化校园文化建设，充分发挥爱国主义、优秀传统文化等教育基地和各类公共文化设施与自然资源的重要育人作用，构建以社会主义核心价值观为引领的幼小中衔接、校内外融合的德育体系。抓好德育骨干队伍建设，加快壮大学校思政课教师队伍，科学制定教师队伍培训计划，切实提高思政课教师综合素质，发挥共青团、少先队组织育人作用，扣好青少年人生第一粒扣子。</w:t>
      </w:r>
    </w:p>
    <w:p>
      <w:pPr>
        <w:pStyle w:val="4"/>
        <w:pageBreakBefore w:val="0"/>
        <w:widowControl w:val="0"/>
        <w:numPr>
          <w:ilvl w:val="0"/>
          <w:numId w:val="4"/>
        </w:numPr>
        <w:kinsoku/>
        <w:wordWrap/>
        <w:overflowPunct/>
        <w:topLinePunct w:val="0"/>
        <w:autoSpaceDE/>
        <w:autoSpaceDN/>
        <w:bidi w:val="0"/>
        <w:adjustRightInd/>
        <w:snapToGrid/>
        <w:spacing w:line="560" w:lineRule="exact"/>
        <w:ind w:left="220" w:leftChars="0" w:firstLineChars="0"/>
        <w:textAlignment w:val="auto"/>
        <w:rPr>
          <w:rFonts w:hint="eastAsia" w:ascii="楷体_GB2312" w:hAnsi="楷体_GB2312" w:eastAsia="楷体_GB2312" w:cs="楷体_GB2312"/>
          <w:lang w:val="en-US" w:eastAsia="zh-CN"/>
        </w:rPr>
      </w:pPr>
      <w:bookmarkStart w:id="14" w:name="_Toc3842"/>
      <w:r>
        <w:rPr>
          <w:rFonts w:hint="eastAsia" w:ascii="楷体_GB2312" w:hAnsi="楷体_GB2312" w:eastAsia="楷体_GB2312" w:cs="楷体_GB2312"/>
          <w:lang w:val="en-US" w:eastAsia="zh-CN"/>
        </w:rPr>
        <w:t>广泛开展爱国主义教育</w:t>
      </w:r>
      <w:bookmarkEnd w:id="14"/>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入贯彻落实《新时代爱国主义教育实施纲要》，大力弘扬民族精神和时代精神，传承和弘扬中华优秀传统文化，将爱国主义精神贯穿于学校（园）教育全过程，增强思想性理论性和亲和力针对性，在教育灌输和潜移默化中，引导学生树立国家意识、增进爱国情感。鼓励通过多种途径和方式，灵活开展爱国主义教育，丰富教学体验。利用每日升旗仪式，学生入团、入队等仪式教育活动，弘扬爱国主义精神，增强民族凝聚力。广泛组织开展实践活动，用好爱国主义教育基地和国防教育基地，发挥共青团、少先队、学生社团作用，把爱国主义内容融入团日、主题班会以及各类主题教育之中。</w:t>
      </w:r>
    </w:p>
    <w:p>
      <w:pPr>
        <w:pStyle w:val="4"/>
        <w:pageBreakBefore w:val="0"/>
        <w:widowControl w:val="0"/>
        <w:numPr>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lang w:val="en-US" w:eastAsia="zh-CN"/>
        </w:rPr>
      </w:pPr>
      <w:bookmarkStart w:id="15" w:name="_Toc15941"/>
      <w:r>
        <w:rPr>
          <w:rFonts w:hint="eastAsia" w:ascii="楷体_GB2312" w:hAnsi="楷体_GB2312" w:eastAsia="楷体_GB2312" w:cs="楷体_GB2312"/>
          <w:lang w:val="en-US" w:eastAsia="zh-CN"/>
        </w:rPr>
        <w:t>三、构建新时代“五育并举”育人体系</w:t>
      </w:r>
      <w:bookmarkEnd w:id="15"/>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增强德育工作实效。</w:t>
      </w:r>
      <w:r>
        <w:rPr>
          <w:rFonts w:hint="eastAsia" w:ascii="仿宋_GB2312" w:hAnsi="仿宋_GB2312" w:eastAsia="仿宋_GB2312" w:cs="仿宋_GB2312"/>
          <w:b w:val="0"/>
          <w:bCs w:val="0"/>
          <w:lang w:val="en-US" w:eastAsia="zh-CN"/>
        </w:rPr>
        <w:t>健全立德树人落实机制，把立德树人成效作为检验学校一切工作的根本标准。</w:t>
      </w:r>
      <w:r>
        <w:rPr>
          <w:rFonts w:hint="eastAsia" w:ascii="仿宋_GB2312" w:hAnsi="仿宋_GB2312" w:eastAsia="仿宋_GB2312" w:cs="仿宋_GB2312"/>
          <w:lang w:val="en-US" w:eastAsia="zh-CN"/>
        </w:rPr>
        <w:t>落实课程育人，发挥学校德育主阵地、主渠道作用，建设紫阳县中小学思政学科优质教学资源体系，将德育融入渗透到教育教学全过程。发挥文化育人、活动育人作用，重点围绕社会主义核心价值观、中华优秀传统文化、紫阳人文历史生态资源等方面开展校园文化建设，结合主题日教育、仪式教育等多种形式，增强学生文化自觉和文化自信，培养强化对党的认同。强化实践育人，结合生态文明教育，根据不同学段学生身心发展特点和能力开展各类主题实践活动、研学活动。践行管理育人、协同育人，明确学校（园）教职员工育人责任，加强与学生家长的沟通联系，积极争取家庭、社会共同参与和支持学校德育工作，引导家长强化家庭德育。推动形成全员育德、全科育德、全程育德的“三全育德”德育新常态。强化学校（园）落实法治教育的职责，教育引导学生尊法、学法、守法、用法，学会自我保护，远离不良行为。</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提升智育工作水平。</w:t>
      </w:r>
      <w:r>
        <w:rPr>
          <w:rFonts w:hint="eastAsia" w:ascii="仿宋_GB2312" w:hAnsi="仿宋_GB2312" w:eastAsia="仿宋_GB2312" w:cs="仿宋_GB2312"/>
          <w:lang w:val="en-US" w:eastAsia="zh-CN"/>
        </w:rPr>
        <w:t>严格按照国家课程方案和课程标准实施教学，落实课程计划，深化课程改革，确保学生达到国家规定学业质量标准。充分发挥教师主导作用，引导教师深入理解学科特点、知识结构、思想方法，科学把握学生认知规律。突出学生主体地位，推进智育创新，注重保护学生好奇心、想象力、求知欲，激发学习兴趣，提高学习能力。加强实验教学，开展读书活动，强化学生合作精神和动手能力培育，提升学生综合素养。加强教学薄弱环节建设，完善教学工作考核评价办法，做好教学质量监测工作。强力推进“双减”工作，严格执行“三个提高、四个严格”，加强监测和督导，坚决防止学生学业负担过重。</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加强体育工作力度。</w:t>
      </w:r>
      <w:r>
        <w:rPr>
          <w:rFonts w:hint="eastAsia" w:ascii="仿宋_GB2312" w:hAnsi="仿宋_GB2312" w:eastAsia="仿宋_GB2312" w:cs="仿宋_GB2312"/>
          <w:b w:val="0"/>
          <w:bCs w:val="0"/>
          <w:lang w:val="en-US" w:eastAsia="zh-CN"/>
        </w:rPr>
        <w:t>牢固树立健康第一的教育理念，</w:t>
      </w:r>
      <w:r>
        <w:rPr>
          <w:rFonts w:hint="eastAsia" w:ascii="仿宋_GB2312" w:hAnsi="仿宋_GB2312" w:eastAsia="仿宋_GB2312" w:cs="仿宋_GB2312"/>
          <w:lang w:val="en-US" w:eastAsia="zh-CN"/>
        </w:rPr>
        <w:t>严格落实国家要求的学校体育课程开设刚性要求，积极引导学生养成体育运动习惯和健康生活方式，逐步完善体育“健康知识+基本运动技能+专项运动技能”教学模式，开展形式多样的体育活动，上好“两操一课”，深入广泛开展阳光体育运动。完善学生体质健康状况考评体系，提升对学生体质健康监测的能力，将学生体质健康水平作为学校体育教学考核工作的重要指标。加强体育传统特色学校建设，积极组建学校代表队参与陕西省学生（青少年）运动会等省市青少年体育赛事。持续加大校园足球工作力度，提升校园足球普及率和竞技水平。</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提升美育育人功能。</w:t>
      </w:r>
      <w:r>
        <w:rPr>
          <w:rFonts w:hint="eastAsia" w:ascii="仿宋_GB2312" w:hAnsi="仿宋_GB2312" w:eastAsia="仿宋_GB2312" w:cs="仿宋_GB2312"/>
          <w:lang w:val="en-US" w:eastAsia="zh-CN"/>
        </w:rPr>
        <w:t>实施学校美育提升行动，配齐配好美育教师和器材设备，开足开齐美育课程。积极引入省市美育课程优质教育资源和精品课程，落实学校美育课程开设要求，开设好音乐、美术、书法等国家课程，视条件灵活开展舞蹈、戏剧等课程，培养学生兴趣特长，逐步完善“艺术基础知识基本技能+艺术审美体验+艺术专项特长”教学模式，帮助学生掌握1-2项艺术技能。支持学校组建特色艺术社团或兴趣小组，开展校园艺术活动，办好中小学生艺术展演。</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全面加强劳动教育。</w:t>
      </w:r>
      <w:r>
        <w:rPr>
          <w:rFonts w:hint="eastAsia" w:ascii="仿宋_GB2312" w:hAnsi="仿宋_GB2312" w:eastAsia="仿宋_GB2312" w:cs="仿宋_GB2312"/>
          <w:lang w:val="en-US" w:eastAsia="zh-CN"/>
        </w:rPr>
        <w:t>坚持树立劳动观念，培养劳动精神，将劳动素养纳入学生综合素质评价体系，学校、家庭、社会三方通力合作，培养学生尊重劳动、热爱劳动、艰苦奋斗的精神品质。劳动教育课每周不少于1课时，幼儿园及小学低中年级以劳动意识启蒙为主，高年级和初中初步养成认真负责、吃苦耐劳的品质和职业意识，高中生要求熟练掌握一定劳动技能。职业学校以实习实训课为主要载体，争取每个学段均安排一定时间的农业生产、工业体验、商业和服务业实习等劳动实践。拓展实践场所，满足各级各类学校多样化劳动实践需求。强化劳动风险意识，建立健全安全教育与管理并重的劳动安全保障体系。</w:t>
      </w:r>
    </w:p>
    <w:p>
      <w:pPr>
        <w:pStyle w:val="4"/>
        <w:pageBreakBefore w:val="0"/>
        <w:widowControl w:val="0"/>
        <w:numPr>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lang w:val="en-US" w:eastAsia="zh-CN"/>
        </w:rPr>
      </w:pPr>
      <w:bookmarkStart w:id="16" w:name="_Toc6247"/>
      <w:r>
        <w:rPr>
          <w:rFonts w:hint="eastAsia" w:ascii="楷体_GB2312" w:hAnsi="楷体_GB2312" w:eastAsia="楷体_GB2312" w:cs="楷体_GB2312"/>
          <w:lang w:val="en-US" w:eastAsia="zh-CN"/>
        </w:rPr>
        <w:t>四、健全家庭学校社会协同育人机制</w:t>
      </w:r>
      <w:bookmarkEnd w:id="16"/>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积极贯彻《家庭教育促进法》，全面落实省市关于进一步加强中小学幼儿园家校共育工作的相关要求，引导家长树立正确教育理念和科学教育方法，推动构建覆盖城乡的家庭教育指导服务体系。强化学校和各级党政机关、社会团体、企事业单位及社区、镇村、家庭合作，构建政府主导、家庭实施、学校指导、社会参与的全社会协同育人的机制，将家庭教育指导服务纳入社区教育工作内容，依法落实父母及其他监护人履行家庭教育义务，完善学校家庭教育指导工作制度，将家庭教育指导工作纳入学校教职工业务培训内容。鼓励和支持社会工作机构、志愿服务组织依法开展家庭教育指导服务活动。</w:t>
      </w:r>
    </w:p>
    <w:p>
      <w:pPr>
        <w:pStyle w:val="4"/>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楷体_GB2312" w:hAnsi="楷体_GB2312" w:eastAsia="楷体_GB2312" w:cs="楷体_GB2312"/>
          <w:lang w:val="en-US" w:eastAsia="zh-CN"/>
        </w:rPr>
      </w:pPr>
      <w:bookmarkStart w:id="17" w:name="_Toc9262"/>
      <w:r>
        <w:rPr>
          <w:rFonts w:hint="eastAsia" w:ascii="楷体_GB2312" w:hAnsi="楷体_GB2312" w:eastAsia="楷体_GB2312" w:cs="楷体_GB2312"/>
          <w:lang w:val="en-US" w:eastAsia="zh-CN"/>
        </w:rPr>
        <w:t>五、推进学生身心健康全面发展</w:t>
      </w:r>
      <w:bookmarkEnd w:id="17"/>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加强学生体质健康管理。</w:t>
      </w:r>
      <w:r>
        <w:rPr>
          <w:rFonts w:hint="eastAsia" w:ascii="仿宋_GB2312" w:hAnsi="仿宋_GB2312" w:eastAsia="仿宋_GB2312" w:cs="仿宋_GB2312"/>
          <w:lang w:val="en-US" w:eastAsia="zh-CN"/>
        </w:rPr>
        <w:t>全面贯彻落实《国家学生体质健康标准》等系列文件，相关部门与学校合力加强对学生的体质健康管理，常态化开展体质健康监测，客观记录学生日常体育参与情况和体质健康监测结果，建立学生健康档案，定期向家长反馈。各校认真做好测试工作及数据的采集和报送，确保报送数据的真实、有效和及时。到2025年底，学生体质健康测试合格率和优良率分别达到93%和25%。</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强化学生视力健康管理。</w:t>
      </w:r>
      <w:r>
        <w:rPr>
          <w:rFonts w:hint="eastAsia" w:ascii="仿宋_GB2312" w:hAnsi="仿宋_GB2312" w:eastAsia="仿宋_GB2312" w:cs="仿宋_GB2312"/>
          <w:lang w:val="en-US" w:eastAsia="zh-CN"/>
        </w:rPr>
        <w:t>严格落实《综合防控儿童青少年近视实施方案》目标要求，加强近视防控宣传教育，指导学校科学开展儿童、青少年近视防控和视力健康管理教育活动，严格落实每年两次的全员视力筛查以及中小学每天上、下午各一次的眼保健操制度。每年对学校教室采光照明、课桌椅配备、电子产品等达标情况开展专项检查。青少年总体近视率逐年下降1%以上。</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强化学生心理健康管理。</w:t>
      </w:r>
      <w:r>
        <w:rPr>
          <w:rFonts w:hint="eastAsia" w:ascii="仿宋_GB2312" w:hAnsi="仿宋_GB2312" w:eastAsia="仿宋_GB2312" w:cs="仿宋_GB2312"/>
          <w:lang w:val="en-US" w:eastAsia="zh-CN"/>
        </w:rPr>
        <w:t>将心理健康教育纳入学校年度计划和发展规划，创设良好的校园人文氛围和育人情境，培养学生积极乐观、健康向上的心理素质。按标准配备专兼职心理健康辅导教师和心理健康咨询室，开展心理健康教育教研活动。要紧盯毕业班学生、留守儿童等重点群体，认真做好调查、辅导工作，积极开展心理咨询辅导，健全学校与学生家庭常态化沟通机制。推动构建和谐的家庭环境、校园文化，预防网络依赖与网络成瘾。</w:t>
      </w:r>
    </w:p>
    <w:p>
      <w:pPr>
        <w:pStyle w:val="3"/>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textAlignment w:val="auto"/>
        <w:rPr>
          <w:rFonts w:hint="eastAsia"/>
          <w:b w:val="0"/>
          <w:bCs/>
          <w:sz w:val="32"/>
          <w:szCs w:val="32"/>
          <w:lang w:val="en-US" w:eastAsia="zh-CN"/>
        </w:rPr>
      </w:pPr>
      <w:r>
        <w:rPr>
          <w:rFonts w:hint="eastAsia"/>
          <w:b w:val="0"/>
          <w:bCs/>
          <w:sz w:val="32"/>
          <w:szCs w:val="32"/>
          <w:lang w:val="en-US" w:eastAsia="zh-CN"/>
        </w:rPr>
        <w:t xml:space="preserve"> </w:t>
      </w:r>
      <w:bookmarkStart w:id="18" w:name="_Toc31876"/>
      <w:r>
        <w:rPr>
          <w:rFonts w:hint="eastAsia"/>
          <w:b w:val="0"/>
          <w:bCs/>
          <w:sz w:val="32"/>
          <w:szCs w:val="32"/>
          <w:lang w:val="en-US" w:eastAsia="zh-CN"/>
        </w:rPr>
        <w:t>推进各级各类教育高质量发展</w:t>
      </w:r>
      <w:bookmarkEnd w:id="18"/>
    </w:p>
    <w:p>
      <w:pPr>
        <w:pStyle w:val="4"/>
        <w:pageBreakBefore w:val="0"/>
        <w:widowControl w:val="0"/>
        <w:numPr>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lang w:val="en-US" w:eastAsia="zh-CN"/>
        </w:rPr>
      </w:pPr>
      <w:bookmarkStart w:id="19" w:name="_Toc25075"/>
      <w:r>
        <w:rPr>
          <w:rFonts w:hint="eastAsia" w:ascii="楷体_GB2312" w:hAnsi="楷体_GB2312" w:eastAsia="楷体_GB2312" w:cs="楷体_GB2312"/>
          <w:lang w:val="en-US" w:eastAsia="zh-CN"/>
        </w:rPr>
        <w:t>一、推进学前教育普及普惠发展</w:t>
      </w:r>
      <w:bookmarkEnd w:id="19"/>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贯彻落实《中共中央国务院关于学前教育深化改革规范发展的若干意见》，着力构建广覆盖、保基本、有质量的学前教育保育公共服务体系。全力推进“国家学前教育普及普惠县”创建工作，落实立德树人根本任务，抓好年度创建任务落实。根据紫阳人口比例变化和新型城镇化发展趋势，科学预测学前教育供求情况，扩大城区公办园学位供给，科学整合农村学前教育资源。积极创设有利于支持幼儿学习探索的教育环境，配齐配足科学开展保育教育工作所需的玩教具和图画书。持续完善学前教育教研体系，指导督促幼儿园树立科学保教理念，坚持以游戏为基本活动，杜绝“小学化”倾向，建立幼小协同的合作机制，推进幼儿园与小学科学有效衔接。健全学前教育从业人员准入制度，逐步配齐“两教一保”，按需扩大公办园在编教师、保育员比例。全面加强幼儿园教师师德工作，注重教师专业能力建设，提高园长专业领导力。严格落实幼儿园安全主体责任和有关部门安全监管责任，建立全覆盖的安全风险防控体系。到2025年底，新建紫阳县第二、第三幼儿园，改扩建向阳镇中心幼儿园等5所公办园，累计新增幼儿学位1820个。公办幼儿园占比达到69.6%以上，公办幼儿园在园幼儿占比达到79%以上，普惠性幼儿园占比达到100%以上，学前三年毛入园率稳定在97%以上，完成27所幼儿园达到符合学前教育普及普惠办学标准的阶段目标。</w:t>
      </w:r>
    </w:p>
    <w:tbl>
      <w:tblPr>
        <w:tblStyle w:val="12"/>
        <w:tblW w:w="9061"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b/>
                <w:bCs/>
              </w:rPr>
              <w:t>专栏1</w:t>
            </w:r>
            <w:r>
              <w:rPr>
                <w:rFonts w:hint="eastAsia" w:ascii="宋体" w:hAnsi="宋体" w:cs="宋体"/>
                <w:b/>
                <w:bCs/>
                <w:lang w:val="en-US" w:eastAsia="zh-CN"/>
              </w:rPr>
              <w:t xml:space="preserve">  </w:t>
            </w:r>
            <w:r>
              <w:rPr>
                <w:rFonts w:hint="eastAsia" w:ascii="宋体" w:hAnsi="宋体" w:eastAsia="宋体" w:cs="宋体"/>
                <w:b/>
                <w:bCs/>
              </w:rPr>
              <w:t>学前教育优质普惠工程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2" w:firstLineChars="200"/>
              <w:textAlignment w:val="auto"/>
              <w:rPr>
                <w:rFonts w:hint="default" w:ascii="宋体" w:hAnsi="宋体" w:eastAsia="宋体" w:cs="宋体"/>
                <w:b/>
                <w:bCs/>
                <w:highlight w:val="none"/>
                <w:lang w:val="en-US" w:eastAsia="zh-CN"/>
              </w:rPr>
            </w:pPr>
            <w:r>
              <w:rPr>
                <w:rFonts w:hint="eastAsia" w:ascii="宋体" w:hAnsi="宋体" w:cs="宋体"/>
                <w:b/>
                <w:bCs/>
                <w:lang w:val="en-US" w:eastAsia="zh-CN"/>
              </w:rPr>
              <w:t>紫阳县学前教育普惠工程</w:t>
            </w:r>
            <w:r>
              <w:rPr>
                <w:rFonts w:hint="eastAsia" w:ascii="宋体" w:hAnsi="宋体" w:cs="宋体"/>
                <w:b/>
                <w:bCs/>
                <w:highlight w:val="none"/>
                <w:lang w:val="en-US" w:eastAsia="zh-CN"/>
              </w:rPr>
              <w:t>。</w:t>
            </w:r>
            <w:r>
              <w:rPr>
                <w:rFonts w:hint="eastAsia" w:ascii="宋体" w:hAnsi="宋体" w:cs="宋体"/>
                <w:b w:val="0"/>
                <w:bCs w:val="0"/>
                <w:highlight w:val="none"/>
                <w:lang w:val="en-US" w:eastAsia="zh-CN"/>
              </w:rPr>
              <w:t>计划投资1.2亿元，新建紫阳县第二幼儿园、紫阳县第三幼儿园，建设保教用房17000m</w:t>
            </w:r>
            <w:r>
              <w:rPr>
                <w:rFonts w:hint="eastAsia" w:ascii="宋体" w:hAnsi="宋体" w:cs="宋体"/>
                <w:b w:val="0"/>
                <w:bCs w:val="0"/>
                <w:highlight w:val="none"/>
                <w:vertAlign w:val="superscript"/>
                <w:lang w:val="en-US" w:eastAsia="zh-CN"/>
              </w:rPr>
              <w:t>2</w:t>
            </w:r>
            <w:r>
              <w:rPr>
                <w:rFonts w:hint="eastAsia" w:ascii="宋体" w:hAnsi="宋体" w:cs="宋体"/>
                <w:b w:val="0"/>
                <w:bCs w:val="0"/>
                <w:highlight w:val="none"/>
                <w:lang w:val="en-US" w:eastAsia="zh-CN"/>
              </w:rPr>
              <w:t>，幼儿活动场地8160m</w:t>
            </w:r>
            <w:r>
              <w:rPr>
                <w:rFonts w:hint="eastAsia" w:ascii="宋体" w:hAnsi="宋体" w:cs="宋体"/>
                <w:b w:val="0"/>
                <w:bCs w:val="0"/>
                <w:highlight w:val="none"/>
                <w:vertAlign w:val="superscript"/>
                <w:lang w:val="en-US" w:eastAsia="zh-CN"/>
              </w:rPr>
              <w:t>2，</w:t>
            </w:r>
            <w:r>
              <w:rPr>
                <w:rFonts w:hint="eastAsia" w:ascii="宋体" w:hAnsi="宋体" w:cs="宋体"/>
                <w:b w:val="0"/>
                <w:bCs w:val="0"/>
                <w:highlight w:val="none"/>
                <w:vertAlign w:val="baseline"/>
                <w:lang w:val="en-US" w:eastAsia="zh-CN"/>
              </w:rPr>
              <w:t>配齐玩教具及相关设施设备，投用后为紫阳新增幼儿学位1170个。</w:t>
            </w:r>
            <w:r>
              <w:rPr>
                <w:rFonts w:hint="eastAsia" w:ascii="宋体" w:hAnsi="宋体" w:cs="宋体"/>
                <w:b w:val="0"/>
                <w:bCs w:val="0"/>
                <w:highlight w:val="none"/>
                <w:lang w:val="en-US" w:eastAsia="zh-CN"/>
              </w:rPr>
              <w:t>计划投资8850万元，对向阳镇中心幼儿园、红椿镇中心幼儿园、蒿坪镇双星幼儿园、毛坝镇中心幼儿园、界岭镇中心幼儿园实施改扩建工程，建设保教用房22880m</w:t>
            </w:r>
            <w:r>
              <w:rPr>
                <w:rFonts w:hint="eastAsia" w:ascii="宋体" w:hAnsi="宋体" w:cs="宋体"/>
                <w:b w:val="0"/>
                <w:bCs w:val="0"/>
                <w:highlight w:val="none"/>
                <w:vertAlign w:val="superscript"/>
                <w:lang w:val="en-US" w:eastAsia="zh-CN"/>
              </w:rPr>
              <w:t>2</w:t>
            </w:r>
            <w:r>
              <w:rPr>
                <w:rFonts w:hint="eastAsia" w:ascii="宋体" w:hAnsi="宋体" w:cs="宋体"/>
                <w:b w:val="0"/>
                <w:bCs w:val="0"/>
                <w:highlight w:val="none"/>
                <w:lang w:val="en-US" w:eastAsia="zh-CN"/>
              </w:rPr>
              <w:t>，幼儿活动场地9440万m</w:t>
            </w:r>
            <w:r>
              <w:rPr>
                <w:rFonts w:hint="eastAsia" w:ascii="宋体" w:hAnsi="宋体" w:cs="宋体"/>
                <w:b w:val="0"/>
                <w:bCs w:val="0"/>
                <w:highlight w:val="none"/>
                <w:vertAlign w:val="superscript"/>
                <w:lang w:val="en-US" w:eastAsia="zh-CN"/>
              </w:rPr>
              <w:t>2</w:t>
            </w:r>
            <w:r>
              <w:rPr>
                <w:rFonts w:hint="eastAsia" w:ascii="宋体" w:hAnsi="宋体" w:cs="宋体"/>
                <w:b w:val="0"/>
                <w:bCs w:val="0"/>
                <w:highlight w:val="none"/>
                <w:lang w:val="en-US" w:eastAsia="zh-CN"/>
              </w:rPr>
              <w:t>，配齐玩教具及相关设施设备，改扩建完成后为紫阳新增幼儿学位650个。</w:t>
            </w:r>
          </w:p>
          <w:p>
            <w:pPr>
              <w:pStyle w:val="1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2" w:firstLineChars="200"/>
              <w:textAlignment w:val="auto"/>
              <w:rPr>
                <w:rFonts w:hint="eastAsia" w:ascii="宋体" w:hAnsi="宋体" w:eastAsia="宋体" w:cs="宋体"/>
                <w:lang w:val="en-US" w:eastAsia="zh-CN"/>
              </w:rPr>
            </w:pPr>
            <w:r>
              <w:rPr>
                <w:rFonts w:hint="eastAsia" w:ascii="宋体" w:hAnsi="宋体" w:eastAsia="宋体" w:cs="宋体"/>
                <w:b/>
                <w:bCs/>
                <w:lang w:val="en-US" w:eastAsia="zh-CN"/>
              </w:rPr>
              <w:t>国家学前教育普及普惠县创建工程。</w:t>
            </w:r>
            <w:r>
              <w:rPr>
                <w:rFonts w:hint="eastAsia" w:ascii="宋体" w:hAnsi="宋体" w:eastAsia="宋体" w:cs="宋体"/>
                <w:lang w:val="en-US" w:eastAsia="zh-CN"/>
              </w:rPr>
              <w:t>抓好年度创建任务落实，切实提升办学办园水平，力争到</w:t>
            </w:r>
            <w:r>
              <w:rPr>
                <w:rFonts w:hint="eastAsia" w:ascii="宋体" w:hAnsi="宋体" w:cs="宋体"/>
                <w:lang w:val="en-US" w:eastAsia="zh-CN"/>
              </w:rPr>
              <w:t>2025年底，完成27所幼儿园达到符合学前教育普及普惠办学标准的阶段目标，为</w:t>
            </w:r>
            <w:r>
              <w:rPr>
                <w:rFonts w:hint="eastAsia" w:ascii="宋体" w:hAnsi="宋体" w:eastAsia="宋体" w:cs="宋体"/>
                <w:lang w:val="en-US" w:eastAsia="zh-CN"/>
              </w:rPr>
              <w:t>在2028年顺利通过省级督导评估、国家评估认定</w:t>
            </w:r>
            <w:r>
              <w:rPr>
                <w:rFonts w:hint="eastAsia" w:ascii="宋体" w:hAnsi="宋体" w:cs="宋体"/>
                <w:lang w:val="en-US" w:eastAsia="zh-CN"/>
              </w:rPr>
              <w:t>奠定良好基础。</w:t>
            </w:r>
          </w:p>
        </w:tc>
      </w:tr>
    </w:tbl>
    <w:p>
      <w:pPr>
        <w:pStyle w:val="4"/>
        <w:pageBreakBefore w:val="0"/>
        <w:widowControl w:val="0"/>
        <w:numPr>
          <w:numId w:val="0"/>
        </w:numPr>
        <w:kinsoku/>
        <w:wordWrap/>
        <w:overflowPunct/>
        <w:topLinePunct w:val="0"/>
        <w:autoSpaceDE/>
        <w:autoSpaceDN/>
        <w:bidi w:val="0"/>
        <w:adjustRightInd/>
        <w:snapToGrid/>
        <w:spacing w:line="560" w:lineRule="exact"/>
        <w:ind w:left="640" w:leftChars="0"/>
        <w:textAlignment w:val="auto"/>
        <w:rPr>
          <w:rFonts w:hint="eastAsia" w:ascii="楷体_GB2312" w:hAnsi="楷体_GB2312" w:eastAsia="楷体_GB2312" w:cs="楷体_GB2312"/>
          <w:lang w:val="en-US" w:eastAsia="zh-CN"/>
        </w:rPr>
      </w:pPr>
      <w:bookmarkStart w:id="20" w:name="_Toc509"/>
      <w:r>
        <w:rPr>
          <w:rFonts w:hint="eastAsia" w:ascii="楷体_GB2312" w:hAnsi="楷体_GB2312" w:eastAsia="楷体_GB2312" w:cs="楷体_GB2312"/>
          <w:lang w:val="en-US" w:eastAsia="zh-CN"/>
        </w:rPr>
        <w:t>二、推进义务教育优质均衡发展</w:t>
      </w:r>
      <w:bookmarkEnd w:id="20"/>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完善义务教育均衡发展保障机制和城乡统一的义务教育公共服务制度，发展公平有质量的义务教育。启动国家义务教育发展优质均衡县创建工作，认真落实创建方案，优化义务教育学校布局，推动师资配备和办学条件标准化，全力化解城区义务教育阶段大班额问题。新建紫阳县第三小学，加快紫阳县第二小学、高桥镇初级中学、双安镇中心学校等11所义务教育阶段学校改扩建进程，落实学校扩容增位。实施乡村教育振兴，全面推行农村中心小学与小规模学校一体化办学，加强镇属村级小学和寄宿制学校要素保障，着力补齐学校食宿、文化生活、安全防护条件等薄弱环节，彻底解决学生校园生活难题，打造温馨校园。</w:t>
      </w:r>
      <w:r>
        <w:rPr>
          <w:rFonts w:hint="eastAsia" w:ascii="仿宋_GB2312" w:hAnsi="仿宋_GB2312" w:eastAsia="仿宋_GB2312" w:cs="仿宋_GB2312"/>
        </w:rPr>
        <w:t>坚持义务教育免试就近入学，</w:t>
      </w:r>
      <w:r>
        <w:rPr>
          <w:rFonts w:hint="eastAsia" w:ascii="仿宋_GB2312" w:hAnsi="仿宋_GB2312" w:eastAsia="仿宋_GB2312" w:cs="仿宋_GB2312"/>
          <w:lang w:val="en-US" w:eastAsia="zh-CN"/>
        </w:rPr>
        <w:t>保障适龄儿童平等接受义务教育</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统筹制定教学计划，严格按照国家课程方案、课程标准和课堂教学基本要求实施教学，确保学生达到国家规定学业质量标准，全面落实“双减”政策，坚决防止学生课业负担过重，加强学生作业、睡眠、手机、读物、体质“五项管理”，促进学生健康成长。探索课程实施新形态、新模式，推进教学方式、学习方式的现代化，促进信息技术与学科教学的深度融合。到2025年底，义务教育巩固率达到100%，确保47所义务教育阶段学校达到符合义务教育优质均衡发展办学标准的阶段目标。</w:t>
      </w:r>
    </w:p>
    <w:tbl>
      <w:tblPr>
        <w:tblStyle w:val="12"/>
        <w:tblW w:w="9061"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b/>
                <w:bCs/>
              </w:rPr>
              <w:t>专栏2</w:t>
            </w:r>
            <w:r>
              <w:rPr>
                <w:rFonts w:hint="eastAsia" w:ascii="宋体" w:hAnsi="宋体" w:cs="宋体"/>
                <w:b/>
                <w:bCs/>
                <w:lang w:val="en-US" w:eastAsia="zh-CN"/>
              </w:rPr>
              <w:t xml:space="preserve">  </w:t>
            </w:r>
            <w:r>
              <w:rPr>
                <w:rFonts w:hint="eastAsia" w:ascii="宋体" w:hAnsi="宋体" w:eastAsia="宋体" w:cs="宋体"/>
                <w:b/>
                <w:bCs/>
              </w:rPr>
              <w:t>义务教育优质均衡工程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2" w:firstLineChars="200"/>
              <w:textAlignment w:val="auto"/>
              <w:rPr>
                <w:rFonts w:hint="default" w:ascii="宋体" w:hAnsi="宋体" w:eastAsia="宋体" w:cs="宋体"/>
                <w:b/>
                <w:bCs/>
                <w:lang w:val="en-US" w:eastAsia="zh-CN"/>
              </w:rPr>
            </w:pPr>
            <w:r>
              <w:rPr>
                <w:rFonts w:hint="eastAsia" w:ascii="宋体" w:hAnsi="宋体" w:cs="宋体"/>
                <w:b/>
                <w:bCs/>
                <w:lang w:val="en-US" w:eastAsia="zh-CN"/>
              </w:rPr>
              <w:t>紫阳县</w:t>
            </w:r>
            <w:r>
              <w:rPr>
                <w:rFonts w:hint="eastAsia" w:ascii="宋体" w:hAnsi="宋体" w:eastAsia="宋体" w:cs="宋体"/>
                <w:b/>
                <w:bCs/>
                <w:lang w:val="en-US" w:eastAsia="zh-CN"/>
              </w:rPr>
              <w:t>义务教育</w:t>
            </w:r>
            <w:r>
              <w:rPr>
                <w:rFonts w:hint="eastAsia" w:ascii="宋体" w:hAnsi="宋体" w:cs="宋体"/>
                <w:b/>
                <w:bCs/>
                <w:lang w:val="en-US" w:eastAsia="zh-CN"/>
              </w:rPr>
              <w:t>薄弱环节改善和能力</w:t>
            </w:r>
            <w:r>
              <w:rPr>
                <w:rFonts w:hint="eastAsia" w:ascii="宋体" w:hAnsi="宋体" w:eastAsia="宋体" w:cs="宋体"/>
                <w:b/>
                <w:bCs/>
                <w:lang w:val="en-US" w:eastAsia="zh-CN"/>
              </w:rPr>
              <w:t>提升工程。</w:t>
            </w:r>
            <w:r>
              <w:rPr>
                <w:rFonts w:hint="eastAsia" w:ascii="宋体" w:hAnsi="宋体" w:cs="宋体"/>
                <w:b w:val="0"/>
                <w:bCs w:val="0"/>
                <w:lang w:val="en-US" w:eastAsia="zh-CN"/>
              </w:rPr>
              <w:t>新建紫阳县第三小学；改扩建3所小学（紫阳小学、紫阳县第二小学、蒿坪镇双星小学），3所初中（紫阳中学初中部、高桥镇初级中学、蒿坪镇初级中学），5所九年制学校（双安镇九年制学校、麻柳镇九年制学校、东木镇九年制学校、瓦庙镇九年制学校、向阳镇九年制学校），计划总投资24180万元，合计建设教学及辅助用房38500m</w:t>
            </w:r>
            <w:r>
              <w:rPr>
                <w:rFonts w:hint="eastAsia" w:ascii="宋体" w:hAnsi="宋体" w:cs="宋体"/>
                <w:b w:val="0"/>
                <w:bCs w:val="0"/>
                <w:vertAlign w:val="superscript"/>
                <w:lang w:val="en-US" w:eastAsia="zh-CN"/>
              </w:rPr>
              <w:t>2</w:t>
            </w:r>
            <w:r>
              <w:rPr>
                <w:rFonts w:hint="eastAsia" w:ascii="宋体" w:hAnsi="宋体" w:cs="宋体"/>
                <w:b w:val="0"/>
                <w:bCs w:val="0"/>
                <w:lang w:val="en-US" w:eastAsia="zh-CN"/>
              </w:rPr>
              <w:t>，学生生活用房7200m</w:t>
            </w:r>
            <w:r>
              <w:rPr>
                <w:rFonts w:hint="eastAsia" w:ascii="宋体" w:hAnsi="宋体" w:cs="宋体"/>
                <w:b w:val="0"/>
                <w:bCs w:val="0"/>
                <w:vertAlign w:val="superscript"/>
                <w:lang w:val="en-US" w:eastAsia="zh-CN"/>
              </w:rPr>
              <w:t>2</w:t>
            </w:r>
            <w:r>
              <w:rPr>
                <w:rFonts w:hint="eastAsia" w:ascii="宋体" w:hAnsi="宋体" w:cs="宋体"/>
                <w:b w:val="0"/>
                <w:bCs w:val="0"/>
                <w:lang w:val="en-US" w:eastAsia="zh-CN"/>
              </w:rPr>
              <w:t>，教师周转宿舍12720m</w:t>
            </w:r>
            <w:r>
              <w:rPr>
                <w:rFonts w:hint="eastAsia" w:ascii="宋体" w:hAnsi="宋体" w:cs="宋体"/>
                <w:b w:val="0"/>
                <w:bCs w:val="0"/>
                <w:vertAlign w:val="superscript"/>
                <w:lang w:val="en-US" w:eastAsia="zh-CN"/>
              </w:rPr>
              <w:t>2</w:t>
            </w:r>
            <w:r>
              <w:rPr>
                <w:rFonts w:hint="eastAsia" w:ascii="宋体" w:hAnsi="宋体" w:cs="宋体"/>
                <w:b w:val="0"/>
                <w:bCs w:val="0"/>
                <w:lang w:val="en-US" w:eastAsia="zh-CN"/>
              </w:rPr>
              <w:t>，建设体育活动场地25769m</w:t>
            </w:r>
            <w:r>
              <w:rPr>
                <w:rFonts w:hint="eastAsia" w:ascii="宋体" w:hAnsi="宋体" w:cs="宋体"/>
                <w:b w:val="0"/>
                <w:bCs w:val="0"/>
                <w:vertAlign w:val="superscript"/>
                <w:lang w:val="en-US" w:eastAsia="zh-CN"/>
              </w:rPr>
              <w:t>2</w:t>
            </w:r>
            <w:r>
              <w:rPr>
                <w:rFonts w:hint="eastAsia" w:ascii="宋体" w:hAnsi="宋体" w:cs="宋体"/>
                <w:b w:val="0"/>
                <w:bCs w:val="0"/>
                <w:lang w:val="en-US" w:eastAsia="zh-CN"/>
              </w:rPr>
              <w:t>，配足配齐教学实验仪器设备及其他设施设备，新增义务教育学位共计1820个。</w:t>
            </w:r>
          </w:p>
          <w:p>
            <w:pPr>
              <w:pStyle w:val="1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2" w:firstLineChars="200"/>
              <w:textAlignment w:val="auto"/>
              <w:rPr>
                <w:rFonts w:hint="eastAsia" w:ascii="宋体" w:hAnsi="宋体" w:eastAsia="宋体" w:cs="宋体"/>
                <w:lang w:val="en-US" w:eastAsia="zh-CN"/>
              </w:rPr>
            </w:pPr>
            <w:r>
              <w:rPr>
                <w:rFonts w:hint="eastAsia" w:ascii="宋体" w:hAnsi="宋体" w:eastAsia="宋体" w:cs="宋体"/>
                <w:b/>
                <w:bCs/>
                <w:lang w:val="en-US" w:eastAsia="zh-CN"/>
              </w:rPr>
              <w:t>国家义务教育优质均衡发展县创建工程。</w:t>
            </w:r>
            <w:r>
              <w:rPr>
                <w:rFonts w:hint="eastAsia" w:ascii="宋体" w:hAnsi="宋体" w:eastAsia="宋体" w:cs="宋体"/>
                <w:lang w:val="en-US" w:eastAsia="zh-CN"/>
              </w:rPr>
              <w:t>进一步健全城乡一体化的义务教育发展机制，在落实好基本均衡基础上，抓好年度创建任务落实，力争在</w:t>
            </w:r>
            <w:r>
              <w:rPr>
                <w:rFonts w:hint="eastAsia" w:ascii="宋体" w:hAnsi="宋体" w:cs="宋体"/>
                <w:lang w:val="en-US" w:eastAsia="zh-CN"/>
              </w:rPr>
              <w:t>2025年底，完成47所义务教育阶段学校达到符合义务教育优质均衡发展办学标准的阶段目标，为申请通过国家义务教育发展优质均衡县督导评估认定奠定良好基础。</w:t>
            </w:r>
          </w:p>
        </w:tc>
      </w:tr>
    </w:tbl>
    <w:p>
      <w:pPr>
        <w:pStyle w:val="4"/>
        <w:pageBreakBefore w:val="0"/>
        <w:widowControl w:val="0"/>
        <w:numPr>
          <w:numId w:val="0"/>
        </w:numPr>
        <w:kinsoku/>
        <w:wordWrap/>
        <w:overflowPunct/>
        <w:topLinePunct w:val="0"/>
        <w:autoSpaceDE/>
        <w:autoSpaceDN/>
        <w:bidi w:val="0"/>
        <w:adjustRightInd/>
        <w:snapToGrid/>
        <w:spacing w:line="560" w:lineRule="exact"/>
        <w:ind w:left="417" w:leftChars="0" w:firstLine="321" w:firstLineChars="100"/>
        <w:textAlignment w:val="auto"/>
        <w:rPr>
          <w:rFonts w:hint="eastAsia" w:ascii="楷体_GB2312" w:hAnsi="楷体_GB2312" w:eastAsia="楷体_GB2312" w:cs="楷体_GB2312"/>
          <w:lang w:val="en-US" w:eastAsia="zh-CN"/>
        </w:rPr>
      </w:pPr>
      <w:bookmarkStart w:id="21" w:name="_Toc7627"/>
      <w:r>
        <w:rPr>
          <w:rFonts w:hint="eastAsia" w:ascii="楷体_GB2312" w:hAnsi="楷体_GB2312" w:eastAsia="楷体_GB2312" w:cs="楷体_GB2312"/>
          <w:lang w:val="en-US" w:eastAsia="zh-CN"/>
        </w:rPr>
        <w:t>三、推进普通高中教育优质特色发展</w:t>
      </w:r>
      <w:bookmarkEnd w:id="21"/>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重点围绕解决县域高中布局不优和县城高中教学资源短缺问题，新建紫阳县第二中学，改扩建紫阳县紫阳中学、毛坝中学，推进校舍、场馆、食堂、宿舍配套升级，增加全县高中学位3000个。优化课程实施，落实省市实施意见，2022年秋季学期起普通高中高一年级全面实施新课程、使用新教材；完善学校课程管理，依照普通高中课程方案，合理安排三年各学科课程，开齐开足上好体育与健康、艺术、综合实践活动和理化生实验等课程；加强学校特色课程建设，积极开展校园体育、艺术、阅读、写作、演讲、科技创新等社团活动。变革教学组织形式，加大对班级编排、学生管理、教师调配、教学设施配置等方面的统筹力度，构建规范有序、科学高效的选课走班运行机制，因地制宜、有序实施选课走班，满足学生不同发展需要。建立学生发展指导制度，建设专兼职结合的指导师资队伍，加强对学生学习、生活、职业生涯规划等方面的指导，加强普通高中学生心理健康教育，关注青春期学生的心理健康发展，积极开展高中抑郁症筛查和干预疏导工作。提升教师引导支撑能力，规范招生秩序，强化奖励政策，稳定紫阳优质生源，吸引优秀教育人才长期任教，促进普通高中持续健康发展。到2025年底，高中阶段学生毛入学率达98.3%以上，普通高中大班额、大校额情况得到明显改善。</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2"/>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val="en-US" w:eastAsia="zh-CN"/>
        </w:rPr>
      </w:pPr>
    </w:p>
    <w:tbl>
      <w:tblPr>
        <w:tblStyle w:val="12"/>
        <w:tblW w:w="9061"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b/>
                <w:bCs/>
              </w:rPr>
              <w:t>专栏3</w:t>
            </w:r>
            <w:r>
              <w:rPr>
                <w:rFonts w:hint="eastAsia" w:ascii="宋体" w:hAnsi="宋体" w:cs="宋体"/>
                <w:b/>
                <w:bCs/>
                <w:lang w:val="en-US" w:eastAsia="zh-CN"/>
              </w:rPr>
              <w:t xml:space="preserve">  </w:t>
            </w:r>
            <w:r>
              <w:rPr>
                <w:rFonts w:hint="eastAsia" w:ascii="宋体" w:hAnsi="宋体" w:cs="宋体"/>
                <w:b/>
                <w:bCs/>
                <w:lang w:eastAsia="zh-CN"/>
              </w:rPr>
              <w:t>普通高中</w:t>
            </w:r>
            <w:r>
              <w:rPr>
                <w:rFonts w:hint="eastAsia" w:ascii="宋体" w:hAnsi="宋体" w:eastAsia="宋体" w:cs="宋体"/>
                <w:b/>
                <w:bCs/>
              </w:rPr>
              <w:t>教育</w:t>
            </w:r>
            <w:r>
              <w:rPr>
                <w:rFonts w:hint="eastAsia" w:ascii="宋体" w:hAnsi="宋体" w:cs="宋体"/>
                <w:b/>
                <w:bCs/>
                <w:lang w:eastAsia="zh-CN"/>
              </w:rPr>
              <w:t>攻坚</w:t>
            </w:r>
            <w:r>
              <w:rPr>
                <w:rFonts w:hint="eastAsia" w:ascii="宋体" w:hAnsi="宋体" w:eastAsia="宋体" w:cs="宋体"/>
                <w:b/>
                <w:bCs/>
              </w:rPr>
              <w:t>工程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2" w:firstLineChars="200"/>
              <w:textAlignment w:val="auto"/>
              <w:rPr>
                <w:rFonts w:hint="eastAsia" w:ascii="宋体" w:hAnsi="宋体" w:eastAsia="宋体" w:cs="宋体"/>
                <w:lang w:val="en-US" w:eastAsia="zh-CN"/>
              </w:rPr>
            </w:pPr>
            <w:r>
              <w:rPr>
                <w:rFonts w:hint="eastAsia" w:ascii="宋体" w:hAnsi="宋体" w:cs="宋体"/>
                <w:b/>
                <w:bCs/>
                <w:lang w:val="en-US" w:eastAsia="zh-CN"/>
              </w:rPr>
              <w:t>紫阳县</w:t>
            </w:r>
            <w:r>
              <w:rPr>
                <w:rFonts w:hint="eastAsia" w:ascii="宋体" w:hAnsi="宋体" w:eastAsia="宋体" w:cs="宋体"/>
                <w:b/>
                <w:bCs/>
                <w:lang w:val="en-US" w:eastAsia="zh-CN"/>
              </w:rPr>
              <w:t>普通高中</w:t>
            </w:r>
            <w:r>
              <w:rPr>
                <w:rFonts w:hint="eastAsia" w:ascii="宋体" w:hAnsi="宋体" w:cs="宋体"/>
                <w:b/>
                <w:bCs/>
                <w:lang w:val="en-US" w:eastAsia="zh-CN"/>
              </w:rPr>
              <w:t>攻坚</w:t>
            </w:r>
            <w:r>
              <w:rPr>
                <w:rFonts w:hint="eastAsia" w:ascii="宋体" w:hAnsi="宋体" w:eastAsia="宋体" w:cs="宋体"/>
                <w:b/>
                <w:bCs/>
                <w:lang w:val="en-US" w:eastAsia="zh-CN"/>
              </w:rPr>
              <w:t>工程。</w:t>
            </w:r>
            <w:r>
              <w:rPr>
                <w:rFonts w:hint="eastAsia" w:ascii="宋体" w:hAnsi="宋体" w:eastAsia="宋体" w:cs="宋体"/>
                <w:lang w:val="en-US" w:eastAsia="zh-CN"/>
              </w:rPr>
              <w:t>计划投资</w:t>
            </w:r>
            <w:r>
              <w:rPr>
                <w:rFonts w:hint="eastAsia" w:ascii="宋体" w:hAnsi="宋体" w:cs="宋体"/>
                <w:lang w:val="en-US" w:eastAsia="zh-CN"/>
              </w:rPr>
              <w:t>49600万</w:t>
            </w:r>
            <w:r>
              <w:rPr>
                <w:rFonts w:hint="eastAsia" w:ascii="宋体" w:hAnsi="宋体" w:eastAsia="宋体" w:cs="宋体"/>
                <w:lang w:val="en-US" w:eastAsia="zh-CN"/>
              </w:rPr>
              <w:t>元，</w:t>
            </w:r>
            <w:r>
              <w:rPr>
                <w:rFonts w:hint="eastAsia" w:ascii="宋体" w:hAnsi="宋体" w:cs="宋体"/>
                <w:lang w:val="en-US" w:eastAsia="zh-CN"/>
              </w:rPr>
              <w:t>新建紫阳县第二中学，</w:t>
            </w:r>
            <w:r>
              <w:rPr>
                <w:rFonts w:hint="eastAsia" w:ascii="宋体" w:hAnsi="宋体" w:eastAsia="宋体" w:cs="宋体"/>
                <w:lang w:val="en-US" w:eastAsia="zh-CN"/>
              </w:rPr>
              <w:t>改扩建紫阳中学和毛坝中学，</w:t>
            </w:r>
            <w:r>
              <w:rPr>
                <w:rFonts w:hint="eastAsia" w:ascii="宋体" w:hAnsi="宋体" w:cs="宋体"/>
                <w:lang w:val="en-US" w:eastAsia="zh-CN"/>
              </w:rPr>
              <w:t>合计</w:t>
            </w:r>
            <w:r>
              <w:rPr>
                <w:rFonts w:hint="eastAsia" w:ascii="宋体" w:hAnsi="宋体" w:eastAsia="宋体" w:cs="宋体"/>
                <w:lang w:val="en-US" w:eastAsia="zh-CN"/>
              </w:rPr>
              <w:t>建设教学</w:t>
            </w:r>
            <w:r>
              <w:rPr>
                <w:rFonts w:hint="eastAsia" w:ascii="宋体" w:hAnsi="宋体" w:cs="宋体"/>
                <w:lang w:val="en-US" w:eastAsia="zh-CN"/>
              </w:rPr>
              <w:t>及辅助</w:t>
            </w:r>
            <w:r>
              <w:rPr>
                <w:rFonts w:hint="eastAsia" w:ascii="宋体" w:hAnsi="宋体" w:eastAsia="宋体" w:cs="宋体"/>
                <w:lang w:val="en-US" w:eastAsia="zh-CN"/>
              </w:rPr>
              <w:t>用房</w:t>
            </w:r>
            <w:r>
              <w:rPr>
                <w:rFonts w:hint="eastAsia" w:ascii="宋体" w:hAnsi="宋体" w:cs="宋体"/>
                <w:lang w:val="en-US" w:eastAsia="zh-CN"/>
              </w:rPr>
              <w:t>36500</w:t>
            </w:r>
            <w:r>
              <w:rPr>
                <w:rFonts w:hint="eastAsia" w:ascii="宋体" w:hAnsi="宋体" w:eastAsia="宋体" w:cs="宋体"/>
                <w:lang w:val="en-US" w:eastAsia="zh-CN"/>
              </w:rPr>
              <w:t>㎡，学生生活用房</w:t>
            </w:r>
            <w:r>
              <w:rPr>
                <w:rFonts w:hint="eastAsia" w:ascii="宋体" w:hAnsi="宋体" w:cs="宋体"/>
                <w:lang w:val="en-US" w:eastAsia="zh-CN"/>
              </w:rPr>
              <w:t>43960</w:t>
            </w:r>
            <w:r>
              <w:rPr>
                <w:rFonts w:hint="eastAsia" w:ascii="宋体" w:hAnsi="宋体" w:eastAsia="宋体" w:cs="宋体"/>
                <w:lang w:val="en-US" w:eastAsia="zh-CN"/>
              </w:rPr>
              <w:t>㎡，教师周转宿舍</w:t>
            </w:r>
            <w:r>
              <w:rPr>
                <w:rFonts w:hint="eastAsia" w:ascii="宋体" w:hAnsi="宋体" w:cs="宋体"/>
                <w:lang w:val="en-US" w:eastAsia="zh-CN"/>
              </w:rPr>
              <w:t>4550</w:t>
            </w:r>
            <w:r>
              <w:rPr>
                <w:rFonts w:hint="eastAsia" w:ascii="宋体" w:hAnsi="宋体" w:eastAsia="宋体" w:cs="宋体"/>
                <w:lang w:val="en-US" w:eastAsia="zh-CN"/>
              </w:rPr>
              <w:t>㎡</w:t>
            </w:r>
            <w:r>
              <w:rPr>
                <w:rFonts w:hint="eastAsia" w:ascii="宋体" w:hAnsi="宋体" w:cs="宋体"/>
                <w:lang w:val="en-US" w:eastAsia="zh-CN"/>
              </w:rPr>
              <w:t>，</w:t>
            </w:r>
            <w:r>
              <w:rPr>
                <w:rFonts w:hint="eastAsia" w:ascii="宋体" w:hAnsi="宋体" w:eastAsia="宋体" w:cs="宋体"/>
                <w:lang w:val="en-US" w:eastAsia="zh-CN"/>
              </w:rPr>
              <w:t>学生餐厅1650㎡；建设体育场地</w:t>
            </w:r>
            <w:r>
              <w:rPr>
                <w:rFonts w:hint="eastAsia" w:ascii="宋体" w:hAnsi="宋体" w:cs="宋体"/>
                <w:lang w:val="en-US" w:eastAsia="zh-CN"/>
              </w:rPr>
              <w:t>17500</w:t>
            </w:r>
            <w:r>
              <w:rPr>
                <w:rFonts w:hint="eastAsia" w:ascii="宋体" w:hAnsi="宋体" w:eastAsia="宋体" w:cs="宋体"/>
                <w:lang w:val="en-US" w:eastAsia="zh-CN"/>
              </w:rPr>
              <w:t>㎡，</w:t>
            </w:r>
            <w:r>
              <w:rPr>
                <w:rFonts w:hint="eastAsia" w:ascii="宋体" w:hAnsi="宋体" w:cs="宋体"/>
                <w:lang w:val="en-US" w:eastAsia="zh-CN"/>
              </w:rPr>
              <w:t>优化提升</w:t>
            </w:r>
            <w:r>
              <w:rPr>
                <w:rFonts w:hint="eastAsia" w:ascii="宋体" w:hAnsi="宋体" w:eastAsia="宋体" w:cs="宋体"/>
                <w:lang w:val="en-US" w:eastAsia="zh-CN"/>
              </w:rPr>
              <w:t>其他附属设施及教学实验仪器设备</w:t>
            </w:r>
            <w:r>
              <w:rPr>
                <w:rFonts w:hint="eastAsia" w:ascii="宋体" w:hAnsi="宋体" w:cs="宋体"/>
                <w:lang w:val="en-US" w:eastAsia="zh-CN"/>
              </w:rPr>
              <w:t>，建成后增加高中学位3000个</w:t>
            </w:r>
            <w:r>
              <w:rPr>
                <w:rFonts w:hint="eastAsia" w:ascii="宋体" w:hAnsi="宋体" w:eastAsia="宋体" w:cs="宋体"/>
                <w:lang w:val="en-US" w:eastAsia="zh-CN"/>
              </w:rPr>
              <w:t>。</w:t>
            </w:r>
          </w:p>
          <w:p>
            <w:pPr>
              <w:pStyle w:val="1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2" w:firstLineChars="200"/>
              <w:textAlignment w:val="auto"/>
              <w:rPr>
                <w:rFonts w:hint="eastAsia" w:ascii="宋体" w:hAnsi="宋体" w:eastAsia="宋体" w:cs="宋体"/>
                <w:lang w:val="en-US" w:eastAsia="zh-CN"/>
              </w:rPr>
            </w:pPr>
            <w:r>
              <w:rPr>
                <w:rFonts w:hint="eastAsia" w:ascii="宋体" w:hAnsi="宋体" w:eastAsia="宋体" w:cs="宋体"/>
                <w:b/>
                <w:bCs/>
                <w:lang w:val="en-US" w:eastAsia="zh-CN"/>
              </w:rPr>
              <w:t>高中优质特色教育工程。</w:t>
            </w:r>
            <w:r>
              <w:rPr>
                <w:rFonts w:hint="eastAsia" w:ascii="宋体" w:hAnsi="宋体" w:eastAsia="宋体" w:cs="宋体"/>
                <w:lang w:val="en-US" w:eastAsia="zh-CN"/>
              </w:rPr>
              <w:t>根据高中阶段教育性质、高考改革方向及学生发展要求推进课程建设特色化，构建规范有序、科学高效的选课走班运行机制。</w:t>
            </w:r>
          </w:p>
        </w:tc>
      </w:tr>
    </w:tbl>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22" w:name="_Toc20427"/>
      <w:r>
        <w:rPr>
          <w:rFonts w:hint="eastAsia" w:ascii="楷体_GB2312" w:hAnsi="楷体_GB2312" w:eastAsia="楷体_GB2312" w:cs="楷体_GB2312"/>
          <w:lang w:val="en-US" w:eastAsia="zh-CN"/>
        </w:rPr>
        <w:t>四、推进职业教育优质融合发展</w:t>
      </w:r>
      <w:bookmarkEnd w:id="22"/>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落实《职业教育提质培优行动计划（2020—2023年）》，全面对接紫阳产业发展态势和未来技能人才需求，加大办学投入，</w:t>
      </w:r>
      <w:r>
        <w:rPr>
          <w:rFonts w:hint="eastAsia" w:ascii="仿宋_GB2312" w:hAnsi="仿宋_GB2312" w:eastAsia="仿宋_GB2312" w:cs="仿宋_GB2312"/>
          <w:lang w:val="en-US" w:eastAsia="zh-CN"/>
        </w:rPr>
        <w:t>重点推进县职教中心改扩建工程</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改善办学条件，补足中等职业教育学位缺口</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以深化产教融合为主线，</w:t>
      </w:r>
      <w:r>
        <w:rPr>
          <w:rFonts w:hint="eastAsia" w:ascii="仿宋_GB2312" w:hAnsi="仿宋_GB2312" w:eastAsia="仿宋_GB2312" w:cs="仿宋_GB2312"/>
          <w:color w:val="000000" w:themeColor="text1"/>
          <w:lang w:val="en-US" w:eastAsia="zh-CN"/>
          <w14:textFill>
            <w14:solidFill>
              <w14:schemeClr w14:val="tx1"/>
            </w14:solidFill>
          </w14:textFill>
        </w:rPr>
        <w:t>围绕地区产业布局和新产业、新业态发展需求，提升茶叶生产加工、足疗康养等优势课程，积极开设汽车修理、康复理疗、健康护理等社会领域紧缺专业建设。深化校企联合办学，以共赢理念搭建校企合作平台，与企业联合办学，通过互为人才培养基地等多种形式，实行“订单式”培养和“定向式”培训，实现校园教育与企业生产融合并进的新模式。探索实行现代学徒制，推动工作岗位、课程体系、技能大赛、职业技能等级证书“岗课赛证”综合育人</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sz w:val="32"/>
          <w:szCs w:val="32"/>
          <w:shd w:val="clear" w:color="auto" w:fill="FFFFFF"/>
          <w:lang w:eastAsia="zh-CN"/>
        </w:rPr>
        <w:t>推进“三名工程”建设，</w:t>
      </w:r>
      <w:r>
        <w:rPr>
          <w:rFonts w:hint="eastAsia" w:ascii="仿宋_GB2312" w:hAnsi="仿宋_GB2312" w:eastAsia="仿宋_GB2312" w:cs="仿宋_GB2312"/>
          <w:color w:val="000000" w:themeColor="text1"/>
          <w14:textFill>
            <w14:solidFill>
              <w14:schemeClr w14:val="tx1"/>
            </w14:solidFill>
          </w14:textFill>
        </w:rPr>
        <w:t>积极打造高素质</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双师型</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教师队伍，引进急需的专业实践课教师，推动企业工程技术人员、高技能人才和职业学校教师双向交流</w:t>
      </w:r>
      <w:r>
        <w:rPr>
          <w:rFonts w:hint="eastAsia" w:ascii="仿宋_GB2312" w:hAnsi="仿宋_GB2312" w:eastAsia="仿宋_GB2312" w:cs="仿宋_GB2312"/>
          <w:color w:val="000000" w:themeColor="text1"/>
          <w:lang w:eastAsia="zh-CN"/>
          <w14:textFill>
            <w14:solidFill>
              <w14:schemeClr w14:val="tx1"/>
            </w14:solidFill>
          </w14:textFill>
        </w:rPr>
        <w:t>。到</w:t>
      </w:r>
      <w:r>
        <w:rPr>
          <w:rFonts w:hint="eastAsia" w:ascii="仿宋_GB2312" w:hAnsi="仿宋_GB2312" w:eastAsia="仿宋_GB2312" w:cs="仿宋_GB2312"/>
          <w:color w:val="000000" w:themeColor="text1"/>
          <w:lang w:val="en-US" w:eastAsia="zh-CN"/>
          <w14:textFill>
            <w14:solidFill>
              <w14:schemeClr w14:val="tx1"/>
            </w14:solidFill>
          </w14:textFill>
        </w:rPr>
        <w:t>2025年底，“双师型”教师占比不低于30%。</w:t>
      </w:r>
    </w:p>
    <w:tbl>
      <w:tblPr>
        <w:tblStyle w:val="12"/>
        <w:tblW w:w="9061"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b/>
                <w:bCs/>
                <w:lang w:eastAsia="zh-CN"/>
              </w:rPr>
              <w:t>专栏</w:t>
            </w:r>
            <w:r>
              <w:rPr>
                <w:rFonts w:hint="eastAsia" w:ascii="宋体" w:hAnsi="宋体" w:eastAsia="宋体" w:cs="宋体"/>
                <w:b/>
                <w:bCs/>
                <w:lang w:val="en-US" w:eastAsia="zh-CN"/>
              </w:rPr>
              <w:t>4</w:t>
            </w:r>
            <w:r>
              <w:rPr>
                <w:rFonts w:hint="eastAsia" w:ascii="宋体" w:hAnsi="宋体" w:cs="宋体"/>
                <w:b/>
                <w:bCs/>
                <w:lang w:val="en-US" w:eastAsia="zh-CN"/>
              </w:rPr>
              <w:t xml:space="preserve">  </w:t>
            </w:r>
            <w:r>
              <w:rPr>
                <w:rFonts w:hint="eastAsia" w:ascii="宋体" w:hAnsi="宋体" w:eastAsia="宋体" w:cs="宋体"/>
                <w:b/>
                <w:bCs/>
                <w:lang w:eastAsia="zh-CN"/>
              </w:rPr>
              <w:t>职业教育</w:t>
            </w:r>
            <w:r>
              <w:rPr>
                <w:rFonts w:hint="eastAsia" w:ascii="宋体" w:hAnsi="宋体" w:cs="宋体"/>
                <w:b/>
                <w:bCs/>
                <w:lang w:val="en-US" w:eastAsia="zh-CN"/>
              </w:rPr>
              <w:t>质量提升</w:t>
            </w:r>
            <w:r>
              <w:rPr>
                <w:rFonts w:hint="eastAsia" w:ascii="宋体" w:hAnsi="宋体" w:eastAsia="宋体" w:cs="宋体"/>
                <w:b/>
                <w:bCs/>
                <w:lang w:val="en-US" w:eastAsia="zh-CN"/>
              </w:rPr>
              <w:t>工程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482" w:firstLineChars="200"/>
              <w:textAlignment w:val="auto"/>
              <w:rPr>
                <w:rFonts w:hint="eastAsia" w:ascii="宋体" w:hAnsi="宋体" w:eastAsia="宋体" w:cs="宋体"/>
                <w:lang w:val="en-US" w:eastAsia="zh-CN"/>
              </w:rPr>
            </w:pPr>
            <w:r>
              <w:rPr>
                <w:rFonts w:hint="eastAsia" w:ascii="宋体" w:hAnsi="宋体" w:eastAsia="宋体" w:cs="宋体"/>
                <w:b/>
                <w:bCs/>
                <w:lang w:val="en-US" w:eastAsia="zh-CN"/>
              </w:rPr>
              <w:t>紫阳职业教育中心改扩建工程。</w:t>
            </w:r>
            <w:r>
              <w:rPr>
                <w:rFonts w:hint="eastAsia" w:ascii="宋体" w:hAnsi="宋体" w:eastAsia="宋体" w:cs="宋体"/>
                <w:lang w:val="en-US" w:eastAsia="zh-CN"/>
              </w:rPr>
              <w:t>计划投资1</w:t>
            </w:r>
            <w:r>
              <w:rPr>
                <w:rFonts w:hint="eastAsia" w:ascii="宋体" w:hAnsi="宋体" w:cs="宋体"/>
                <w:lang w:val="en-US" w:eastAsia="zh-CN"/>
              </w:rPr>
              <w:t>2</w:t>
            </w:r>
            <w:r>
              <w:rPr>
                <w:rFonts w:hint="eastAsia" w:ascii="宋体" w:hAnsi="宋体" w:eastAsia="宋体" w:cs="宋体"/>
                <w:lang w:val="en-US" w:eastAsia="zh-CN"/>
              </w:rPr>
              <w:t>000万元，建设教学</w:t>
            </w:r>
            <w:r>
              <w:rPr>
                <w:rFonts w:hint="eastAsia" w:ascii="宋体" w:hAnsi="宋体" w:cs="宋体"/>
                <w:lang w:val="en-US" w:eastAsia="zh-CN"/>
              </w:rPr>
              <w:t>及辅助</w:t>
            </w:r>
            <w:r>
              <w:rPr>
                <w:rFonts w:hint="eastAsia" w:ascii="宋体" w:hAnsi="宋体" w:eastAsia="宋体" w:cs="宋体"/>
                <w:lang w:val="en-US" w:eastAsia="zh-CN"/>
              </w:rPr>
              <w:t>用房1</w:t>
            </w:r>
            <w:r>
              <w:rPr>
                <w:rFonts w:hint="eastAsia" w:ascii="宋体" w:hAnsi="宋体" w:cs="宋体"/>
                <w:lang w:val="en-US" w:eastAsia="zh-CN"/>
              </w:rPr>
              <w:t>5360</w:t>
            </w:r>
            <w:r>
              <w:rPr>
                <w:rFonts w:hint="eastAsia" w:ascii="宋体" w:hAnsi="宋体" w:eastAsia="宋体" w:cs="宋体"/>
                <w:lang w:val="en-US" w:eastAsia="zh-CN"/>
              </w:rPr>
              <w:t>㎡，学生生活用房</w:t>
            </w:r>
            <w:r>
              <w:rPr>
                <w:rFonts w:hint="eastAsia" w:ascii="宋体" w:hAnsi="宋体" w:cs="宋体"/>
                <w:lang w:val="en-US" w:eastAsia="zh-CN"/>
              </w:rPr>
              <w:t>6630</w:t>
            </w:r>
            <w:r>
              <w:rPr>
                <w:rFonts w:hint="eastAsia" w:ascii="宋体" w:hAnsi="宋体" w:eastAsia="宋体" w:cs="宋体"/>
                <w:lang w:val="en-US" w:eastAsia="zh-CN"/>
              </w:rPr>
              <w:t>㎡；建设体育场地</w:t>
            </w:r>
            <w:r>
              <w:rPr>
                <w:rFonts w:hint="eastAsia" w:ascii="宋体" w:hAnsi="宋体" w:cs="宋体"/>
                <w:lang w:val="en-US" w:eastAsia="zh-CN"/>
              </w:rPr>
              <w:t>2700</w:t>
            </w:r>
            <w:r>
              <w:rPr>
                <w:rFonts w:hint="eastAsia" w:ascii="宋体" w:hAnsi="宋体" w:eastAsia="宋体" w:cs="宋体"/>
                <w:lang w:val="en-US" w:eastAsia="zh-CN"/>
              </w:rPr>
              <w:t>㎡，餐厅3730㎡</w:t>
            </w:r>
            <w:r>
              <w:rPr>
                <w:rFonts w:hint="eastAsia" w:ascii="宋体" w:hAnsi="宋体" w:cs="宋体"/>
                <w:lang w:val="en-US" w:eastAsia="zh-CN"/>
              </w:rPr>
              <w:t>，</w:t>
            </w:r>
            <w:r>
              <w:rPr>
                <w:rFonts w:hint="eastAsia" w:ascii="宋体" w:hAnsi="宋体" w:eastAsia="宋体" w:cs="宋体"/>
                <w:lang w:val="en-US" w:eastAsia="zh-CN"/>
              </w:rPr>
              <w:t>补充</w:t>
            </w:r>
            <w:r>
              <w:rPr>
                <w:rFonts w:hint="eastAsia" w:ascii="宋体" w:hAnsi="宋体" w:cs="宋体"/>
                <w:lang w:val="en-US" w:eastAsia="zh-CN"/>
              </w:rPr>
              <w:t>厕所、人防工程、设备用房、绿化等</w:t>
            </w:r>
            <w:r>
              <w:rPr>
                <w:rFonts w:hint="eastAsia" w:ascii="宋体" w:hAnsi="宋体" w:eastAsia="宋体" w:cs="宋体"/>
                <w:lang w:val="en-US" w:eastAsia="zh-CN"/>
              </w:rPr>
              <w:t>其他附属设施及教学实训实习设备。</w:t>
            </w:r>
          </w:p>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482" w:firstLineChars="200"/>
              <w:textAlignment w:val="auto"/>
              <w:rPr>
                <w:rFonts w:hint="eastAsia" w:ascii="宋体" w:hAnsi="宋体" w:eastAsia="宋体" w:cs="宋体"/>
                <w:lang w:val="en-US" w:eastAsia="zh-CN"/>
              </w:rPr>
            </w:pPr>
            <w:r>
              <w:rPr>
                <w:rFonts w:hint="eastAsia" w:ascii="宋体" w:hAnsi="宋体" w:eastAsia="宋体" w:cs="宋体"/>
                <w:b/>
                <w:bCs/>
                <w:lang w:eastAsia="zh-CN"/>
              </w:rPr>
              <w:t>“双师型”教师队伍扩充计划。</w:t>
            </w:r>
            <w:r>
              <w:rPr>
                <w:rFonts w:hint="eastAsia" w:ascii="宋体" w:hAnsi="宋体" w:eastAsia="宋体" w:cs="宋体"/>
                <w:lang w:eastAsia="zh-CN"/>
              </w:rPr>
              <w:t>县职教中心“双师型”教师比例提升至</w:t>
            </w:r>
            <w:r>
              <w:rPr>
                <w:rFonts w:hint="eastAsia" w:ascii="宋体" w:hAnsi="宋体" w:cs="宋体"/>
                <w:highlight w:val="none"/>
                <w:lang w:val="en-US" w:eastAsia="zh-CN"/>
              </w:rPr>
              <w:t>30</w:t>
            </w:r>
            <w:r>
              <w:rPr>
                <w:rFonts w:hint="eastAsia" w:ascii="宋体" w:hAnsi="宋体" w:eastAsia="宋体" w:cs="宋体"/>
                <w:highlight w:val="none"/>
                <w:lang w:val="en-US" w:eastAsia="zh-CN"/>
              </w:rPr>
              <w:t>%</w:t>
            </w:r>
            <w:r>
              <w:rPr>
                <w:rFonts w:hint="eastAsia" w:ascii="宋体" w:hAnsi="宋体" w:eastAsia="宋体" w:cs="宋体"/>
                <w:lang w:val="en-US" w:eastAsia="zh-CN"/>
              </w:rPr>
              <w:t>。</w:t>
            </w:r>
          </w:p>
        </w:tc>
      </w:tr>
    </w:tbl>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23" w:name="_Toc32253"/>
      <w:r>
        <w:rPr>
          <w:rFonts w:hint="eastAsia" w:ascii="楷体_GB2312" w:hAnsi="楷体_GB2312" w:eastAsia="楷体_GB2312" w:cs="楷体_GB2312"/>
          <w:lang w:val="en-US" w:eastAsia="zh-CN"/>
        </w:rPr>
        <w:t>五、关心支持特殊教育发展</w:t>
      </w:r>
      <w:bookmarkEnd w:id="23"/>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仿宋_GB2312" w:hAnsi="仿宋_GB2312" w:eastAsia="仿宋_GB2312" w:cs="仿宋_GB2312"/>
          <w:lang w:val="en-US" w:eastAsia="zh-CN"/>
        </w:rPr>
        <w:t>健全残疾儿童少年入学数据核对机制和就学能力评估机制，以符合条件的适龄残疾儿童随班就读为主体、以特殊教育学校为骨干、以送教上门和远程教育为补充，落实“一人一案”，做好教育安置。加快县特殊教育学校改扩建工程，围绕医教结合等实际需求，提升设施设备水平。加大特殊教育教师的培训力度，积极对接先进经验，提高教师专业化水平，提升特殊教育质量。落实康复课程，实施差别化教育和个性化培养，努力为每名学生提供适合的文化知识教育、体育艺术教育、劳动技能教育。增强特殊教育保障能力，强化地区财政支持，积极向上争取补助资金，大力引进社会资助、民间捐赠，广泛鼓励社会各界以多种形式共同参与、合力促进特殊教育发展。到2025年底，适龄残疾儿童入学率达到95%。</w:t>
      </w:r>
    </w:p>
    <w:tbl>
      <w:tblPr>
        <w:tblStyle w:val="12"/>
        <w:tblW w:w="9061"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PrEx>
        <w:tc>
          <w:tcPr>
            <w:tcW w:w="9061" w:type="dxa"/>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eastAsia="zh-CN"/>
              </w:rPr>
            </w:pPr>
            <w:r>
              <w:rPr>
                <w:rFonts w:hint="eastAsia" w:ascii="宋体" w:hAnsi="宋体" w:eastAsia="宋体" w:cs="宋体"/>
                <w:b/>
                <w:bCs/>
                <w:lang w:eastAsia="zh-CN"/>
              </w:rPr>
              <w:t>专栏</w:t>
            </w:r>
            <w:r>
              <w:rPr>
                <w:rFonts w:hint="eastAsia" w:ascii="宋体" w:hAnsi="宋体" w:eastAsia="宋体" w:cs="宋体"/>
                <w:b/>
                <w:bCs/>
                <w:lang w:val="en-US" w:eastAsia="zh-CN"/>
              </w:rPr>
              <w:t>5</w:t>
            </w:r>
            <w:r>
              <w:rPr>
                <w:rFonts w:hint="eastAsia" w:ascii="宋体" w:hAnsi="宋体" w:cs="宋体"/>
                <w:b/>
                <w:bCs/>
                <w:lang w:val="en-US" w:eastAsia="zh-CN"/>
              </w:rPr>
              <w:t xml:space="preserve">  </w:t>
            </w:r>
            <w:r>
              <w:rPr>
                <w:rFonts w:hint="eastAsia" w:ascii="宋体" w:hAnsi="宋体" w:eastAsia="宋体" w:cs="宋体"/>
                <w:b/>
                <w:bCs/>
                <w:lang w:eastAsia="zh-CN"/>
              </w:rPr>
              <w:t>特殊教育保障工程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PrEx>
        <w:tc>
          <w:tcPr>
            <w:tcW w:w="9061" w:type="dxa"/>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482" w:firstLineChars="200"/>
              <w:textAlignment w:val="auto"/>
              <w:rPr>
                <w:rFonts w:hint="eastAsia" w:ascii="宋体" w:hAnsi="宋体" w:eastAsia="宋体" w:cs="宋体"/>
                <w:lang w:eastAsia="zh-CN"/>
              </w:rPr>
            </w:pPr>
            <w:r>
              <w:rPr>
                <w:rFonts w:hint="eastAsia" w:ascii="宋体" w:hAnsi="宋体" w:eastAsia="宋体" w:cs="宋体"/>
                <w:b/>
                <w:bCs/>
                <w:lang w:eastAsia="zh-CN"/>
              </w:rPr>
              <w:t>紫阳县阳光学校改扩建工程。</w:t>
            </w:r>
            <w:r>
              <w:rPr>
                <w:rFonts w:hint="eastAsia" w:ascii="宋体" w:hAnsi="宋体" w:eastAsia="宋体" w:cs="宋体"/>
                <w:b w:val="0"/>
                <w:bCs w:val="0"/>
                <w:lang w:eastAsia="zh-CN"/>
              </w:rPr>
              <w:t>新建教学及辅助用房2000平方米及附属设施配建。</w:t>
            </w:r>
          </w:p>
        </w:tc>
      </w:tr>
    </w:tbl>
    <w:p>
      <w:pPr>
        <w:pStyle w:val="4"/>
        <w:pageBreakBefore w:val="0"/>
        <w:widowControl w:val="0"/>
        <w:numPr>
          <w:ilvl w:val="0"/>
          <w:numId w:val="5"/>
        </w:numPr>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24" w:name="_Toc27012"/>
      <w:r>
        <w:rPr>
          <w:rFonts w:hint="eastAsia" w:ascii="楷体_GB2312" w:hAnsi="楷体_GB2312" w:eastAsia="楷体_GB2312" w:cs="楷体_GB2312"/>
          <w:lang w:val="en-US" w:eastAsia="zh-CN"/>
        </w:rPr>
        <w:t>推进民办教育规范化发展</w:t>
      </w:r>
      <w:bookmarkEnd w:id="24"/>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积极稳妥推进民办教育分类管理改革，坚持依法治教，落实政府责任，强化民办教育规范管理。根据“严格控制总量、逐步消化存量”的总目标，落实义务教育学位主要由公办学校提供或通过政府购买学位方式提供。支持普惠性民办幼儿园发展，保障普惠性民办幼儿园在办学用地、税收优惠、费用减免等方面与公办幼儿园享受同等待遇。建立民办学校教育教学常态化监督机制，做到与公办学校同部署、同要求、同考核，落实资格审核、收费备案、年检和评估制度，推动公办民办协同发展。坚持简政放权、放管结合、优化服务，规范办学秩序，鼓励社会资本参与教育基础设施建设和运营管理。严格实行校外培训机构教学内容备案制度，坚决治理学科类培训乱象，加强常态化巡查及查处力度，切实减轻学生校外负担。</w:t>
      </w:r>
    </w:p>
    <w:p>
      <w:pPr>
        <w:pStyle w:val="4"/>
        <w:pageBreakBefore w:val="0"/>
        <w:widowControl w:val="0"/>
        <w:numPr>
          <w:ilvl w:val="0"/>
          <w:numId w:val="5"/>
        </w:numPr>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lang w:val="en-US" w:eastAsia="zh-CN"/>
        </w:rPr>
      </w:pPr>
      <w:bookmarkStart w:id="25" w:name="_Toc15495"/>
      <w:r>
        <w:rPr>
          <w:rFonts w:hint="eastAsia" w:ascii="楷体_GB2312" w:hAnsi="楷体_GB2312" w:eastAsia="楷体_GB2312" w:cs="楷体_GB2312"/>
          <w:lang w:val="en-US" w:eastAsia="zh-CN"/>
        </w:rPr>
        <w:t>持续推进终身教育建设</w:t>
      </w:r>
      <w:bookmarkEnd w:id="25"/>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积极跟进社会各类人群持续自我提升的学习需求，加大成人继续教育支持力度，统筹扩大继续教育资源，完善职业学校继续教育与社会培训服务机制，面向灵活就业人员、易地扶贫搬迁人员、城乡待业人员、残疾人等不同群体开展针对性就业培训。积极对接省市在线教育资源，为学习者提升学历和获取职业技能培训，提供覆盖城乡、开放便捷的在线课程服务体系。举办全民终身学习活动周，重视发展老年教育，有效扩大老年教育资源供给，建设学习型社会。积极开展社会主义核心价值观、时事政治、文明道德等教育。</w:t>
      </w:r>
      <w:bookmarkStart w:id="26" w:name="_Toc15914"/>
      <w:bookmarkStart w:id="27" w:name="_Toc23269"/>
      <w:bookmarkStart w:id="28" w:name="_Toc26342"/>
      <w:bookmarkStart w:id="29" w:name="_Toc20496"/>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第五章   推进体育事业高质量发展</w:t>
      </w:r>
      <w:bookmarkEnd w:id="26"/>
      <w:bookmarkEnd w:id="27"/>
      <w:bookmarkEnd w:id="28"/>
      <w:bookmarkEnd w:id="29"/>
    </w:p>
    <w:p>
      <w:pPr>
        <w:pStyle w:val="4"/>
        <w:pageBreakBefore w:val="0"/>
        <w:widowControl w:val="0"/>
        <w:numPr>
          <w:ilvl w:val="0"/>
          <w:numId w:val="6"/>
        </w:numPr>
        <w:kinsoku/>
        <w:wordWrap/>
        <w:overflowPunct/>
        <w:topLinePunct w:val="0"/>
        <w:autoSpaceDE/>
        <w:autoSpaceDN/>
        <w:bidi w:val="0"/>
        <w:adjustRightInd/>
        <w:snapToGrid/>
        <w:spacing w:line="560" w:lineRule="exact"/>
        <w:ind w:left="220" w:leftChars="0" w:firstLineChars="0"/>
        <w:textAlignment w:val="auto"/>
        <w:rPr>
          <w:rFonts w:hint="eastAsia" w:ascii="楷体_GB2312" w:hAnsi="楷体_GB2312" w:eastAsia="楷体_GB2312" w:cs="楷体_GB2312"/>
          <w:lang w:val="en-US" w:eastAsia="zh-CN"/>
        </w:rPr>
      </w:pPr>
      <w:bookmarkStart w:id="30" w:name="_Toc28934"/>
      <w:r>
        <w:rPr>
          <w:rFonts w:hint="eastAsia" w:ascii="楷体_GB2312" w:hAnsi="楷体_GB2312" w:eastAsia="楷体_GB2312" w:cs="楷体_GB2312"/>
          <w:lang w:val="en-US" w:eastAsia="zh-CN"/>
        </w:rPr>
        <w:t>优化全民健身服务体系</w:t>
      </w:r>
      <w:bookmarkEnd w:id="30"/>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lang w:val="en-US" w:eastAsia="zh-CN"/>
        </w:rPr>
        <w:t>严格落实城市居住社区全民健身设施建设标准，重点推进紫阳县公共体育场、县城健身步道等项目建设进度，补齐城区户外全民健身设施短板，开展社区健身设施的维修改造和提档升级，鼓励企事业单位体育场馆提升向群众开放力度，打造城市社区15分钟健身圈。持续巩固体育扶贫工作成果，紧密结合乡村振兴和美丽宜居乡村建设，加快农村体育健身工程的维修改造和提档升级。广泛开展全民健身运动，</w:t>
      </w:r>
      <w:r>
        <w:rPr>
          <w:rFonts w:hint="eastAsia" w:ascii="仿宋_GB2312" w:hAnsi="仿宋_GB2312" w:eastAsia="仿宋_GB2312" w:cs="仿宋_GB2312"/>
          <w:color w:val="000000" w:themeColor="text1"/>
          <w14:textFill>
            <w14:solidFill>
              <w14:schemeClr w14:val="tx1"/>
            </w14:solidFill>
          </w14:textFill>
        </w:rPr>
        <w:t>认真组织开展好</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全民健身月</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全民健身日</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等主题活动，</w:t>
      </w:r>
      <w:r>
        <w:rPr>
          <w:rFonts w:hint="eastAsia" w:ascii="仿宋_GB2312" w:hAnsi="仿宋_GB2312" w:eastAsia="仿宋_GB2312" w:cs="仿宋_GB2312"/>
          <w:lang w:val="en-US" w:eastAsia="zh-CN"/>
        </w:rPr>
        <w:t>激发社会体育发展活力；</w:t>
      </w:r>
      <w:r>
        <w:rPr>
          <w:rFonts w:hint="eastAsia" w:ascii="仿宋_GB2312" w:hAnsi="仿宋_GB2312" w:eastAsia="仿宋_GB2312" w:cs="仿宋_GB2312"/>
          <w:color w:val="000000" w:themeColor="text1"/>
          <w14:textFill>
            <w14:solidFill>
              <w14:schemeClr w14:val="tx1"/>
            </w14:solidFill>
          </w14:textFill>
        </w:rPr>
        <w:t>定期举办职工运动会</w:t>
      </w:r>
      <w:r>
        <w:rPr>
          <w:rFonts w:hint="eastAsia" w:ascii="仿宋_GB2312" w:hAnsi="仿宋_GB2312" w:eastAsia="仿宋_GB2312" w:cs="仿宋_GB2312"/>
          <w:color w:val="000000" w:themeColor="text1"/>
          <w:lang w:eastAsia="zh-CN"/>
          <w14:textFill>
            <w14:solidFill>
              <w14:schemeClr w14:val="tx1"/>
            </w14:solidFill>
          </w14:textFill>
        </w:rPr>
        <w:t>、社区运动会</w:t>
      </w:r>
      <w:r>
        <w:rPr>
          <w:rFonts w:hint="eastAsia" w:ascii="仿宋_GB2312" w:hAnsi="仿宋_GB2312" w:eastAsia="仿宋_GB2312" w:cs="仿宋_GB2312"/>
          <w:color w:val="000000" w:themeColor="text1"/>
          <w14:textFill>
            <w14:solidFill>
              <w14:schemeClr w14:val="tx1"/>
            </w14:solidFill>
          </w14:textFill>
        </w:rPr>
        <w:t>等</w:t>
      </w:r>
      <w:r>
        <w:rPr>
          <w:rFonts w:hint="eastAsia" w:ascii="仿宋_GB2312" w:hAnsi="仿宋_GB2312" w:eastAsia="仿宋_GB2312" w:cs="仿宋_GB2312"/>
          <w:color w:val="000000" w:themeColor="text1"/>
          <w:lang w:eastAsia="zh-CN"/>
          <w14:textFill>
            <w14:solidFill>
              <w14:schemeClr w14:val="tx1"/>
            </w14:solidFill>
          </w14:textFill>
        </w:rPr>
        <w:t>基层赛事，不断丰富活动内容，</w:t>
      </w:r>
      <w:r>
        <w:rPr>
          <w:rFonts w:hint="eastAsia" w:ascii="仿宋_GB2312" w:hAnsi="仿宋_GB2312" w:eastAsia="仿宋_GB2312" w:cs="仿宋_GB2312"/>
          <w:color w:val="000000" w:themeColor="text1"/>
          <w14:textFill>
            <w14:solidFill>
              <w14:schemeClr w14:val="tx1"/>
            </w14:solidFill>
          </w14:textFill>
        </w:rPr>
        <w:t>积极</w:t>
      </w:r>
      <w:r>
        <w:rPr>
          <w:rFonts w:hint="eastAsia" w:ascii="仿宋_GB2312" w:hAnsi="仿宋_GB2312" w:eastAsia="仿宋_GB2312" w:cs="仿宋_GB2312"/>
          <w:color w:val="000000" w:themeColor="text1"/>
          <w:lang w:eastAsia="zh-CN"/>
          <w14:textFill>
            <w14:solidFill>
              <w14:schemeClr w14:val="tx1"/>
            </w14:solidFill>
          </w14:textFill>
        </w:rPr>
        <w:t>扩大</w:t>
      </w:r>
      <w:r>
        <w:rPr>
          <w:rFonts w:hint="eastAsia" w:ascii="仿宋_GB2312" w:hAnsi="仿宋_GB2312" w:eastAsia="仿宋_GB2312" w:cs="仿宋_GB2312"/>
          <w:color w:val="000000" w:themeColor="text1"/>
          <w14:textFill>
            <w14:solidFill>
              <w14:schemeClr w14:val="tx1"/>
            </w14:solidFill>
          </w14:textFill>
        </w:rPr>
        <w:t>全民健身活动</w:t>
      </w:r>
      <w:r>
        <w:rPr>
          <w:rFonts w:hint="eastAsia" w:ascii="仿宋_GB2312" w:hAnsi="仿宋_GB2312" w:eastAsia="仿宋_GB2312" w:cs="仿宋_GB2312"/>
          <w:color w:val="000000" w:themeColor="text1"/>
          <w:lang w:eastAsia="zh-CN"/>
          <w14:textFill>
            <w14:solidFill>
              <w14:schemeClr w14:val="tx1"/>
            </w14:solidFill>
          </w14:textFill>
        </w:rPr>
        <w:t>覆盖面。</w:t>
      </w:r>
      <w:r>
        <w:rPr>
          <w:rFonts w:hint="eastAsia" w:ascii="仿宋_GB2312" w:hAnsi="仿宋_GB2312" w:eastAsia="仿宋_GB2312" w:cs="仿宋_GB2312"/>
          <w:color w:val="000000" w:themeColor="text1"/>
          <w14:textFill>
            <w14:solidFill>
              <w14:schemeClr w14:val="tx1"/>
            </w14:solidFill>
          </w14:textFill>
        </w:rPr>
        <w:t>大力推广居家健身和全民健身网络赛事活动，充分发挥全民健身在常态化疫情防控</w:t>
      </w:r>
      <w:r>
        <w:rPr>
          <w:rFonts w:hint="eastAsia" w:ascii="仿宋_GB2312" w:hAnsi="仿宋_GB2312" w:eastAsia="仿宋_GB2312" w:cs="仿宋_GB2312"/>
          <w:color w:val="000000" w:themeColor="text1"/>
          <w:lang w:eastAsia="zh-CN"/>
          <w14:textFill>
            <w14:solidFill>
              <w14:schemeClr w14:val="tx1"/>
            </w14:solidFill>
          </w14:textFill>
        </w:rPr>
        <w:t>中</w:t>
      </w:r>
      <w:r>
        <w:rPr>
          <w:rFonts w:hint="eastAsia" w:ascii="仿宋_GB2312" w:hAnsi="仿宋_GB2312" w:eastAsia="仿宋_GB2312" w:cs="仿宋_GB2312"/>
          <w:color w:val="000000" w:themeColor="text1"/>
          <w14:textFill>
            <w14:solidFill>
              <w14:schemeClr w14:val="tx1"/>
            </w14:solidFill>
          </w14:textFill>
        </w:rPr>
        <w:t>提升全民健康和免疫水平方面的积极作用。</w:t>
      </w:r>
      <w:r>
        <w:rPr>
          <w:rFonts w:hint="eastAsia" w:ascii="仿宋_GB2312" w:hAnsi="仿宋_GB2312" w:eastAsia="仿宋_GB2312" w:cs="仿宋_GB2312"/>
          <w:color w:val="000000" w:themeColor="text1"/>
          <w:lang w:eastAsia="zh-CN"/>
          <w14:textFill>
            <w14:solidFill>
              <w14:schemeClr w14:val="tx1"/>
            </w14:solidFill>
          </w14:textFill>
        </w:rPr>
        <w:t>加强体育社会组织网络建设，落实创新发展，加大政府向体育社会组织购买服务力度。不断提高科学健身指导水平，积极开展国民体质监测和全民健身活动状况调查，加强社会体育指导员配备与培训，实现全民健身便民惠民，助力健康紫阳建设。到2025年底，人均体育场地面积达到2平方米以上，城乡居民体育健身意识进一步增强，经常参加体育锻炼人数比例达到41.5%以上，国民体质合格率达到91.2%。</w:t>
      </w:r>
    </w:p>
    <w:p>
      <w:pPr>
        <w:pStyle w:val="2"/>
        <w:rPr>
          <w:rFonts w:hint="eastAsia" w:ascii="仿宋_GB2312" w:hAnsi="仿宋_GB2312" w:eastAsia="仿宋_GB2312" w:cs="仿宋_GB2312"/>
          <w:color w:val="000000" w:themeColor="text1"/>
          <w:lang w:eastAsia="zh-CN"/>
          <w14:textFill>
            <w14:solidFill>
              <w14:schemeClr w14:val="tx1"/>
            </w14:solidFill>
          </w14:textFill>
        </w:rPr>
      </w:pPr>
    </w:p>
    <w:p>
      <w:pPr>
        <w:pStyle w:val="2"/>
        <w:rPr>
          <w:rFonts w:hint="eastAsia" w:ascii="仿宋_GB2312" w:hAnsi="仿宋_GB2312" w:eastAsia="仿宋_GB2312" w:cs="仿宋_GB2312"/>
          <w:color w:val="000000" w:themeColor="text1"/>
          <w:lang w:val="en-US" w:eastAsia="zh-CN"/>
          <w14:textFill>
            <w14:solidFill>
              <w14:schemeClr w14:val="tx1"/>
            </w14:solidFill>
          </w14:textFill>
        </w:rPr>
      </w:pPr>
    </w:p>
    <w:tbl>
      <w:tblPr>
        <w:tblStyle w:val="12"/>
        <w:tblW w:w="9061"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b/>
                <w:bCs/>
                <w:lang w:val="en-US" w:eastAsia="zh-CN"/>
              </w:rPr>
              <w:t>专栏6</w:t>
            </w:r>
            <w:r>
              <w:rPr>
                <w:rFonts w:hint="eastAsia" w:ascii="宋体" w:hAnsi="宋体" w:cs="宋体"/>
                <w:b/>
                <w:bCs/>
                <w:lang w:val="en-US" w:eastAsia="zh-CN"/>
              </w:rPr>
              <w:t xml:space="preserve">  </w:t>
            </w:r>
            <w:r>
              <w:rPr>
                <w:rFonts w:hint="eastAsia" w:ascii="宋体" w:hAnsi="宋体" w:eastAsia="宋体" w:cs="宋体"/>
                <w:b/>
                <w:bCs/>
                <w:lang w:val="en-US" w:eastAsia="zh-CN"/>
              </w:rPr>
              <w:t>体</w:t>
            </w:r>
            <w:bookmarkStart w:id="59" w:name="_GoBack"/>
            <w:bookmarkEnd w:id="59"/>
            <w:r>
              <w:rPr>
                <w:rFonts w:hint="eastAsia" w:ascii="宋体" w:hAnsi="宋体" w:eastAsia="宋体" w:cs="宋体"/>
                <w:b/>
                <w:bCs/>
                <w:lang w:val="en-US" w:eastAsia="zh-CN"/>
              </w:rPr>
              <w:t>育设施惠民工程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2" w:firstLineChars="200"/>
              <w:textAlignment w:val="auto"/>
              <w:rPr>
                <w:rFonts w:hint="eastAsia" w:ascii="宋体" w:hAnsi="宋体" w:eastAsia="宋体" w:cs="宋体"/>
                <w:lang w:val="en-US" w:eastAsia="zh-CN"/>
              </w:rPr>
            </w:pPr>
            <w:r>
              <w:rPr>
                <w:rFonts w:hint="eastAsia" w:ascii="宋体" w:hAnsi="宋体" w:eastAsia="宋体" w:cs="宋体"/>
                <w:b/>
                <w:bCs/>
                <w:lang w:val="en-US" w:eastAsia="zh-CN"/>
              </w:rPr>
              <w:t>紫阳县公共体育场项目。</w:t>
            </w:r>
            <w:r>
              <w:rPr>
                <w:rFonts w:hint="eastAsia" w:ascii="宋体" w:hAnsi="宋体" w:eastAsia="宋体" w:cs="宋体"/>
                <w:lang w:val="en-US" w:eastAsia="zh-CN"/>
              </w:rPr>
              <w:t>计划投资</w:t>
            </w:r>
            <w:r>
              <w:rPr>
                <w:rFonts w:hint="eastAsia" w:ascii="宋体" w:hAnsi="宋体" w:cs="宋体"/>
                <w:lang w:val="en-US" w:eastAsia="zh-CN"/>
              </w:rPr>
              <w:t>8000</w:t>
            </w:r>
            <w:r>
              <w:rPr>
                <w:rFonts w:hint="eastAsia" w:ascii="宋体" w:hAnsi="宋体" w:eastAsia="宋体" w:cs="宋体"/>
                <w:lang w:val="en-US" w:eastAsia="zh-CN"/>
              </w:rPr>
              <w:t>万元，建设400米8道标准环跑运动场，内含11人制标准足球场，配套建设容纳观众2000名的看台。</w:t>
            </w:r>
          </w:p>
          <w:p>
            <w:pPr>
              <w:pStyle w:val="1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2" w:firstLineChars="200"/>
              <w:textAlignment w:val="auto"/>
              <w:rPr>
                <w:rFonts w:hint="default" w:ascii="宋体" w:hAnsi="宋体" w:eastAsia="宋体" w:cs="宋体"/>
                <w:lang w:val="en-US" w:eastAsia="zh-CN"/>
              </w:rPr>
            </w:pPr>
            <w:r>
              <w:rPr>
                <w:rFonts w:hint="eastAsia" w:ascii="宋体" w:hAnsi="宋体" w:eastAsia="宋体" w:cs="宋体"/>
                <w:b/>
                <w:bCs/>
                <w:lang w:val="en-US" w:eastAsia="zh-CN"/>
              </w:rPr>
              <w:t>紫阳县</w:t>
            </w:r>
            <w:r>
              <w:rPr>
                <w:rFonts w:hint="eastAsia" w:ascii="宋体" w:hAnsi="宋体" w:cs="宋体"/>
                <w:b/>
                <w:bCs/>
                <w:lang w:val="en-US" w:eastAsia="zh-CN"/>
              </w:rPr>
              <w:t>城健身步道项目。</w:t>
            </w:r>
            <w:r>
              <w:rPr>
                <w:rFonts w:hint="eastAsia" w:ascii="宋体" w:hAnsi="宋体" w:cs="宋体"/>
                <w:b w:val="0"/>
                <w:bCs w:val="0"/>
                <w:lang w:val="en-US" w:eastAsia="zh-CN"/>
              </w:rPr>
              <w:t>计划投资1000万元，新建县城江南、西门河新区健走步道18公里；改建县城江南登山步道5公里，健走步道5公里，配建标识牌300块；新建茶山自行车骑行步道，长30公里，配套建设厕所、休息区、安全防护、绿化及应急设施场地。</w:t>
            </w:r>
          </w:p>
        </w:tc>
      </w:tr>
    </w:tbl>
    <w:p>
      <w:pPr>
        <w:pStyle w:val="4"/>
        <w:pageBreakBefore w:val="0"/>
        <w:widowControl w:val="0"/>
        <w:numPr>
          <w:ilvl w:val="0"/>
          <w:numId w:val="6"/>
        </w:numPr>
        <w:kinsoku/>
        <w:wordWrap/>
        <w:overflowPunct/>
        <w:topLinePunct w:val="0"/>
        <w:autoSpaceDE/>
        <w:autoSpaceDN/>
        <w:bidi w:val="0"/>
        <w:adjustRightInd/>
        <w:snapToGrid/>
        <w:spacing w:line="560" w:lineRule="exact"/>
        <w:ind w:left="220" w:leftChars="0" w:firstLineChars="0"/>
        <w:textAlignment w:val="auto"/>
        <w:rPr>
          <w:rFonts w:hint="eastAsia" w:ascii="楷体_GB2312" w:hAnsi="楷体_GB2312" w:eastAsia="楷体_GB2312" w:cs="楷体_GB2312"/>
          <w:lang w:val="en-US" w:eastAsia="zh-CN"/>
        </w:rPr>
      </w:pPr>
      <w:bookmarkStart w:id="31" w:name="_Toc29859"/>
      <w:r>
        <w:rPr>
          <w:rFonts w:hint="eastAsia" w:ascii="楷体_GB2312" w:hAnsi="楷体_GB2312" w:eastAsia="楷体_GB2312" w:cs="楷体_GB2312"/>
          <w:lang w:val="en-US" w:eastAsia="zh-CN"/>
        </w:rPr>
        <w:t>提升青少年体育综合水平</w:t>
      </w:r>
      <w:bookmarkEnd w:id="31"/>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全面推进青少年体育工作，树立健康第一的教育理念，开展阳光体育运动，把课外体育活动、体育兴趣班、课余训练、体育竞赛纳入学校年度工作计划和日常教学计划，确保中小学生每天不低于1小时的体育锻炼时间，在校学生普遍掌握1-2项体育运动技能，提高学生体质健康水平。按照“一校一品”“一校多品”目标，继续在义务教育阶段学校实施“体育、艺术2+1项目”，大力推动足球、篮球、排球、田径、游泳、体操、乒乓球、羽毛球以及武术等校园体育项目，定期举办学生运动会或竞赛活动。加强体育传统特色学校和校园足球特色学校建设，有序开展校园足球活动，增加学校“足球人口”。加强学校场地现代化建设，完善提升学校体育设施，不断提高学校体育场馆综合水平。积极解决体育学科教师结构性短缺问题，保障体育教师与其他学科教师同等待遇，加大培养培训力度，鼓励支持体育教师外出培训和学习，加大体育骨干教师、体育教学能手的培养力度。</w:t>
      </w:r>
    </w:p>
    <w:p>
      <w:pPr>
        <w:pStyle w:val="4"/>
        <w:pageBreakBefore w:val="0"/>
        <w:widowControl w:val="0"/>
        <w:numPr>
          <w:ilvl w:val="0"/>
          <w:numId w:val="6"/>
        </w:numPr>
        <w:kinsoku/>
        <w:wordWrap/>
        <w:overflowPunct/>
        <w:topLinePunct w:val="0"/>
        <w:autoSpaceDE/>
        <w:autoSpaceDN/>
        <w:bidi w:val="0"/>
        <w:adjustRightInd/>
        <w:snapToGrid/>
        <w:spacing w:line="560" w:lineRule="exact"/>
        <w:ind w:left="220" w:leftChars="0" w:firstLineChars="0"/>
        <w:textAlignment w:val="auto"/>
        <w:rPr>
          <w:rFonts w:hint="eastAsia" w:ascii="楷体_GB2312" w:hAnsi="楷体_GB2312" w:eastAsia="楷体_GB2312" w:cs="楷体_GB2312"/>
          <w:lang w:val="en-US" w:eastAsia="zh-CN"/>
        </w:rPr>
      </w:pPr>
      <w:bookmarkStart w:id="32" w:name="_Toc2749"/>
      <w:r>
        <w:rPr>
          <w:rFonts w:hint="eastAsia" w:ascii="楷体_GB2312" w:hAnsi="楷体_GB2312" w:eastAsia="楷体_GB2312" w:cs="楷体_GB2312"/>
          <w:lang w:val="en-US" w:eastAsia="zh-CN"/>
        </w:rPr>
        <w:t>加快体育产业融合发展</w:t>
      </w:r>
      <w:bookmarkEnd w:id="32"/>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依托紫阳山水资源优势，放大紫阳山地自行车越野赛、汉江冬泳比赛等精品赛事影响力，充分发挥赛事对体育消费的拉动作用。</w:t>
      </w:r>
      <w:r>
        <w:rPr>
          <w:rFonts w:hint="eastAsia" w:ascii="仿宋_GB2312" w:hAnsi="仿宋_GB2312" w:eastAsia="仿宋_GB2312" w:cs="仿宋_GB2312"/>
          <w:color w:val="000000" w:themeColor="text1"/>
          <w14:textFill>
            <w14:solidFill>
              <w14:schemeClr w14:val="tx1"/>
            </w14:solidFill>
          </w14:textFill>
        </w:rPr>
        <w:t>围绕</w:t>
      </w:r>
      <w:r>
        <w:rPr>
          <w:rFonts w:hint="eastAsia" w:ascii="仿宋_GB2312" w:hAnsi="仿宋_GB2312" w:eastAsia="仿宋_GB2312" w:cs="仿宋_GB2312"/>
          <w:color w:val="000000" w:themeColor="text1"/>
          <w:lang w:eastAsia="zh-CN"/>
          <w14:textFill>
            <w14:solidFill>
              <w14:schemeClr w14:val="tx1"/>
            </w14:solidFill>
          </w14:textFill>
        </w:rPr>
        <w:t>传统</w:t>
      </w:r>
      <w:r>
        <w:rPr>
          <w:rFonts w:hint="eastAsia" w:ascii="仿宋_GB2312" w:hAnsi="仿宋_GB2312" w:eastAsia="仿宋_GB2312" w:cs="仿宋_GB2312"/>
          <w:color w:val="000000" w:themeColor="text1"/>
          <w14:textFill>
            <w14:solidFill>
              <w14:schemeClr w14:val="tx1"/>
            </w14:solidFill>
          </w14:textFill>
        </w:rPr>
        <w:t>节日、紫阳民俗活动，</w:t>
      </w:r>
      <w:r>
        <w:rPr>
          <w:rFonts w:hint="eastAsia" w:ascii="仿宋_GB2312" w:hAnsi="仿宋_GB2312" w:eastAsia="仿宋_GB2312" w:cs="仿宋_GB2312"/>
          <w:lang w:val="en-US" w:eastAsia="zh-CN"/>
        </w:rPr>
        <w:t>积极拓展健身休闲、竞赛表演、体育培训、体育旅游等消费新空间，不断拓展参与者的</w:t>
      </w:r>
      <w:r>
        <w:rPr>
          <w:rFonts w:hint="eastAsia" w:ascii="仿宋_GB2312" w:hAnsi="仿宋_GB2312" w:eastAsia="仿宋_GB2312" w:cs="仿宋_GB2312"/>
          <w:color w:val="000000" w:themeColor="text1"/>
          <w14:textFill>
            <w14:solidFill>
              <w14:schemeClr w14:val="tx1"/>
            </w14:solidFill>
          </w14:textFill>
        </w:rPr>
        <w:t>消费需求</w:t>
      </w:r>
      <w:r>
        <w:rPr>
          <w:rFonts w:hint="eastAsia" w:ascii="仿宋_GB2312" w:hAnsi="仿宋_GB2312" w:eastAsia="仿宋_GB2312" w:cs="仿宋_GB2312"/>
          <w:lang w:val="en-US" w:eastAsia="zh-CN"/>
        </w:rPr>
        <w:t>。结合地区旅游及康养产业发展实施“体育+”战略，推动体育与康养、旅游、休闲等产业深度融合，积极引入社会资本，谋划推动运动休闲基地、体育综合体等项目建设。创新引导体育消费，重点围绕群众性体育消费、体育赛事消费、假日体育消费等模式，培育新的体育消费增长点。</w:t>
      </w:r>
      <w:bookmarkStart w:id="33" w:name="_Toc14195"/>
      <w:bookmarkStart w:id="34" w:name="_Toc8749"/>
      <w:bookmarkStart w:id="35" w:name="_Toc7492"/>
      <w:bookmarkStart w:id="36" w:name="_Toc19662"/>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lang w:val="en-US" w:eastAsia="zh-CN"/>
        </w:rPr>
      </w:pPr>
      <w:r>
        <w:rPr>
          <w:rFonts w:hint="eastAsia" w:ascii="黑体" w:hAnsi="黑体" w:eastAsia="黑体" w:cs="黑体"/>
          <w:b w:val="0"/>
          <w:bCs/>
          <w:lang w:val="en-US" w:eastAsia="zh-CN"/>
        </w:rPr>
        <w:t>第六章</w:t>
      </w:r>
      <w:bookmarkEnd w:id="33"/>
      <w:bookmarkEnd w:id="34"/>
      <w:bookmarkEnd w:id="35"/>
      <w:r>
        <w:rPr>
          <w:rFonts w:hint="eastAsia" w:ascii="黑体" w:hAnsi="黑体" w:eastAsia="黑体" w:cs="黑体"/>
          <w:b w:val="0"/>
          <w:bCs/>
          <w:lang w:val="en-US" w:eastAsia="zh-CN"/>
        </w:rPr>
        <w:t xml:space="preserve">  推进重点领域高质量发展举措</w:t>
      </w:r>
      <w:bookmarkEnd w:id="36"/>
    </w:p>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37" w:name="_Toc1005"/>
      <w:bookmarkStart w:id="38" w:name="_Toc25686"/>
      <w:bookmarkStart w:id="39" w:name="_Toc15443"/>
      <w:bookmarkStart w:id="40" w:name="_Toc24686"/>
      <w:r>
        <w:rPr>
          <w:rFonts w:hint="eastAsia" w:ascii="楷体_GB2312" w:hAnsi="楷体_GB2312" w:eastAsia="楷体_GB2312" w:cs="楷体_GB2312"/>
          <w:lang w:val="en-US" w:eastAsia="zh-CN"/>
        </w:rPr>
        <w:t>一、推进新时代评价改革</w:t>
      </w:r>
      <w:bookmarkEnd w:id="37"/>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贯彻落实《深化新时代教育评价改革总体方案》精神，加强党对教育工作的全面领导，提高各级党委、政府科学履行教育职责水平，完善学校立德树人落实机制，重点关注教育治理能力和水平，坚决克服“五唯”顽瘴痼疾和短视行为、功利化倾向，树立正确的教育观和成才观。</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遵循教育规律和学生身心发展规律，加强中小学教育质量评估和幼儿园保育教育质量评估的研究，完善教育评价制度，不断改进评价方式，开展过程性评价和终结性评价结合、定量评价和定性评价兼顾、学生个体评价与学校整体评价并行的中小学发展性评价制度。积极构建科学、公平、规范、易行的高中阶段学校考试招生办法，综合考查学生的知识面、创新思维、综合分析能力；把综合素质评价作为发展素质教育、转变育人方式的重要制度，强化对学生爱国情怀、遵纪守法、创新思维、体质达标、审美能力、劳动实践等方面的评价，推进普通高中学生综合素质评价与基础教育和高考招生录取工作的有效衔接。</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认真落实《关于全面加强和改进新时代学校体育工作的意见》，建立日常参与、体质监测、专项运动技能测试、体育活动形式和竞赛成绩相结合的考查机制。根据中考体育测试内容和逐步提高分值的趋势，科学合理制定教学计划和训练计划。</w:t>
      </w:r>
    </w:p>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41" w:name="_Toc1870"/>
      <w:r>
        <w:rPr>
          <w:rFonts w:hint="eastAsia" w:ascii="楷体_GB2312" w:hAnsi="楷体_GB2312" w:eastAsia="楷体_GB2312" w:cs="楷体_GB2312"/>
          <w:lang w:val="en-US" w:eastAsia="zh-CN"/>
        </w:rPr>
        <w:t>二、全面加强教师队伍建设</w:t>
      </w:r>
      <w:bookmarkEnd w:id="38"/>
      <w:bookmarkEnd w:id="39"/>
      <w:bookmarkEnd w:id="40"/>
      <w:bookmarkEnd w:id="41"/>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加强师德师风建设。</w:t>
      </w:r>
      <w:r>
        <w:rPr>
          <w:rFonts w:hint="eastAsia" w:ascii="仿宋_GB2312" w:hAnsi="仿宋_GB2312" w:eastAsia="仿宋_GB2312" w:cs="仿宋_GB2312"/>
          <w:lang w:val="en-US" w:eastAsia="zh-CN"/>
        </w:rPr>
        <w:t>落实陕西省《关于加强和改进新时代师德师风建设的实施意见》，落实中小学师德师风建设长效机制，把师德师风、职业理想、职业道德、法治、心理健康等教育融入教师培养、培训、管理全过程，引导广大教师以德立身、以德立学、以德施教，做“四有”好老师。健全师德师风表彰奖励机制，树立优秀教师、师德标兵先进典型，发挥典型示范引领作用。落实新时代教师职业行为“十项准则”，将师德师风建设作为学校工作考核和教育质量督导评估的重要内容，压实学校主体责任，构建学校、教师、学生、家长和社会广泛参与的师德师风监督机制，强化师德师风监督和规范师德失范惩处问责机制。落实师德师风第一标准，在教师资格准入、招聘考核、职称评聘、推优评先、表彰奖励等一切环节，严格实行师德师风考评“一票否决制”。</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b/>
          <w:bCs/>
          <w:lang w:val="en-US" w:eastAsia="zh-CN"/>
        </w:rPr>
        <w:t>提升教师队伍综合素质。</w:t>
      </w:r>
      <w:r>
        <w:rPr>
          <w:rFonts w:hint="eastAsia" w:ascii="仿宋_GB2312" w:hAnsi="仿宋_GB2312" w:eastAsia="仿宋_GB2312" w:cs="仿宋_GB2312"/>
          <w:b w:val="0"/>
          <w:bCs w:val="0"/>
          <w:color w:val="auto"/>
          <w:lang w:val="en-US" w:eastAsia="zh-CN"/>
        </w:rPr>
        <w:t>以“国培”“省培”“市培”“县培”“校本”五级培训为抓手，</w:t>
      </w:r>
      <w:r>
        <w:rPr>
          <w:rFonts w:hint="eastAsia" w:ascii="仿宋_GB2312" w:hAnsi="仿宋_GB2312" w:eastAsia="仿宋_GB2312" w:cs="仿宋_GB2312"/>
          <w:i w:val="0"/>
          <w:iCs w:val="0"/>
          <w:caps w:val="0"/>
          <w:color w:val="auto"/>
          <w:spacing w:val="0"/>
          <w:sz w:val="32"/>
          <w:szCs w:val="32"/>
          <w:shd w:val="clear" w:fill="FFFFFF"/>
        </w:rPr>
        <w:t>落实中小学教师校长五年内不少于360学时的全员培训和分层培训责任，探索建立教师教育质量监测评估制度。</w:t>
      </w:r>
      <w:r>
        <w:rPr>
          <w:rFonts w:hint="eastAsia" w:ascii="仿宋_GB2312" w:hAnsi="仿宋_GB2312" w:eastAsia="仿宋_GB2312" w:cs="仿宋_GB2312"/>
          <w:i w:val="0"/>
          <w:iCs w:val="0"/>
          <w:caps w:val="0"/>
          <w:color w:val="auto"/>
          <w:spacing w:val="0"/>
          <w:sz w:val="32"/>
          <w:szCs w:val="32"/>
          <w:shd w:val="clear" w:fill="FFFFFF"/>
          <w:lang w:val="en-US" w:eastAsia="zh-CN"/>
        </w:rPr>
        <w:t>学校</w:t>
      </w:r>
      <w:r>
        <w:rPr>
          <w:rFonts w:hint="eastAsia" w:ascii="仿宋_GB2312" w:hAnsi="仿宋_GB2312" w:eastAsia="仿宋_GB2312" w:cs="仿宋_GB2312"/>
          <w:i w:val="0"/>
          <w:iCs w:val="0"/>
          <w:caps w:val="0"/>
          <w:color w:val="auto"/>
          <w:spacing w:val="0"/>
          <w:sz w:val="32"/>
          <w:szCs w:val="32"/>
          <w:shd w:val="clear" w:fill="FFFFFF"/>
          <w:lang w:eastAsia="zh-CN"/>
        </w:rPr>
        <w:t>按年度公用经费预算总额5%</w:t>
      </w:r>
      <w:r>
        <w:rPr>
          <w:rFonts w:hint="eastAsia" w:ascii="仿宋_GB2312" w:hAnsi="仿宋_GB2312" w:eastAsia="仿宋_GB2312" w:cs="仿宋_GB2312"/>
          <w:i w:val="0"/>
          <w:iCs w:val="0"/>
          <w:caps w:val="0"/>
          <w:color w:val="auto"/>
          <w:spacing w:val="0"/>
          <w:sz w:val="32"/>
          <w:szCs w:val="32"/>
          <w:shd w:val="clear" w:fill="FFFFFF"/>
          <w:lang w:val="en-US" w:eastAsia="zh-CN"/>
        </w:rPr>
        <w:t>的标准落实</w:t>
      </w:r>
      <w:r>
        <w:rPr>
          <w:rFonts w:hint="eastAsia" w:ascii="仿宋_GB2312" w:hAnsi="仿宋_GB2312" w:eastAsia="仿宋_GB2312" w:cs="仿宋_GB2312"/>
          <w:i w:val="0"/>
          <w:iCs w:val="0"/>
          <w:caps w:val="0"/>
          <w:color w:val="auto"/>
          <w:spacing w:val="0"/>
          <w:sz w:val="32"/>
          <w:szCs w:val="32"/>
          <w:shd w:val="clear" w:fill="FFFFFF"/>
          <w:lang w:eastAsia="zh-CN"/>
        </w:rPr>
        <w:t>教师培训经费</w:t>
      </w:r>
      <w:r>
        <w:rPr>
          <w:rFonts w:hint="eastAsia" w:ascii="仿宋_GB2312" w:hAnsi="仿宋_GB2312" w:eastAsia="仿宋_GB2312" w:cs="仿宋_GB2312"/>
          <w:i w:val="0"/>
          <w:iCs w:val="0"/>
          <w:caps w:val="0"/>
          <w:color w:val="auto"/>
          <w:spacing w:val="0"/>
          <w:sz w:val="32"/>
          <w:szCs w:val="32"/>
          <w:shd w:val="clear" w:fill="FFFFFF"/>
          <w:lang w:val="en-US" w:eastAsia="zh-CN"/>
        </w:rPr>
        <w:t>，</w:t>
      </w:r>
      <w:r>
        <w:rPr>
          <w:rFonts w:hint="eastAsia" w:ascii="仿宋_GB2312" w:hAnsi="仿宋_GB2312" w:eastAsia="仿宋_GB2312" w:cs="仿宋_GB2312"/>
          <w:i w:val="0"/>
          <w:iCs w:val="0"/>
          <w:caps w:val="0"/>
          <w:color w:val="auto"/>
          <w:spacing w:val="0"/>
          <w:sz w:val="32"/>
          <w:szCs w:val="32"/>
          <w:shd w:val="clear" w:fill="FFFFFF"/>
          <w:lang w:eastAsia="zh-CN"/>
        </w:rPr>
        <w:t>重点选派一线优秀教师担任指导教师，增强培训课程设置的针对性</w:t>
      </w:r>
      <w:r>
        <w:rPr>
          <w:rFonts w:hint="eastAsia" w:ascii="仿宋_GB2312" w:hAnsi="仿宋_GB2312" w:eastAsia="仿宋_GB2312" w:cs="仿宋_GB2312"/>
          <w:i w:val="0"/>
          <w:iCs w:val="0"/>
          <w:caps w:val="0"/>
          <w:color w:val="auto"/>
          <w:spacing w:val="0"/>
          <w:sz w:val="32"/>
          <w:szCs w:val="32"/>
          <w:shd w:val="clear" w:fill="FFFFFF"/>
          <w:lang w:val="en-US" w:eastAsia="zh-CN"/>
        </w:rPr>
        <w:t>和专业性</w:t>
      </w:r>
      <w:r>
        <w:rPr>
          <w:rFonts w:hint="eastAsia" w:ascii="仿宋_GB2312" w:hAnsi="仿宋_GB2312" w:eastAsia="仿宋_GB2312" w:cs="仿宋_GB2312"/>
          <w:i w:val="0"/>
          <w:iCs w:val="0"/>
          <w:caps w:val="0"/>
          <w:color w:val="auto"/>
          <w:spacing w:val="0"/>
          <w:sz w:val="32"/>
          <w:szCs w:val="32"/>
          <w:shd w:val="clear" w:fill="FFFFFF"/>
          <w:lang w:eastAsia="zh-CN"/>
        </w:rPr>
        <w:t>，不断提升城乡教师综合素质和教育教学能力。提升管理能力及服务水平，吸引高层次优秀人才来紫阳任教，加快补充各阶段、各学科音体美、信息技术等薄弱学科教师。加快名优骨干教师队伍建设，支持建立名师工作室和学科带头人工作坊，落实骨干教师专项津贴，每年列支</w:t>
      </w:r>
      <w:r>
        <w:rPr>
          <w:rFonts w:hint="eastAsia" w:ascii="仿宋_GB2312" w:hAnsi="仿宋_GB2312" w:eastAsia="仿宋_GB2312" w:cs="仿宋_GB2312"/>
          <w:i w:val="0"/>
          <w:iCs w:val="0"/>
          <w:caps w:val="0"/>
          <w:color w:val="auto"/>
          <w:spacing w:val="0"/>
          <w:sz w:val="32"/>
          <w:szCs w:val="32"/>
          <w:shd w:val="clear" w:fill="FFFFFF"/>
          <w:lang w:val="en-US" w:eastAsia="zh-CN"/>
        </w:rPr>
        <w:t>50万元专款奖励</w:t>
      </w:r>
      <w:r>
        <w:rPr>
          <w:rFonts w:hint="eastAsia" w:ascii="仿宋_GB2312" w:hAnsi="仿宋_GB2312" w:eastAsia="仿宋_GB2312" w:cs="仿宋_GB2312"/>
          <w:i w:val="0"/>
          <w:iCs w:val="0"/>
          <w:caps w:val="0"/>
          <w:color w:val="auto"/>
          <w:spacing w:val="0"/>
          <w:sz w:val="32"/>
          <w:szCs w:val="32"/>
          <w:shd w:val="clear" w:fill="FFFFFF"/>
          <w:lang w:eastAsia="zh-CN"/>
        </w:rPr>
        <w:t>名优骨干教师群体，晋级晋职、干部培养时优先选择倾斜。建立从新教师到合格教师、骨干教师、名师成长标准和路径，发挥名师和</w:t>
      </w:r>
      <w:r>
        <w:rPr>
          <w:rFonts w:hint="eastAsia" w:ascii="仿宋_GB2312" w:hAnsi="仿宋_GB2312" w:eastAsia="仿宋_GB2312" w:cs="仿宋_GB2312"/>
          <w:i w:val="0"/>
          <w:iCs w:val="0"/>
          <w:caps w:val="0"/>
          <w:color w:val="auto"/>
          <w:spacing w:val="0"/>
          <w:sz w:val="32"/>
          <w:szCs w:val="32"/>
          <w:shd w:val="clear" w:fill="FFFFFF"/>
          <w:lang w:val="en-US" w:eastAsia="zh-CN"/>
        </w:rPr>
        <w:t>骨干</w:t>
      </w:r>
      <w:r>
        <w:rPr>
          <w:rFonts w:hint="eastAsia" w:ascii="仿宋_GB2312" w:hAnsi="仿宋_GB2312" w:eastAsia="仿宋_GB2312" w:cs="仿宋_GB2312"/>
          <w:i w:val="0"/>
          <w:iCs w:val="0"/>
          <w:caps w:val="0"/>
          <w:color w:val="auto"/>
          <w:spacing w:val="0"/>
          <w:sz w:val="32"/>
          <w:szCs w:val="32"/>
          <w:shd w:val="clear" w:fill="FFFFFF"/>
          <w:lang w:eastAsia="zh-CN"/>
        </w:rPr>
        <w:t>教师的示范引领作用，鼓励青年教师参与教学团队、创新团队，全力打造一支素质过硬、业务精湛、育人水平高超的师资队伍。</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推进校（园）长专业化建设。</w:t>
      </w:r>
      <w:r>
        <w:rPr>
          <w:rFonts w:hint="eastAsia" w:ascii="仿宋_GB2312" w:hAnsi="仿宋_GB2312" w:eastAsia="仿宋_GB2312" w:cs="仿宋_GB2312"/>
          <w:i w:val="0"/>
          <w:iCs w:val="0"/>
          <w:caps w:val="0"/>
          <w:color w:val="auto"/>
          <w:spacing w:val="0"/>
          <w:sz w:val="32"/>
          <w:szCs w:val="32"/>
          <w:shd w:val="clear" w:fill="FFFFFF"/>
          <w:lang w:val="en-US" w:eastAsia="zh-CN"/>
        </w:rPr>
        <w:t>打造“教育家型”校（园）长队伍，带动育人队伍整体素质提高，建立完善校（园）长培养培训体制机制，加强政治理论、教育政策法规、教育管理理论和实践等方面培训，组织中小学、幼儿园校（园）长参加任职资格及提高培训班。逐步推行校（园）长职级制改革，实施名校（园）长培养工程，加大校长交流轮岗力度。通过多岗位锻炼、集中培训和结对帮扶等多种形式，搭建学校后备干部人才交流成长平台，加强后备干部人才培养。保障学校办学自主权，支持校（园）长依法依规履行职责。</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bCs/>
          <w:lang w:val="en-US" w:eastAsia="zh-CN"/>
        </w:rPr>
        <w:t>提升教师队伍管理水平。</w:t>
      </w:r>
      <w:r>
        <w:rPr>
          <w:rFonts w:hint="eastAsia" w:ascii="仿宋_GB2312" w:hAnsi="仿宋_GB2312" w:eastAsia="仿宋_GB2312" w:cs="仿宋_GB2312"/>
          <w:b w:val="0"/>
          <w:bCs w:val="0"/>
          <w:color w:val="auto"/>
          <w:lang w:val="en-US" w:eastAsia="zh-CN"/>
        </w:rPr>
        <w:t>坚持教师归口管理，县教体科技局每年根据各学校生源变化情况和教学实际需要，在不突破教师编制总额和编制核定标准的前提下，按照空编空岗可进、超编超岗不进的原则，每年动态核定学校教职工编制，严格教师编制岗位管理，推动全县教师有序、科学、合理流动。</w:t>
      </w:r>
      <w:r>
        <w:rPr>
          <w:rFonts w:hint="eastAsia" w:ascii="仿宋_GB2312" w:hAnsi="仿宋_GB2312" w:eastAsia="仿宋_GB2312" w:cs="仿宋_GB2312"/>
          <w:color w:val="auto"/>
          <w:lang w:val="en-US" w:eastAsia="zh-CN"/>
        </w:rPr>
        <w:t>严格教师职业准入，开展中小学教师资格考试和定期注册制度，全面落实幼儿园教师及义务教育阶段教师持证上岗。探索中小学教师“县管校聘”和校长职级制改革，完善教师和校长交流轮岗制度，建立校长队伍储备和梯队建设机制，加大校长队伍培训培养力度。</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bCs/>
          <w:lang w:val="en-US" w:eastAsia="zh-CN"/>
        </w:rPr>
        <w:t>提升教师群体社会地位。</w:t>
      </w:r>
      <w:r>
        <w:rPr>
          <w:rFonts w:hint="eastAsia" w:ascii="仿宋_GB2312" w:hAnsi="仿宋_GB2312" w:eastAsia="仿宋_GB2312" w:cs="仿宋_GB2312"/>
          <w:b w:val="0"/>
          <w:bCs w:val="0"/>
          <w:color w:val="auto"/>
          <w:lang w:val="en-US" w:eastAsia="zh-CN"/>
        </w:rPr>
        <w:t>健全中小学教师工资长效联动机制，核定绩效工资总量时统筹考虑与本地公务员实际收入水平，确保全县中小学幼儿园教师平均工资收入水平不低于当地公务员平均工资水平。严格按照相关政策落实乡村教师工资待遇和福利待遇，及时足额发放乡镇工作补贴和乡村教师生活补助，所有特岗教师享受和正式事业编制教师同等的待遇，职称评聘重点向乡村一线教师倾斜。在全社会大力营造尊师重教的良好氛围，加大乡村教师、优秀教师表彰力度，提高教师政治地位、社会地位和职业地位。规范督查检查评比考核、社会事务进校园、抽调借用中小学教师等事宜，切实减轻中小学教师负担。</w:t>
      </w:r>
    </w:p>
    <w:p>
      <w:pPr>
        <w:pStyle w:val="2"/>
        <w:rPr>
          <w:rFonts w:hint="eastAsia"/>
          <w:lang w:val="en-US" w:eastAsia="zh-CN"/>
        </w:rPr>
      </w:pPr>
    </w:p>
    <w:tbl>
      <w:tblPr>
        <w:tblStyle w:val="12"/>
        <w:tblW w:w="9061"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b/>
                <w:bCs/>
                <w:lang w:eastAsia="zh-CN"/>
              </w:rPr>
              <w:t>专栏</w:t>
            </w:r>
            <w:r>
              <w:rPr>
                <w:rFonts w:hint="eastAsia" w:ascii="宋体" w:hAnsi="宋体" w:eastAsia="宋体" w:cs="宋体"/>
                <w:b/>
                <w:bCs/>
                <w:lang w:val="en-US" w:eastAsia="zh-CN"/>
              </w:rPr>
              <w:t>7</w:t>
            </w:r>
            <w:r>
              <w:rPr>
                <w:rFonts w:hint="eastAsia" w:ascii="宋体" w:hAnsi="宋体" w:cs="宋体"/>
                <w:b/>
                <w:bCs/>
                <w:lang w:val="en-US" w:eastAsia="zh-CN"/>
              </w:rPr>
              <w:t xml:space="preserve">  </w:t>
            </w:r>
            <w:r>
              <w:rPr>
                <w:rFonts w:hint="eastAsia" w:ascii="宋体" w:hAnsi="宋体" w:eastAsia="宋体" w:cs="宋体"/>
                <w:b/>
                <w:bCs/>
                <w:lang w:val="en-US" w:eastAsia="zh-CN"/>
              </w:rPr>
              <w:t>教师队伍建设重点工程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2" w:firstLineChars="200"/>
              <w:textAlignment w:val="auto"/>
              <w:rPr>
                <w:rFonts w:hint="eastAsia" w:ascii="宋体" w:hAnsi="宋体" w:eastAsia="宋体" w:cs="宋体"/>
                <w:lang w:val="en-US" w:eastAsia="zh-CN"/>
              </w:rPr>
            </w:pPr>
            <w:r>
              <w:rPr>
                <w:rFonts w:hint="eastAsia" w:ascii="宋体" w:hAnsi="宋体" w:eastAsia="宋体" w:cs="宋体"/>
                <w:b/>
                <w:bCs/>
                <w:lang w:val="en-US" w:eastAsia="zh-CN"/>
              </w:rPr>
              <w:t>名师名校长培训培养计划。</w:t>
            </w:r>
            <w:r>
              <w:rPr>
                <w:rFonts w:hint="eastAsia" w:ascii="宋体" w:hAnsi="宋体" w:eastAsia="宋体" w:cs="宋体"/>
                <w:lang w:val="en-US" w:eastAsia="zh-CN"/>
              </w:rPr>
              <w:t>计划培育10名名校长、100名名师。</w:t>
            </w:r>
          </w:p>
          <w:p>
            <w:pPr>
              <w:pStyle w:val="1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2" w:firstLineChars="200"/>
              <w:textAlignment w:val="auto"/>
              <w:rPr>
                <w:rFonts w:hint="eastAsia" w:ascii="宋体" w:hAnsi="宋体" w:eastAsia="宋体" w:cs="宋体"/>
                <w:lang w:val="en-US" w:eastAsia="zh-CN"/>
              </w:rPr>
            </w:pPr>
            <w:r>
              <w:rPr>
                <w:rFonts w:hint="eastAsia" w:ascii="宋体" w:hAnsi="宋体" w:eastAsia="宋体" w:cs="宋体"/>
                <w:b/>
                <w:bCs/>
              </w:rPr>
              <w:t>教师全员培训计划。</w:t>
            </w:r>
            <w:r>
              <w:rPr>
                <w:rFonts w:hint="eastAsia" w:ascii="宋体" w:hAnsi="宋体" w:eastAsia="宋体" w:cs="宋体"/>
              </w:rPr>
              <w:t>“十四五”期间，确保</w:t>
            </w:r>
            <w:r>
              <w:rPr>
                <w:rFonts w:hint="eastAsia" w:ascii="宋体" w:hAnsi="宋体" w:cs="宋体"/>
                <w:lang w:eastAsia="zh-CN"/>
              </w:rPr>
              <w:t>幼儿园、中小学</w:t>
            </w:r>
            <w:r>
              <w:rPr>
                <w:rFonts w:hint="eastAsia" w:ascii="宋体" w:hAnsi="宋体" w:eastAsia="宋体" w:cs="宋体"/>
              </w:rPr>
              <w:t>教师校</w:t>
            </w:r>
            <w:r>
              <w:rPr>
                <w:rFonts w:hint="eastAsia" w:ascii="宋体" w:hAnsi="宋体" w:cs="宋体"/>
                <w:lang w:eastAsia="zh-CN"/>
              </w:rPr>
              <w:t>（园）</w:t>
            </w:r>
            <w:r>
              <w:rPr>
                <w:rFonts w:hint="eastAsia" w:ascii="宋体" w:hAnsi="宋体" w:eastAsia="宋体" w:cs="宋体"/>
              </w:rPr>
              <w:t>长五年</w:t>
            </w:r>
            <w:r>
              <w:rPr>
                <w:rFonts w:hint="eastAsia" w:ascii="宋体" w:hAnsi="宋体" w:eastAsia="宋体" w:cs="宋体"/>
                <w:lang w:val="en-US" w:eastAsia="zh-CN"/>
              </w:rPr>
              <w:t>内</w:t>
            </w:r>
            <w:r>
              <w:rPr>
                <w:rFonts w:hint="eastAsia" w:ascii="宋体" w:hAnsi="宋体" w:eastAsia="宋体" w:cs="宋体"/>
              </w:rPr>
              <w:t>不少于360学时的全员培训</w:t>
            </w:r>
            <w:r>
              <w:rPr>
                <w:rFonts w:hint="eastAsia" w:ascii="宋体" w:hAnsi="宋体" w:eastAsia="宋体" w:cs="宋体"/>
                <w:lang w:val="en-US" w:eastAsia="zh-CN"/>
              </w:rPr>
              <w:t>和分层培训</w:t>
            </w:r>
            <w:r>
              <w:rPr>
                <w:rFonts w:hint="eastAsia" w:ascii="宋体" w:hAnsi="宋体" w:eastAsia="宋体" w:cs="宋体"/>
              </w:rPr>
              <w:t>。</w:t>
            </w:r>
          </w:p>
        </w:tc>
      </w:tr>
    </w:tbl>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42" w:name="_Toc24799"/>
      <w:r>
        <w:rPr>
          <w:rFonts w:hint="eastAsia" w:ascii="楷体_GB2312" w:hAnsi="楷体_GB2312" w:eastAsia="楷体_GB2312" w:cs="楷体_GB2312"/>
          <w:lang w:val="en-US" w:eastAsia="zh-CN"/>
        </w:rPr>
        <w:t>三、提升教育信息化水平</w:t>
      </w:r>
      <w:bookmarkEnd w:id="42"/>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强化信息化基础设施建设。</w:t>
      </w:r>
      <w:r>
        <w:rPr>
          <w:rFonts w:hint="eastAsia" w:ascii="仿宋_GB2312" w:hAnsi="仿宋_GB2312" w:eastAsia="仿宋_GB2312" w:cs="仿宋_GB2312"/>
          <w:b w:val="0"/>
          <w:bCs w:val="0"/>
          <w:lang w:val="en-US" w:eastAsia="zh-CN"/>
        </w:rPr>
        <w:t>深入贯彻落实《教育信息化2.0行动计划》，建立符合县情教情的教育城域网应用管理标准化体系，</w:t>
      </w:r>
      <w:r>
        <w:rPr>
          <w:rFonts w:hint="eastAsia" w:ascii="仿宋_GB2312" w:hAnsi="仿宋_GB2312" w:eastAsia="仿宋_GB2312" w:cs="仿宋_GB2312"/>
          <w:lang w:val="en-US" w:eastAsia="zh-CN"/>
        </w:rPr>
        <w:t>重点推进紫阳县教育城域网络建设，补充完善县级服务器及镇中心小学以上学校中心机房设备，搭建教育管理平台、资源平台，落实办公场所全面实行数字化办公，优化移动智能终端接入，完善远程办公功能。全面推进数字校园基础设施建设，以教学班为单位更新配齐学生机房、中小学及幼儿园班级教室多媒体终端设备等信息化教学终端设施，实施城区校园光网建设，进一步提升学校网络出口带宽。到2025年，紫阳县教育城域网络完成投用，全县中小学校信息化基础设施基本完备，学校出口带宽不低于10000M，实现高速校园网络全覆盖，支持高峰期的群体并发访问，30%以上中小学校达到《陕西省中小学智慧校园建设标准（试行）》的基本要求。</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提升管理和应用水平。</w:t>
      </w:r>
      <w:r>
        <w:rPr>
          <w:rFonts w:hint="eastAsia" w:ascii="仿宋_GB2312" w:hAnsi="仿宋_GB2312" w:eastAsia="仿宋_GB2312" w:cs="仿宋_GB2312"/>
          <w:lang w:val="en-US" w:eastAsia="zh-CN"/>
        </w:rPr>
        <w:t>组织实施中小学教师信息技术应用能力提升培训，开展中小学信息化名师、骨干及专项工作县本、校本培训，实施订单式送培下乡计划。积极接入国家、省、市教育服务网络，协同推进优质教育资源共建共享，有效缩小城乡教师信息化应用能力差距。积极探索基于教育城域网的教学录播、远程课堂、网络教研会等教学教研模式创新，促进信息化普遍进入课堂内教学。大力推进普通高中信息化应用攻坚，为新高考改革提供技术支撑；以学生发展核心素养为基础，定期开展综合课程、主题课程、STEAM（科学、技术、工程、艺术和数学）等课程，提升学生信息化素养。将学校管理信息系统整合入紫阳“互联网+教育”平台，全面提升教育决策、教学管理和政务服务能力。强化教育网络安全监测预警和技术防护，加强与“雪亮”工程“一键报警”衔接，落实教育网络舆情防控责任，打造网络文明校园，有效防范和抵御教育网络安全风险。</w:t>
      </w:r>
    </w:p>
    <w:tbl>
      <w:tblPr>
        <w:tblStyle w:val="12"/>
        <w:tblW w:w="9061"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lang w:val="en-US" w:eastAsia="zh-CN"/>
              </w:rPr>
            </w:pPr>
            <w:r>
              <w:rPr>
                <w:rFonts w:hint="eastAsia" w:ascii="宋体" w:hAnsi="宋体" w:eastAsia="宋体" w:cs="宋体"/>
                <w:b/>
                <w:bCs/>
                <w:lang w:eastAsia="zh-CN"/>
              </w:rPr>
              <w:t>专栏</w:t>
            </w:r>
            <w:r>
              <w:rPr>
                <w:rFonts w:hint="eastAsia" w:ascii="宋体" w:hAnsi="宋体" w:eastAsia="宋体" w:cs="宋体"/>
                <w:b/>
                <w:bCs/>
                <w:lang w:val="en-US" w:eastAsia="zh-CN"/>
              </w:rPr>
              <w:t>8</w:t>
            </w:r>
            <w:r>
              <w:rPr>
                <w:rFonts w:hint="eastAsia" w:ascii="宋体" w:hAnsi="宋体" w:cs="宋体"/>
                <w:b/>
                <w:bCs/>
                <w:lang w:val="en-US" w:eastAsia="zh-CN"/>
              </w:rPr>
              <w:t xml:space="preserve">  </w:t>
            </w:r>
            <w:r>
              <w:rPr>
                <w:rFonts w:hint="eastAsia" w:ascii="宋体" w:hAnsi="宋体" w:eastAsia="宋体" w:cs="宋体"/>
                <w:b/>
                <w:bCs/>
                <w:lang w:val="en-US" w:eastAsia="zh-CN"/>
              </w:rPr>
              <w:t>教育信息化基础设施提升工程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2" w:firstLineChars="200"/>
              <w:textAlignment w:val="auto"/>
              <w:rPr>
                <w:rFonts w:hint="eastAsia" w:ascii="宋体" w:hAnsi="宋体" w:eastAsia="宋体" w:cs="宋体"/>
                <w:lang w:val="en-US" w:eastAsia="zh-CN"/>
              </w:rPr>
            </w:pPr>
            <w:r>
              <w:rPr>
                <w:rFonts w:hint="eastAsia" w:ascii="宋体" w:hAnsi="宋体" w:eastAsia="宋体" w:cs="宋体"/>
                <w:b/>
                <w:bCs/>
                <w:lang w:val="en-US" w:eastAsia="zh-CN"/>
              </w:rPr>
              <w:t>县级教育城域网建设。</w:t>
            </w:r>
            <w:r>
              <w:rPr>
                <w:rFonts w:hint="eastAsia" w:ascii="宋体" w:hAnsi="宋体" w:eastAsia="宋体" w:cs="宋体"/>
                <w:lang w:val="en-US" w:eastAsia="zh-CN"/>
              </w:rPr>
              <w:t>计划投资2000万元，建设县级教育资源平台、管理平台及学校中心机房设备和相关软件。</w:t>
            </w:r>
          </w:p>
          <w:p>
            <w:pPr>
              <w:pStyle w:val="1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2" w:firstLineChars="200"/>
              <w:textAlignment w:val="auto"/>
              <w:rPr>
                <w:rFonts w:hint="eastAsia" w:ascii="宋体" w:hAnsi="宋体" w:eastAsia="宋体" w:cs="宋体"/>
                <w:lang w:val="en-US" w:eastAsia="zh-CN"/>
              </w:rPr>
            </w:pPr>
            <w:r>
              <w:rPr>
                <w:rFonts w:hint="eastAsia" w:ascii="宋体" w:hAnsi="宋体" w:eastAsia="宋体" w:cs="宋体"/>
                <w:b/>
                <w:bCs/>
                <w:lang w:val="en-US" w:eastAsia="zh-CN"/>
              </w:rPr>
              <w:t>中心小学以上学校数字校园建设。</w:t>
            </w:r>
            <w:r>
              <w:rPr>
                <w:rFonts w:hint="eastAsia" w:ascii="宋体" w:hAnsi="宋体" w:eastAsia="宋体" w:cs="宋体"/>
                <w:lang w:val="en-US" w:eastAsia="zh-CN"/>
              </w:rPr>
              <w:t>计划总投资4500万元。建设学生机房120个，每个30万元；15所1000人以上学校校园电视台建设，每个60万元。</w:t>
            </w:r>
          </w:p>
          <w:p>
            <w:pPr>
              <w:pStyle w:val="1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2" w:firstLineChars="200"/>
              <w:textAlignment w:val="auto"/>
              <w:rPr>
                <w:rFonts w:hint="eastAsia" w:ascii="宋体" w:hAnsi="宋体" w:eastAsia="宋体" w:cs="宋体"/>
                <w:lang w:val="en-US" w:eastAsia="zh-CN"/>
              </w:rPr>
            </w:pPr>
            <w:r>
              <w:rPr>
                <w:rFonts w:hint="eastAsia" w:ascii="宋体" w:hAnsi="宋体" w:eastAsia="宋体" w:cs="宋体"/>
                <w:b/>
                <w:bCs/>
                <w:lang w:val="en-US" w:eastAsia="zh-CN"/>
              </w:rPr>
              <w:t>多媒体化终端设备改造。</w:t>
            </w:r>
            <w:r>
              <w:rPr>
                <w:rFonts w:hint="eastAsia" w:ascii="宋体" w:hAnsi="宋体" w:eastAsia="宋体" w:cs="宋体"/>
                <w:lang w:val="en-US" w:eastAsia="zh-CN"/>
              </w:rPr>
              <w:t>计划总投资6245万元，补充中小学及幼儿园普通教室交互式多媒体教学设备1107套；幼儿园教师计算机537台，中小学学生计算机2500台。</w:t>
            </w:r>
          </w:p>
          <w:p>
            <w:pPr>
              <w:pStyle w:val="1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2" w:firstLineChars="200"/>
              <w:textAlignment w:val="auto"/>
              <w:rPr>
                <w:rFonts w:hint="eastAsia" w:ascii="宋体" w:hAnsi="宋体" w:eastAsia="宋体" w:cs="宋体"/>
                <w:lang w:val="en-US" w:eastAsia="zh-CN"/>
              </w:rPr>
            </w:pPr>
            <w:r>
              <w:rPr>
                <w:rFonts w:hint="eastAsia" w:ascii="宋体" w:hAnsi="宋体" w:eastAsia="宋体" w:cs="宋体"/>
                <w:b/>
                <w:bCs/>
                <w:lang w:val="en-US" w:eastAsia="zh-CN"/>
              </w:rPr>
              <w:t>智慧校园建设。</w:t>
            </w:r>
            <w:r>
              <w:rPr>
                <w:rFonts w:hint="eastAsia" w:ascii="宋体" w:hAnsi="宋体" w:cs="宋体"/>
                <w:lang w:val="en-US" w:eastAsia="zh-CN"/>
              </w:rPr>
              <w:t>重点围绕智慧校园云平台，学籍、教务、课程管理，大数据分析，多功能应用等方面，</w:t>
            </w:r>
            <w:r>
              <w:rPr>
                <w:rFonts w:hint="eastAsia" w:ascii="宋体" w:hAnsi="宋体" w:eastAsia="宋体" w:cs="宋体"/>
                <w:lang w:val="en-US" w:eastAsia="zh-CN"/>
              </w:rPr>
              <w:t>推进紫阳中学初中部，紫阳小学、紫阳第二小学及17个镇中心学校智慧校园建设工作，计划总投资4000万元。</w:t>
            </w:r>
          </w:p>
        </w:tc>
      </w:tr>
    </w:tbl>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lang w:val="en-US" w:eastAsia="zh-CN"/>
        </w:rPr>
      </w:pPr>
      <w:bookmarkStart w:id="43" w:name="_Toc20288"/>
      <w:r>
        <w:rPr>
          <w:rFonts w:hint="eastAsia" w:ascii="楷体_GB2312" w:hAnsi="楷体_GB2312" w:eastAsia="楷体_GB2312" w:cs="楷体_GB2312"/>
          <w:lang w:val="en-US" w:eastAsia="zh-CN"/>
        </w:rPr>
        <w:t>四、推进教育治理现代化</w:t>
      </w:r>
      <w:bookmarkEnd w:id="43"/>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lang w:val="en-US" w:eastAsia="zh-CN"/>
        </w:rPr>
        <w:t>落实教育投入优先保障。</w:t>
      </w:r>
      <w:r>
        <w:rPr>
          <w:rFonts w:hint="eastAsia" w:ascii="仿宋_GB2312" w:hAnsi="仿宋_GB2312" w:eastAsia="仿宋_GB2312" w:cs="仿宋_GB2312"/>
          <w:b w:val="0"/>
          <w:bCs w:val="0"/>
          <w:lang w:val="en-US" w:eastAsia="zh-CN"/>
        </w:rPr>
        <w:t>认真落实“三个增长”“两个只增不减”要求，把教育作为财政支出的重点领域予以优先保障，稳定教育经费投入基本盘。科学配置财政性教育经费，重点加强高水平师资队伍建设、全面发展教育体系建设、课程与教学改革和全面提高教育质量的经费投入。全面落实教育经费管理责任制度，建立健全“谁使用、谁负责”的教育经费使用管理责任体系，落实完善资金分配使用和预算管理、国有资产管理、“三公”经费管理、政府采购管理等制度体系。不断创新教育经费监督模式，严格教育经费督查问责，推进经济责任审计党政同责同审，完善中小学校长任期经济责任审计制度。</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lang w:val="en-US" w:eastAsia="zh-CN"/>
        </w:rPr>
        <w:t>全面推进依法治教。</w:t>
      </w:r>
      <w:r>
        <w:rPr>
          <w:rFonts w:hint="eastAsia" w:ascii="仿宋_GB2312" w:hAnsi="仿宋_GB2312" w:eastAsia="仿宋_GB2312" w:cs="仿宋_GB2312"/>
          <w:b w:val="0"/>
          <w:bCs w:val="0"/>
          <w:lang w:val="en-US" w:eastAsia="zh-CN"/>
        </w:rPr>
        <w:t>把习近平法治思想融入教育领域各方面和教育工作全过程，提高依法治教水平，</w:t>
      </w:r>
      <w:r>
        <w:rPr>
          <w:rFonts w:hint="eastAsia" w:ascii="仿宋_GB2312" w:hAnsi="仿宋_GB2312" w:eastAsia="仿宋_GB2312" w:cs="仿宋_GB2312"/>
          <w:lang w:val="en-US" w:eastAsia="zh-CN"/>
        </w:rPr>
        <w:t>全面推进教育系统“八五”普法</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lang w:val="en-US" w:eastAsia="zh-CN"/>
        </w:rPr>
        <w:t>落实《青少年法治教育大纲》，健全青少年法治教育体系，</w:t>
      </w:r>
      <w:r>
        <w:rPr>
          <w:rFonts w:hint="eastAsia" w:ascii="仿宋_GB2312" w:hAnsi="仿宋_GB2312" w:eastAsia="仿宋_GB2312" w:cs="仿宋_GB2312"/>
          <w:b w:val="0"/>
          <w:bCs w:val="0"/>
          <w:lang w:val="en-US" w:eastAsia="zh-CN"/>
        </w:rPr>
        <w:t>依据教育权责清单，实现教育行政决策、执行、组织、监督的全链条、全要素法治化管理。多渠道加强教师的法制教育工作，增强教师群体法制观念，提高安全防范意识和法治意识。建立教育综合执法和联合执法机制，加大教育行政执法力度，</w:t>
      </w:r>
      <w:r>
        <w:rPr>
          <w:rFonts w:hint="eastAsia" w:ascii="仿宋_GB2312" w:hAnsi="仿宋_GB2312" w:eastAsia="仿宋_GB2312" w:cs="仿宋_GB2312"/>
          <w:lang w:val="en-US" w:eastAsia="zh-CN"/>
        </w:rPr>
        <w:t>依法纠正并及时查处违反教育法律法规、侵害受教育者权益、扰乱教育秩序等行为。完善学校内部治理结构，提升法治副校长、教职工代表大会、学生代表大会、家长委员会等在学校依法治校进程中的参与度。健全教育领域纠纷处理机制，畅通申诉渠道，依法维护学校、教师和学生的合法权益。</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lang w:val="en-US" w:eastAsia="zh-CN"/>
        </w:rPr>
        <w:t>推进学校治理现代化。</w:t>
      </w:r>
      <w:r>
        <w:rPr>
          <w:rFonts w:hint="eastAsia" w:ascii="仿宋_GB2312" w:hAnsi="仿宋_GB2312" w:eastAsia="仿宋_GB2312" w:cs="仿宋_GB2312"/>
          <w:b w:val="0"/>
          <w:bCs w:val="0"/>
          <w:lang w:val="en-US" w:eastAsia="zh-CN"/>
        </w:rPr>
        <w:t>深入推进学校党组织领导下的校长负责制，学校党组织持续强化对学校干部、教师组织和内设机构的政治领导、思想领导和组织领导，明确并加强对学校重大事项和重要问题的政治把关程序和责任，对校长工作实施政治监督。进一步完善学校章程并制定实施细则，认真落实教职工代表大会或教职工全体会议制度。根据学生年龄特点，以培养“四个自信”为宗旨，建设中华优秀传统文化与现代文明有机结合的校园文化，努力打造“一校一品”的校园文化特色项目。</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推进政府教育行政管理现代化。</w:t>
      </w:r>
      <w:r>
        <w:rPr>
          <w:rFonts w:hint="eastAsia" w:ascii="仿宋_GB2312" w:hAnsi="仿宋_GB2312" w:eastAsia="仿宋_GB2312" w:cs="仿宋_GB2312"/>
          <w:b w:val="0"/>
          <w:bCs w:val="0"/>
          <w:lang w:val="en-US" w:eastAsia="zh-CN"/>
        </w:rPr>
        <w:t>提高政府科学决策水平，健全教育政策性文件制定程序。深化教育领域“放管服”改革，强化教育行政机关的教育服务职能，</w:t>
      </w:r>
      <w:r>
        <w:rPr>
          <w:rFonts w:hint="eastAsia" w:ascii="仿宋_GB2312" w:hAnsi="仿宋_GB2312" w:eastAsia="仿宋_GB2312" w:cs="仿宋_GB2312"/>
          <w:lang w:val="en-US" w:eastAsia="zh-CN"/>
        </w:rPr>
        <w:t>减少教育行政审批事项，简化教育行政审批程序，严格控制对各级各类学校的项目评审、教育评估、人才评价和检查事项，强化事中事后监管，</w:t>
      </w:r>
      <w:r>
        <w:rPr>
          <w:rFonts w:hint="eastAsia" w:ascii="仿宋_GB2312" w:hAnsi="仿宋_GB2312" w:eastAsia="仿宋_GB2312" w:cs="仿宋_GB2312"/>
          <w:b w:val="0"/>
          <w:bCs w:val="0"/>
          <w:lang w:val="en-US" w:eastAsia="zh-CN"/>
        </w:rPr>
        <w:t>为学校自主办学、办出特色提供保障。加强教育领域“数字政府”建设，推动学校治理与教育治理智能化、信息化、现代化。</w:t>
      </w:r>
      <w:r>
        <w:rPr>
          <w:rFonts w:hint="eastAsia" w:ascii="仿宋_GB2312" w:hAnsi="仿宋_GB2312" w:eastAsia="仿宋_GB2312" w:cs="仿宋_GB2312"/>
          <w:lang w:val="en-US" w:eastAsia="zh-CN"/>
        </w:rPr>
        <w:t>严格落实重大教育决策民主决策机制，多形式多渠道常态化听取公众和社会各界教育决策的意见建议</w:t>
      </w:r>
      <w:r>
        <w:rPr>
          <w:rFonts w:hint="eastAsia" w:ascii="仿宋_GB2312" w:hAnsi="仿宋_GB2312" w:eastAsia="仿宋_GB2312" w:cs="仿宋_GB2312"/>
          <w:b w:val="0"/>
          <w:bCs w:val="0"/>
          <w:lang w:val="en-US" w:eastAsia="zh-CN"/>
        </w:rPr>
        <w:t>，探索构建政府、学校、社会新型关系</w:t>
      </w:r>
      <w:r>
        <w:rPr>
          <w:rFonts w:hint="eastAsia" w:ascii="仿宋_GB2312" w:hAnsi="仿宋_GB2312" w:eastAsia="仿宋_GB2312" w:cs="仿宋_GB2312"/>
          <w:lang w:val="en-US" w:eastAsia="zh-CN"/>
        </w:rPr>
        <w:t>。</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加强新时代教育督导评估。</w:t>
      </w:r>
      <w:r>
        <w:rPr>
          <w:rFonts w:hint="eastAsia" w:ascii="仿宋_GB2312" w:hAnsi="仿宋_GB2312" w:eastAsia="仿宋_GB2312" w:cs="仿宋_GB2312"/>
          <w:b w:val="0"/>
          <w:bCs w:val="0"/>
          <w:lang w:val="en-US" w:eastAsia="zh-CN"/>
        </w:rPr>
        <w:t>建立健全</w:t>
      </w:r>
      <w:r>
        <w:rPr>
          <w:rFonts w:hint="eastAsia" w:ascii="仿宋_GB2312" w:hAnsi="仿宋_GB2312" w:eastAsia="仿宋_GB2312" w:cs="仿宋_GB2312"/>
          <w:lang w:val="en-US" w:eastAsia="zh-CN"/>
        </w:rPr>
        <w:t>“督政、督学、评估监测”三位一体的教育督导体系，落实教育督导条件保障，建成全面覆盖、运转高效、结果权威、问责有力的教育督导体制机制。完善报告、反馈、整改、复查、激励、约谈、通报、问责制度，强化教育督导权威性和严肃性。创新督学聘用方式，提高督学专业化水平，加强对各级各类学校的督导，加大对教育热点、难点、重点工作的督导力度。加大教育部门信息公开力度，完善学校各类信息公开制度，保障教职工、学生、社会公众对学校重大事项和重要制度的知情权，拓宽信息公开的途径和范围，接受社会多方监督。</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加强新时代语言文字工作。</w:t>
      </w:r>
      <w:r>
        <w:rPr>
          <w:rFonts w:hint="eastAsia" w:ascii="仿宋_GB2312" w:hAnsi="仿宋_GB2312" w:eastAsia="仿宋_GB2312" w:cs="仿宋_GB2312"/>
          <w:lang w:val="en-US" w:eastAsia="zh-CN"/>
        </w:rPr>
        <w:t>落实《关于全面加强新时代语言文字工作的意见》，加强学校语言文字工作，全面落实国家通用语言文字作为教育教学基本用语用字的法定要求。坚持把语言文字规范化要求纳入学校、教师、学生管理和教育教学、评估评价等各个环节，开展学校语言文字工作达标建设。建立完善学生语言文字应用能力监测和评价标准。大力提高教师国家通用语言文字核心素养和教学能力。建设书香校园，提高学生国家通用语言文字听说读写能力和语文素养。创新开展常态化推普宣传活动，增强社会各界规范使用国家通用语言文字的意识。</w:t>
      </w:r>
    </w:p>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44" w:name="_Toc24655"/>
      <w:r>
        <w:rPr>
          <w:rFonts w:hint="eastAsia" w:ascii="楷体_GB2312" w:hAnsi="楷体_GB2312" w:eastAsia="楷体_GB2312" w:cs="楷体_GB2312"/>
          <w:lang w:val="en-US" w:eastAsia="zh-CN"/>
        </w:rPr>
        <w:t>五、优化学校安全管理体系</w:t>
      </w:r>
      <w:bookmarkEnd w:id="44"/>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入学习贯彻习近平总书记关于安全生产、学生安全重要论述和指示批示精神，进一步强化校园常规安全管理，建立多部门共同参与的学校安全风险防控体系，提高防范、化解重大安全风险能力，从严从实从细做好校园安全管理及周边环境治理工作，确保校园安全管理责任明确、管理到位、预警及时、处置得力，师生安全得到保障。提升安全教育、法治教育、心理健康教育和生命健康教育效能，加强部门、家庭、学校、社会联防联控工作机制和关爱机制，严防不安全事故发生。统筹做好学校常态化疫情防控和教育教学管理工作，优化校园疫情防控联防联控机制，加强师生健康监测。关注低年级学生、外来务工人员子女、农村留守儿童等重点群体，坚持“八个一”开展防溺水安全教育。对全县各学校学生乘车和道路交通安全隐患综合整治，落实周五和节假日错时、错年级放学，确保学生上放学道路交通安全。加强对学校食堂和从业人员的管理，把师生饮食安全放在首位。有效开展安全教育演练，不断提高学校、师生防灾避险能力，把校园打造成为最安全、最阳光、最文明的地方。</w:t>
      </w:r>
    </w:p>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45" w:name="_Toc28732"/>
      <w:r>
        <w:rPr>
          <w:rFonts w:hint="eastAsia" w:ascii="楷体_GB2312" w:hAnsi="楷体_GB2312" w:eastAsia="楷体_GB2312" w:cs="楷体_GB2312"/>
          <w:lang w:val="en-US" w:eastAsia="zh-CN"/>
        </w:rPr>
        <w:t>六、推动教育服务乡村振兴</w:t>
      </w:r>
      <w:bookmarkEnd w:id="45"/>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进一步巩固拓展教育脱贫攻坚成果，接续推进教育事业发展，促进乡村全面振兴，严格落实“四个不摘”要求，坚决守住义务教育“控辍保学”底线。精准资助农村家庭经济困难学生，落实好农村义务教育营养改善计划，确保教育帮扶政策总体稳定、有序过渡。继续实施义务教育薄弱环节改善与能力提升工作，做好易地扶贫搬迁后续扶持工作，支持建设乡镇寄宿制学校，保留并办好必要的乡村小规模学校，巩固拓展义务教育办学条件成果，提升学校办学条件。继续推进教师校长交流轮岗工作制度化常态化，落实乡村义务教育教师工资待遇保障长效机制，确保乡村义务教育教师平均工资收入水平不低于当地公务员平均工资收入水平。加大对留守儿童和困境儿童的关爱保护力度，形成教师结对帮扶机制，促进学生全面发展。将职业学校发展与地方经济社会发展紧密结合，根据市场需求，不断调整、优化专业建设，打造茶叶生产与加工、足浴康养等特色专业，为乡村振兴贡献教育力量。</w:t>
      </w:r>
    </w:p>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46" w:name="_Toc12311"/>
      <w:r>
        <w:rPr>
          <w:rFonts w:hint="eastAsia" w:ascii="楷体_GB2312" w:hAnsi="楷体_GB2312" w:eastAsia="楷体_GB2312" w:cs="楷体_GB2312"/>
          <w:lang w:val="en-US" w:eastAsia="zh-CN"/>
        </w:rPr>
        <w:t>七、加强体育健康融合发展</w:t>
      </w:r>
      <w:bookmarkEnd w:id="46"/>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结合健康紫阳建设，深化紫阳获评“全省健康促进县”对提升居民健康素养的引领支撑，优化体育健身活动指南，建立完善针对不同人群、不同环境、不同身体状况的运动处方库，推动形成体育健康结合的疾病管理与健康服务模式，发挥全民科学健身在健康促进、慢性病预防和康复等方面的积极作用。加强全民健身和科学健身指导服务站点建设。开展国民体质测试，完善体质健康监测体系，应用国民体质健康监测大数据，开展运动风险评估。</w:t>
      </w:r>
    </w:p>
    <w:p>
      <w:pPr>
        <w:pStyle w:val="3"/>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b w:val="0"/>
          <w:bCs/>
          <w:sz w:val="32"/>
          <w:szCs w:val="32"/>
          <w:lang w:val="en-US" w:eastAsia="zh-CN"/>
        </w:rPr>
      </w:pPr>
      <w:bookmarkStart w:id="47" w:name="_Toc14028"/>
      <w:r>
        <w:rPr>
          <w:rFonts w:hint="eastAsia"/>
          <w:b w:val="0"/>
          <w:bCs/>
          <w:sz w:val="32"/>
          <w:szCs w:val="32"/>
          <w:lang w:val="en-US" w:eastAsia="zh-CN"/>
        </w:rPr>
        <w:t>第七章  加强党对教体工作的全面领导</w:t>
      </w:r>
      <w:bookmarkEnd w:id="47"/>
    </w:p>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48" w:name="_Toc20557"/>
      <w:r>
        <w:rPr>
          <w:rFonts w:hint="eastAsia" w:ascii="楷体_GB2312" w:hAnsi="楷体_GB2312" w:eastAsia="楷体_GB2312" w:cs="楷体_GB2312"/>
          <w:lang w:val="en-US" w:eastAsia="zh-CN"/>
        </w:rPr>
        <w:t>一、发挥党的领导核心作用</w:t>
      </w:r>
      <w:bookmarkEnd w:id="48"/>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以习近平新时代中国特色社会主义思想统领各项教体工作，全面贯彻党的教育方针，坚持社会主义办学方向，落实立德树人的根本任务，树牢“四个意识”，坚定“四个自信”，坚决做到“两个维护”，结合习近平总书记提出的“八个相统一”新要求，加快推进教育体育现代化，建设教育强国、体育强国，努力培养担当民族复兴大任的时代新人，培养德智体美劳全面发展的社会主义建设者和接班人。坚持宣传教育、示范引领、实践养成相一致，推动思想政治工作创新，充分发挥主流媒体的传播优势，广泛宣传党和国家的教育方针、政策，不断增强思想政治工作的时代感和吸引力。</w:t>
      </w:r>
    </w:p>
    <w:p>
      <w:pPr>
        <w:pStyle w:val="4"/>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49" w:name="_Toc14748"/>
      <w:r>
        <w:rPr>
          <w:rFonts w:hint="eastAsia" w:ascii="楷体_GB2312" w:hAnsi="楷体_GB2312" w:eastAsia="楷体_GB2312" w:cs="楷体_GB2312"/>
          <w:lang w:val="en-US" w:eastAsia="zh-CN"/>
        </w:rPr>
        <w:t>加强教体系统基层党组织建设</w:t>
      </w:r>
      <w:bookmarkEnd w:id="49"/>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强化组织领导，突出政治功能，在领导基层工作的实践中不断增强“四个意识”，自觉维护党中央的权威和集中统一领导，时刻保持与党中央的高度一致，增强基层组织的向心力。推进“两学一做”学习教育的常态化和制度化，加强基层党员教育培训；坚持“三会一课”制度，突出基层党组织的教育、管理、监督、服务职能。紧盯时代发展和形势变化，积极探索基层党建在形式、内容和覆盖面等方面的创新发展，促进党建与时代和实践的结合。全面贯彻新时代党的组织路线，树牢正确选人用人导向，坚持德才兼备、以德为先，落实好干部标准，选好用好优秀年轻干部。健全党建考核指标体系，细化落实“三项机制”，鼓励激励干部担当作为。深入推进全面从严治党，持之以恒正风肃纪，着力建设风清气正的教育生态，为教育体育事业持续健康发展提供坚强的政治保障和纪律保障。</w:t>
      </w:r>
    </w:p>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50" w:name="_Toc24622"/>
      <w:r>
        <w:rPr>
          <w:rFonts w:hint="eastAsia" w:ascii="楷体_GB2312" w:hAnsi="楷体_GB2312" w:eastAsia="楷体_GB2312" w:cs="楷体_GB2312"/>
          <w:lang w:val="en-US" w:eastAsia="zh-CN"/>
        </w:rPr>
        <w:t>三、完善学校党建管理体制</w:t>
      </w:r>
      <w:bookmarkEnd w:id="50"/>
    </w:p>
    <w:p>
      <w:pPr>
        <w:pageBreakBefore w:val="0"/>
        <w:widowControl w:val="0"/>
        <w:kinsoku/>
        <w:wordWrap/>
        <w:overflowPunct/>
        <w:topLinePunct w:val="0"/>
        <w:autoSpaceDE/>
        <w:autoSpaceDN/>
        <w:bidi w:val="0"/>
        <w:adjustRightInd/>
        <w:snapToGrid/>
        <w:spacing w:line="560" w:lineRule="exact"/>
        <w:jc w:val="center"/>
        <w:textAlignment w:val="auto"/>
        <w:rPr>
          <w:rFonts w:hint="eastAsia"/>
          <w:b w:val="0"/>
          <w:bCs/>
          <w:lang w:val="en-US" w:eastAsia="zh-CN"/>
        </w:rPr>
      </w:pPr>
      <w:r>
        <w:rPr>
          <w:rFonts w:hint="eastAsia" w:ascii="仿宋_GB2312" w:hAnsi="仿宋_GB2312" w:eastAsia="仿宋_GB2312" w:cs="仿宋_GB2312"/>
          <w:lang w:val="en-US" w:eastAsia="zh-CN"/>
        </w:rPr>
        <w:t>加强和改进党对教育工作的全面领导，优化中小学校党组织设置，做到党组织在中小学校全覆盖。把党的教育方针贯彻到学校工作全领域，建立健全学校党组织全面负责的工作体系，牵头抓好立德树人体制机制创新、深化教育评价改革、推进体育美育和实践教育等涉及党的建设、办学方向、改革发展的重大事项。掌稳把牢中小学校的政治航向，强化思想领导，落实常态化政治理论学习制度，不断强化党员领导干部、党员教师的党性教育、宗旨教育和警示教育，严守政治纪律和政治规矩。推进中小学校党组织领导的校长负责制，党组织全面领导学校工作，会议讨论决定其他重要事项，校长全面负责教育教学和行政管理工作。探索“党建+”“互联网+”工作模式，挖掘红色教育资源，发挥党建带团建、队建政治功能，打造彰显学校特色的教育党建品牌。</w:t>
      </w:r>
      <w:bookmarkStart w:id="51" w:name="_Toc31018"/>
      <w:r>
        <w:rPr>
          <w:rFonts w:hint="eastAsia" w:ascii="黑体" w:hAnsi="黑体" w:eastAsia="黑体" w:cs="黑体"/>
          <w:b w:val="0"/>
          <w:bCs/>
          <w:sz w:val="32"/>
          <w:szCs w:val="32"/>
          <w:lang w:val="en-US" w:eastAsia="zh-CN"/>
        </w:rPr>
        <w:t>第八章  保障措施</w:t>
      </w:r>
      <w:bookmarkEnd w:id="51"/>
    </w:p>
    <w:p>
      <w:pPr>
        <w:pStyle w:val="4"/>
        <w:pageBreakBefore w:val="0"/>
        <w:widowControl w:val="0"/>
        <w:numPr>
          <w:ilvl w:val="0"/>
          <w:numId w:val="7"/>
        </w:numPr>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52" w:name="_Toc11151"/>
      <w:bookmarkStart w:id="53" w:name="_Toc29396"/>
      <w:bookmarkStart w:id="54" w:name="_Toc28123"/>
      <w:bookmarkStart w:id="55" w:name="_Toc29660"/>
      <w:r>
        <w:rPr>
          <w:rFonts w:hint="eastAsia" w:ascii="楷体_GB2312" w:hAnsi="楷体_GB2312" w:eastAsia="楷体_GB2312" w:cs="楷体_GB2312"/>
          <w:lang w:val="en-US" w:eastAsia="zh-CN"/>
        </w:rPr>
        <w:t>强化组织领导</w:t>
      </w:r>
      <w:bookmarkEnd w:id="52"/>
      <w:bookmarkEnd w:id="53"/>
      <w:bookmarkEnd w:id="54"/>
      <w:bookmarkEnd w:id="55"/>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发挥组织领导作用，建立健全教育领导体制，研究部署教育体育领域思想政治、意识形态工作，协调解决推进教育体育事业发展新征程中面临的重大问题和人民群众关心的热点难点问题。坚持优先发展教育事业，结合实际明确落实举措。强化政策衔接与协同联动，将教育体育发展规划纳入经济社会发展“十四五”规划内容，将教体基础设施建设纳入国土空间专项规划，把教育体育经费列入本级财政预算，积极推动各项政策落地。落实党政主体责任，把教育工作纳入主要领导、分管领导任期目标考核内容，主动接受监督。强化结果运用，对履职不力的追责问责、限期整改，树立奖优罚劣鲜明导向，促进目标任务如期完成。</w:t>
      </w:r>
    </w:p>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56" w:name="_Toc29188"/>
      <w:r>
        <w:rPr>
          <w:rFonts w:hint="eastAsia" w:ascii="楷体_GB2312" w:hAnsi="楷体_GB2312" w:eastAsia="楷体_GB2312" w:cs="楷体_GB2312"/>
          <w:lang w:val="en-US" w:eastAsia="zh-CN"/>
        </w:rPr>
        <w:t>二、强化规划实施</w:t>
      </w:r>
      <w:bookmarkEnd w:id="56"/>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健全规划任务分工和工作协同机制，明确责任分工，强化年度计划和规划有效衔接，科学制定政策和配置资源，将规划提出的目标任务落到实处。加强部门之间协同，推动解决发展难题，完善规划落实落地的工作机制。完善规划实施监测评估机制及实施监督机制，充分利用大数据等现代信息技术对规划实施情况开展跟踪监测，更好发挥规划引领作用。</w:t>
      </w:r>
    </w:p>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57" w:name="_Toc17580"/>
      <w:r>
        <w:rPr>
          <w:rFonts w:hint="eastAsia" w:ascii="楷体_GB2312" w:hAnsi="楷体_GB2312" w:eastAsia="楷体_GB2312" w:cs="楷体_GB2312"/>
          <w:lang w:val="en-US" w:eastAsia="zh-CN"/>
        </w:rPr>
        <w:t>三、强化项目支撑</w:t>
      </w:r>
      <w:bookmarkEnd w:id="57"/>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以规划带动项目建设，以项目促进规划落实，把重点项目实施贯穿于“十四五”教育体育事业发展的全过程。加强项目谋划，优先谋划实施关乎解决群众教育体育重点难点问题的重大项目，推进更多的项目进入国家和省、市规划布局，形成规划期内竣工一批、启动一批、储备一批的滚动发展机制。加强项目管理，完善和落实重点项目协调推进机制，集中力量保证重点项目需要，强化层级互动，落实主体责任，依法依规推进建设。</w:t>
      </w:r>
    </w:p>
    <w:p>
      <w:pPr>
        <w:pStyle w:val="4"/>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bookmarkStart w:id="58" w:name="_Toc24014"/>
      <w:r>
        <w:rPr>
          <w:rFonts w:hint="eastAsia" w:ascii="楷体_GB2312" w:hAnsi="楷体_GB2312" w:eastAsia="楷体_GB2312" w:cs="楷体_GB2312"/>
          <w:lang w:val="en-US" w:eastAsia="zh-CN"/>
        </w:rPr>
        <w:t>四、营造良好氛围</w:t>
      </w:r>
      <w:bookmarkEnd w:id="58"/>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sectPr>
          <w:pgSz w:w="11906" w:h="16838"/>
          <w:pgMar w:top="2098" w:right="1474" w:bottom="1984" w:left="1587" w:header="851" w:footer="992" w:gutter="0"/>
          <w:pgNumType w:fmt="numberInDash"/>
          <w:cols w:space="425" w:num="1"/>
          <w:docGrid w:type="lines" w:linePitch="312" w:charSpace="0"/>
        </w:sectPr>
      </w:pPr>
      <w:r>
        <w:rPr>
          <w:rFonts w:hint="eastAsia" w:ascii="仿宋_GB2312" w:hAnsi="仿宋_GB2312" w:eastAsia="仿宋_GB2312" w:cs="仿宋_GB2312"/>
          <w:lang w:val="en-US" w:eastAsia="zh-CN"/>
        </w:rPr>
        <w:t>动员社会各方面力量关心支持教育体育发展，树立尊师重教的鲜明导向，形成助力教育体育发展的新机制新格局。加强社会宣传引导，广泛宣传党的教育方针，宣传正确的教育发展观和成才观。广泛宣传教育体育改革发展重点任务的落实情况和成功经验，及时回应社会对教育体育的关切。做好规划内容的宣传解读和实施推进的信息公开，接受社会监督。</w:t>
      </w:r>
    </w:p>
    <w:p>
      <w:pPr>
        <w:pStyle w:val="2"/>
        <w:ind w:left="0" w:leftChars="0" w:firstLine="0" w:firstLineChars="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附表1 紫阳县“十四五”教育体育事业重点项目表</w:t>
      </w:r>
    </w:p>
    <w:tbl>
      <w:tblPr>
        <w:tblStyle w:val="11"/>
        <w:tblpPr w:leftFromText="180" w:rightFromText="180" w:vertAnchor="text" w:horzAnchor="page" w:tblpX="2092" w:tblpY="743"/>
        <w:tblOverlap w:val="never"/>
        <w:tblW w:w="12967"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87"/>
        <w:gridCol w:w="1411"/>
        <w:gridCol w:w="1105"/>
        <w:gridCol w:w="903"/>
        <w:gridCol w:w="7604"/>
        <w:gridCol w:w="115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tblHeader/>
        </w:trPr>
        <w:tc>
          <w:tcPr>
            <w:tcW w:w="787"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序号</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学校名称</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办学</w:t>
            </w:r>
          </w:p>
          <w:p>
            <w:pPr>
              <w:pStyle w:val="16"/>
              <w:keepNext w:val="0"/>
              <w:keepLines w:val="0"/>
              <w:suppressLineNumbers w:val="0"/>
              <w:bidi w:val="0"/>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类型</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建设性质</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具体内容</w:t>
            </w:r>
          </w:p>
        </w:tc>
        <w:tc>
          <w:tcPr>
            <w:tcW w:w="1157"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总投资</w:t>
            </w:r>
          </w:p>
          <w:p>
            <w:pPr>
              <w:pStyle w:val="16"/>
              <w:keepNext w:val="0"/>
              <w:keepLines w:val="0"/>
              <w:suppressLineNumbers w:val="0"/>
              <w:bidi w:val="0"/>
              <w:spacing w:before="0" w:beforeAutospacing="0" w:after="0" w:afterAutospacing="0"/>
              <w:ind w:left="0" w:right="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（万元）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2967" w:type="dxa"/>
            <w:gridSpan w:val="6"/>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b/>
                <w:bCs/>
                <w:sz w:val="21"/>
                <w:szCs w:val="21"/>
                <w:lang w:val="en-US" w:eastAsia="zh-CN"/>
              </w:rPr>
              <w:t>一、学前教育优质普惠工程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紫阳县第二幼儿园</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独立公办园</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新建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（1）投资4000万元，新建教学活动辅助用房9900㎡；（2）投资500万元，新建活动场地6000㎡；（3）投资500万元，购置玩教具200套，其他设施设备20套；（4）投资1000万元，建设其他附属设施。新增学位630个。</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6000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紫阳县第三幼儿园</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独立公办园</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新建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（1）投资3500万元，新建教学活动辅助用房7100㎡；（2）投资200万元，新建活动场地2160㎡；（3）投资800万元，购置玩教具200套，其他设施设备20套；（4）投资1500万元，建设其他附属设施。新增学位540个。</w:t>
            </w:r>
          </w:p>
        </w:tc>
        <w:tc>
          <w:tcPr>
            <w:tcW w:w="1157"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6000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紫阳县向阳镇中心幼儿园</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独立公办园</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（1）投资1800万元，新建保教用房6300㎡；（2）投资200万元，新建活动场地2000㎡；（3）投资200万元，购置玩教具96套，其他设施设备12套；（4）投资300万元，配建其他附属设施。新增学位100个。</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2500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紫阳县红椿镇中心幼儿园</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独立公办园</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（1）投资500万元，新建教学活动辅助用房4000㎡；（2）投资200万元，新建活动场地2500㎡；（3）投资200万元，购置玩教具96套，其他设施设备12套；（4）投资200万元，建设其他附属设施。新增学位150个。</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1000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紫阳县蒿坪镇双星幼儿园</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独立公办园</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（1）投资800万元，新建教学活动辅助用房2000㎡；（2）投资150万元，新建活动场地2000㎡；（3）投资100万元，购置玩教具60套，其他设施设备12套；（4）投资100万元，建设其他附属设施。</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1150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紫阳县毛坝镇中心幼儿园</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独立公办园</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（1）投资2100万元，新建教学活动辅助用房7480㎡；（2）投资100万元，新建活动场地1500㎡；（3）投资200万元，购置玩教具96套，其他设施设备12套；（4）投资200万元，建设其他附属设施。新增学位300个。</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2600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紫阳县界岭镇中心幼儿园</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独立公办园</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（1）投资1000万元，新建教学活动辅助用房3100㎡；（2）投资100万元，新建活动场地1440㎡；（3）投资200万元，购置玩教具96套，其他设施设备12套；（4）投资300万元，建设其他附属设施。新增学位100个。</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1600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2967" w:type="dxa"/>
            <w:gridSpan w:val="6"/>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b/>
                <w:bCs/>
                <w:sz w:val="21"/>
                <w:szCs w:val="21"/>
                <w:lang w:val="en-US" w:eastAsia="zh-CN"/>
              </w:rPr>
              <w:t>二、义务教育优质均衡工程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紫阳县第二小学</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小学</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（1）投资100万元，新建教学活动辅助用房4600㎡；（2）投资100万元，新建活动场地1800㎡；（3）投资100万元，配建其他附属设施。</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1200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紫阳县第三小学</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小学</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新建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6000万元，新建教学及辅助用房16100㎡，生活用房4800㎡；（2）投资600万元，新建运动场地7200㎡；（3）投资600万元，购置教学实验仪器设备450套，其他设施设备90套；（4）投资800万元，配建其他附属设施。新增学位1620个。</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8000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紫阳县紫阳小学</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小学</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3000万元，新建教学活动辅助用房8500㎡，生活用房1200㎡；（2）投资600万元，改建运动场地4000㎡；（3）投资600万元，购置教学实验仪器设备600套，其他设施设备400套；（4）投资1800万元，配建其他附属设施。</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6000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2"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紫阳县蒿坪镇双星小学</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小学</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（1）投资380万元，新建活动场地8769㎡。</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380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12</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紫阳县紫阳中学初中部</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初中</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（1）投资2000万元，新建教学及辅助用房5800㎡；（2）投资200万元，购置其他设施设备200套；（3）投资1000万元，建设其他附属设施。新增学位200个。</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3200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13</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紫阳县高桥镇初级中学</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初中</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投资1000万元，新建教师周转宿舍3500㎡及设施设备配建。</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1000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紫阳县蒿坪镇初级中学</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初中</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投资1000万元，新建教师周转宿舍3500㎡及设施设备配建。</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1000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15</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紫阳县双安镇中心学校</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九年制</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投资100万元，新建运动场地4000㎡及附属设施。</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100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2"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16</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紫阳县麻柳镇中心学校</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九年制</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（1）投资400万元，新建生活用房1200㎡；（2）投资200万元，购置其他设施设备。</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600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17</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紫阳县东木镇中心学校</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九年制</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投资800万元，新建教师周转宿舍2500㎡及附属设施配建。</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800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紫阳县瓦庙镇中心学校</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九年制</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（1）投资1200万元，新建教学及辅助用房3500㎡；（2）投资100万元，购置教学实验仪器设备60套；（3）投资100万元，配建其他附属设施。</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1400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紫阳县向阳镇中心学校</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九年制</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（1）投资500万元，新建教学活动辅助用房3220㎡。</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500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2967" w:type="dxa"/>
            <w:gridSpan w:val="6"/>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b/>
                <w:bCs/>
                <w:sz w:val="21"/>
                <w:szCs w:val="21"/>
                <w:lang w:val="en-US" w:eastAsia="zh-CN"/>
              </w:rPr>
              <w:t>三、高中教育优质特色发展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紫阳县第二中学</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高级中学</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新建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25000万元，新建教学及辅助用房36500㎡，生活用房35400㎡；（2）投资2000万元，新建运动场地17500㎡；（3）投资5000万元，购置教学实验仪器设备2000套，其他设施设备500套；（4）投资8000万元，配建其他附属设施。新增学位3000个。</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40000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34"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21</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紫阳县毛坝中学</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完全中学</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（1）投资1200万元，新建</w:t>
            </w:r>
            <w:r>
              <w:rPr>
                <w:rFonts w:hint="eastAsia" w:ascii="宋体" w:hAnsi="宋体" w:cs="宋体"/>
                <w:sz w:val="21"/>
                <w:szCs w:val="21"/>
                <w:lang w:val="en-US" w:eastAsia="zh-CN"/>
              </w:rPr>
              <w:t>学生</w:t>
            </w:r>
            <w:r>
              <w:rPr>
                <w:rFonts w:hint="eastAsia" w:ascii="宋体" w:hAnsi="宋体" w:eastAsia="宋体" w:cs="宋体"/>
                <w:sz w:val="21"/>
                <w:szCs w:val="21"/>
                <w:lang w:val="en-US" w:eastAsia="zh-CN"/>
              </w:rPr>
              <w:t>宿舍3100㎡；（2）投资400万元，购置教学实验仪器设备500套，其他设施设备200套。</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1600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22"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22</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紫阳县紫阳中学</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高级中学</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（1）投资6400万元，新建学生餐厅1650㎡、学生公寓5460㎡、教师周转宿舍4550㎡及其他附属设施配建；（2）投资1600万元，购置教学实验仪器设备600套，其他设施设备500套。</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8000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2967" w:type="dxa"/>
            <w:gridSpan w:val="6"/>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b/>
                <w:bCs/>
                <w:sz w:val="21"/>
                <w:szCs w:val="21"/>
                <w:lang w:val="en-US" w:eastAsia="zh-CN"/>
              </w:rPr>
              <w:t>四、职业教育优质融合发展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23</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紫阳县职教中心</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中等职业学校</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（1）投资11000万元，新建教学及辅助用房15360㎡，学生宿舍6630㎡，食堂、餐厅3730㎡，厕所80㎡，人防工程2606㎡</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设备用房1110㎡，滑坡支护抗滑桩32根120延米，边坡支护抗滑桩55根、竖肋186根800延米，基坑支护桩53根300延米，绿化6880㎡，活动场地2700㎡及附属设施配建；（2）投资1000万元，购置教学实训实习设备500套，其他设施设备600套。</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12000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2967" w:type="dxa"/>
            <w:gridSpan w:val="6"/>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五、特殊教育保障工程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紫阳县阳光学校</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特殊教育学校</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新建教学及辅助用房2000平方米及附属设施配建。</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500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67" w:type="dxa"/>
            <w:gridSpan w:val="6"/>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b/>
                <w:bCs/>
                <w:sz w:val="21"/>
                <w:szCs w:val="21"/>
                <w:lang w:val="en-US" w:eastAsia="zh-CN"/>
              </w:rPr>
              <w:t>六、体育设施惠民工程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紫阳县公共体育场</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公共体育场</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新建、改扩建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建设400米8道标准环跑运动场，内含11人制标准足球场，配套建设容纳观众2000名的看台。</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8000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8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26</w:t>
            </w:r>
          </w:p>
        </w:tc>
        <w:tc>
          <w:tcPr>
            <w:tcW w:w="1411"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紫阳县健身步道项目</w:t>
            </w:r>
          </w:p>
        </w:tc>
        <w:tc>
          <w:tcPr>
            <w:tcW w:w="1105"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健身步道</w:t>
            </w:r>
          </w:p>
        </w:tc>
        <w:tc>
          <w:tcPr>
            <w:tcW w:w="903" w:type="dxa"/>
            <w:shd w:val="clear" w:color="auto" w:fill="auto"/>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新建、改扩建</w:t>
            </w:r>
          </w:p>
        </w:tc>
        <w:tc>
          <w:tcPr>
            <w:tcW w:w="7604" w:type="dxa"/>
            <w:shd w:val="clear" w:color="auto" w:fill="auto"/>
            <w:vAlign w:val="center"/>
          </w:tcPr>
          <w:p>
            <w:pPr>
              <w:pStyle w:val="16"/>
              <w:keepNext w:val="0"/>
              <w:keepLines w:val="0"/>
              <w:suppressLineNumbers w:val="0"/>
              <w:bidi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lang w:val="en-US" w:eastAsia="zh-CN"/>
              </w:rPr>
              <w:t>新建县城江南、西门河新区健走步道18公里；改建县城江南登山步道5公里，健走步道5公里，配建标识牌300块；新建茶山自行车骑行步道，长30公里，配套建设厕所、休息区、安全防护、绿化及应急设施场地。</w:t>
            </w:r>
          </w:p>
        </w:tc>
        <w:tc>
          <w:tcPr>
            <w:tcW w:w="1157" w:type="dxa"/>
            <w:shd w:val="clear" w:color="auto" w:fill="auto"/>
            <w:noWrap/>
            <w:vAlign w:val="center"/>
          </w:tcPr>
          <w:p>
            <w:pPr>
              <w:pStyle w:val="16"/>
              <w:keepNext w:val="0"/>
              <w:keepLines w:val="0"/>
              <w:suppressLineNumbers w:val="0"/>
              <w:bidi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0</w:t>
            </w:r>
            <w:r>
              <w:rPr>
                <w:rFonts w:hint="eastAsia" w:ascii="宋体" w:hAnsi="宋体" w:eastAsia="宋体" w:cs="宋体"/>
                <w:sz w:val="21"/>
                <w:szCs w:val="21"/>
                <w:lang w:val="en-US" w:eastAsia="zh-CN"/>
              </w:rPr>
              <w:t>00</w:t>
            </w:r>
          </w:p>
        </w:tc>
      </w:tr>
    </w:tbl>
    <w:p>
      <w:pPr>
        <w:pStyle w:val="2"/>
        <w:ind w:left="0" w:leftChars="0" w:firstLine="0" w:firstLineChars="0"/>
        <w:rPr>
          <w:rFonts w:hint="default"/>
          <w:lang w:val="en-US" w:eastAsia="zh-CN"/>
        </w:rPr>
      </w:pPr>
    </w:p>
    <w:sectPr>
      <w:pgSz w:w="16838" w:h="11906" w:orient="landscape"/>
      <w:pgMar w:top="1587" w:right="2098" w:bottom="1474" w:left="1984"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94"/>
      </w:pPr>
      <w:r>
        <w:separator/>
      </w:r>
    </w:p>
  </w:endnote>
  <w:endnote w:type="continuationSeparator" w:id="1">
    <w:p>
      <w:pPr>
        <w:spacing w:line="240" w:lineRule="auto"/>
        <w:ind w:firstLine="59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4"/>
                              <w:szCs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sz w:val="24"/>
                        <w:szCs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94"/>
      </w:pPr>
      <w:r>
        <w:separator/>
      </w:r>
    </w:p>
  </w:footnote>
  <w:footnote w:type="continuationSeparator" w:id="1">
    <w:p>
      <w:pPr>
        <w:spacing w:line="360" w:lineRule="auto"/>
        <w:ind w:firstLine="59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C3F813"/>
    <w:multiLevelType w:val="singleLevel"/>
    <w:tmpl w:val="95C3F813"/>
    <w:lvl w:ilvl="0" w:tentative="0">
      <w:start w:val="1"/>
      <w:numFmt w:val="chineseCounting"/>
      <w:suff w:val="nothing"/>
      <w:lvlText w:val="%1、"/>
      <w:lvlJc w:val="left"/>
      <w:pPr>
        <w:ind w:left="220"/>
      </w:pPr>
      <w:rPr>
        <w:rFonts w:hint="eastAsia"/>
      </w:rPr>
    </w:lvl>
  </w:abstractNum>
  <w:abstractNum w:abstractNumId="1">
    <w:nsid w:val="C29D3359"/>
    <w:multiLevelType w:val="singleLevel"/>
    <w:tmpl w:val="C29D3359"/>
    <w:lvl w:ilvl="0" w:tentative="0">
      <w:start w:val="1"/>
      <w:numFmt w:val="chineseCounting"/>
      <w:suff w:val="nothing"/>
      <w:lvlText w:val="%1、"/>
      <w:lvlJc w:val="left"/>
      <w:rPr>
        <w:rFonts w:hint="eastAsia"/>
      </w:rPr>
    </w:lvl>
  </w:abstractNum>
  <w:abstractNum w:abstractNumId="2">
    <w:nsid w:val="CD34540E"/>
    <w:multiLevelType w:val="singleLevel"/>
    <w:tmpl w:val="CD34540E"/>
    <w:lvl w:ilvl="0" w:tentative="0">
      <w:start w:val="6"/>
      <w:numFmt w:val="chineseCounting"/>
      <w:suff w:val="nothing"/>
      <w:lvlText w:val="%1、"/>
      <w:lvlJc w:val="left"/>
      <w:rPr>
        <w:rFonts w:hint="eastAsia"/>
      </w:rPr>
    </w:lvl>
  </w:abstractNum>
  <w:abstractNum w:abstractNumId="3">
    <w:nsid w:val="DAAAD1B6"/>
    <w:multiLevelType w:val="singleLevel"/>
    <w:tmpl w:val="DAAAD1B6"/>
    <w:lvl w:ilvl="0" w:tentative="0">
      <w:start w:val="1"/>
      <w:numFmt w:val="chineseCounting"/>
      <w:suff w:val="nothing"/>
      <w:lvlText w:val="%1、"/>
      <w:lvlJc w:val="left"/>
      <w:pPr>
        <w:ind w:left="220"/>
      </w:pPr>
      <w:rPr>
        <w:rFonts w:hint="eastAsia"/>
      </w:rPr>
    </w:lvl>
  </w:abstractNum>
  <w:abstractNum w:abstractNumId="4">
    <w:nsid w:val="EE58AD28"/>
    <w:multiLevelType w:val="singleLevel"/>
    <w:tmpl w:val="EE58AD28"/>
    <w:lvl w:ilvl="0" w:tentative="0">
      <w:start w:val="2"/>
      <w:numFmt w:val="chineseCounting"/>
      <w:suff w:val="space"/>
      <w:lvlText w:val="第%1章"/>
      <w:lvlJc w:val="left"/>
      <w:rPr>
        <w:rFonts w:hint="eastAsia" w:ascii="黑体" w:hAnsi="黑体" w:eastAsia="黑体" w:cs="黑体"/>
      </w:rPr>
    </w:lvl>
  </w:abstractNum>
  <w:abstractNum w:abstractNumId="5">
    <w:nsid w:val="53BC480A"/>
    <w:multiLevelType w:val="singleLevel"/>
    <w:tmpl w:val="53BC480A"/>
    <w:lvl w:ilvl="0" w:tentative="0">
      <w:start w:val="1"/>
      <w:numFmt w:val="chineseCounting"/>
      <w:suff w:val="nothing"/>
      <w:lvlText w:val="%1、"/>
      <w:lvlJc w:val="left"/>
      <w:pPr>
        <w:ind w:left="220"/>
      </w:pPr>
      <w:rPr>
        <w:rFonts w:hint="eastAsia"/>
      </w:rPr>
    </w:lvl>
  </w:abstractNum>
  <w:abstractNum w:abstractNumId="6">
    <w:nsid w:val="54AEF70D"/>
    <w:multiLevelType w:val="singleLevel"/>
    <w:tmpl w:val="54AEF70D"/>
    <w:lvl w:ilvl="0" w:tentative="0">
      <w:start w:val="3"/>
      <w:numFmt w:val="chineseCounting"/>
      <w:suff w:val="space"/>
      <w:lvlText w:val="第%1章"/>
      <w:lvlJc w:val="left"/>
      <w:rPr>
        <w:rFonts w:hint="eastAsia" w:ascii="黑体" w:hAnsi="黑体" w:eastAsia="黑体" w:cs="黑体"/>
        <w:b w:val="0"/>
        <w:bCs w:val="0"/>
      </w:r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ZTM2YWNhMmMzMzU4MGRkYTJhZTg5ZTI5MTA3NzIifQ=="/>
  </w:docVars>
  <w:rsids>
    <w:rsidRoot w:val="00000000"/>
    <w:rsid w:val="00264D94"/>
    <w:rsid w:val="0036654B"/>
    <w:rsid w:val="00583437"/>
    <w:rsid w:val="006201F4"/>
    <w:rsid w:val="0066795B"/>
    <w:rsid w:val="00732078"/>
    <w:rsid w:val="007C2CDB"/>
    <w:rsid w:val="007F5B86"/>
    <w:rsid w:val="009224FE"/>
    <w:rsid w:val="009364BC"/>
    <w:rsid w:val="009C337D"/>
    <w:rsid w:val="00B11D04"/>
    <w:rsid w:val="00C26871"/>
    <w:rsid w:val="00C6664C"/>
    <w:rsid w:val="00F907CF"/>
    <w:rsid w:val="01066A48"/>
    <w:rsid w:val="010E76B5"/>
    <w:rsid w:val="01102559"/>
    <w:rsid w:val="01161381"/>
    <w:rsid w:val="01164C6F"/>
    <w:rsid w:val="01344028"/>
    <w:rsid w:val="015B772A"/>
    <w:rsid w:val="01671145"/>
    <w:rsid w:val="01710365"/>
    <w:rsid w:val="01853E11"/>
    <w:rsid w:val="01DA16D0"/>
    <w:rsid w:val="01EC78C5"/>
    <w:rsid w:val="01FD703B"/>
    <w:rsid w:val="02007ABC"/>
    <w:rsid w:val="021968E1"/>
    <w:rsid w:val="022950E4"/>
    <w:rsid w:val="023870D5"/>
    <w:rsid w:val="024617F2"/>
    <w:rsid w:val="024912E2"/>
    <w:rsid w:val="024F7C09"/>
    <w:rsid w:val="02533F0F"/>
    <w:rsid w:val="025739FF"/>
    <w:rsid w:val="02587C53"/>
    <w:rsid w:val="02605F1D"/>
    <w:rsid w:val="0284056C"/>
    <w:rsid w:val="028F7400"/>
    <w:rsid w:val="028F7BE5"/>
    <w:rsid w:val="02A31EB9"/>
    <w:rsid w:val="02A429BD"/>
    <w:rsid w:val="02A97FD3"/>
    <w:rsid w:val="02B01361"/>
    <w:rsid w:val="02C2378E"/>
    <w:rsid w:val="02C95F7F"/>
    <w:rsid w:val="02DC2156"/>
    <w:rsid w:val="03123F09"/>
    <w:rsid w:val="03247659"/>
    <w:rsid w:val="032B6C3A"/>
    <w:rsid w:val="03457CFC"/>
    <w:rsid w:val="034F46D6"/>
    <w:rsid w:val="03681C3C"/>
    <w:rsid w:val="037D6D74"/>
    <w:rsid w:val="03912F41"/>
    <w:rsid w:val="03A52548"/>
    <w:rsid w:val="03AA5DB1"/>
    <w:rsid w:val="03AD58A1"/>
    <w:rsid w:val="03B44E81"/>
    <w:rsid w:val="03C07382"/>
    <w:rsid w:val="03C76963"/>
    <w:rsid w:val="03D1333D"/>
    <w:rsid w:val="03EA7830"/>
    <w:rsid w:val="03EC38C8"/>
    <w:rsid w:val="03F43528"/>
    <w:rsid w:val="041863A5"/>
    <w:rsid w:val="046C4ECF"/>
    <w:rsid w:val="049A7BD3"/>
    <w:rsid w:val="04A0038C"/>
    <w:rsid w:val="04A86C0C"/>
    <w:rsid w:val="04B92065"/>
    <w:rsid w:val="04BD1B14"/>
    <w:rsid w:val="04C17856"/>
    <w:rsid w:val="04CE06B4"/>
    <w:rsid w:val="04E84DE3"/>
    <w:rsid w:val="04E95CAA"/>
    <w:rsid w:val="05123C0E"/>
    <w:rsid w:val="051F632A"/>
    <w:rsid w:val="052F5C5F"/>
    <w:rsid w:val="05377B18"/>
    <w:rsid w:val="05483AD3"/>
    <w:rsid w:val="054D52F7"/>
    <w:rsid w:val="05573D16"/>
    <w:rsid w:val="0559183C"/>
    <w:rsid w:val="057E12A3"/>
    <w:rsid w:val="05900FD6"/>
    <w:rsid w:val="059315E2"/>
    <w:rsid w:val="059565ED"/>
    <w:rsid w:val="059C5BCD"/>
    <w:rsid w:val="05A56E6E"/>
    <w:rsid w:val="05AF5900"/>
    <w:rsid w:val="05B128FD"/>
    <w:rsid w:val="05B72A07"/>
    <w:rsid w:val="05BC001D"/>
    <w:rsid w:val="05C173E2"/>
    <w:rsid w:val="05F80E4E"/>
    <w:rsid w:val="05F94DCD"/>
    <w:rsid w:val="05FA5747"/>
    <w:rsid w:val="06085010"/>
    <w:rsid w:val="06092B1B"/>
    <w:rsid w:val="06110369"/>
    <w:rsid w:val="061834A6"/>
    <w:rsid w:val="064C13A1"/>
    <w:rsid w:val="066C1A43"/>
    <w:rsid w:val="066E7569"/>
    <w:rsid w:val="068E5516"/>
    <w:rsid w:val="069114AA"/>
    <w:rsid w:val="06930D7E"/>
    <w:rsid w:val="06A765D7"/>
    <w:rsid w:val="06C21663"/>
    <w:rsid w:val="06C4362D"/>
    <w:rsid w:val="06C61153"/>
    <w:rsid w:val="06C673A5"/>
    <w:rsid w:val="06CC603E"/>
    <w:rsid w:val="06D27AF8"/>
    <w:rsid w:val="06E94E42"/>
    <w:rsid w:val="06E96BF0"/>
    <w:rsid w:val="07026C51"/>
    <w:rsid w:val="070E2AFA"/>
    <w:rsid w:val="071C5217"/>
    <w:rsid w:val="071E0F8F"/>
    <w:rsid w:val="07287718"/>
    <w:rsid w:val="072916E2"/>
    <w:rsid w:val="072B0FB7"/>
    <w:rsid w:val="07683FB9"/>
    <w:rsid w:val="07697D31"/>
    <w:rsid w:val="07E35D35"/>
    <w:rsid w:val="07E55609"/>
    <w:rsid w:val="07EB1AD3"/>
    <w:rsid w:val="08117088"/>
    <w:rsid w:val="08233007"/>
    <w:rsid w:val="082A5712"/>
    <w:rsid w:val="08326375"/>
    <w:rsid w:val="08362309"/>
    <w:rsid w:val="084A5DB4"/>
    <w:rsid w:val="085F70E4"/>
    <w:rsid w:val="08612C53"/>
    <w:rsid w:val="086445DB"/>
    <w:rsid w:val="08747B08"/>
    <w:rsid w:val="087F5A5E"/>
    <w:rsid w:val="087F780C"/>
    <w:rsid w:val="08800229"/>
    <w:rsid w:val="08836BD0"/>
    <w:rsid w:val="08B60D54"/>
    <w:rsid w:val="08B6781C"/>
    <w:rsid w:val="08C47915"/>
    <w:rsid w:val="08D12032"/>
    <w:rsid w:val="08D4742C"/>
    <w:rsid w:val="08DC0768"/>
    <w:rsid w:val="08DD7789"/>
    <w:rsid w:val="08DE0FD0"/>
    <w:rsid w:val="08EF4DF5"/>
    <w:rsid w:val="08FA50E4"/>
    <w:rsid w:val="0904539A"/>
    <w:rsid w:val="0912783F"/>
    <w:rsid w:val="091F073D"/>
    <w:rsid w:val="093F4124"/>
    <w:rsid w:val="09436A8B"/>
    <w:rsid w:val="09672B05"/>
    <w:rsid w:val="096B5FE2"/>
    <w:rsid w:val="0970184A"/>
    <w:rsid w:val="097C2DFE"/>
    <w:rsid w:val="09811362"/>
    <w:rsid w:val="098F0AE3"/>
    <w:rsid w:val="09A47C6F"/>
    <w:rsid w:val="09AE3C1C"/>
    <w:rsid w:val="09AF5ECF"/>
    <w:rsid w:val="09BC13E4"/>
    <w:rsid w:val="09BC4A90"/>
    <w:rsid w:val="09C0632E"/>
    <w:rsid w:val="09C300BA"/>
    <w:rsid w:val="09C33728"/>
    <w:rsid w:val="09CB4CD3"/>
    <w:rsid w:val="09DF3C96"/>
    <w:rsid w:val="09EA5159"/>
    <w:rsid w:val="09FE6E56"/>
    <w:rsid w:val="0A1016FD"/>
    <w:rsid w:val="0A1246B0"/>
    <w:rsid w:val="0A2148F3"/>
    <w:rsid w:val="0A254F78"/>
    <w:rsid w:val="0A283ED3"/>
    <w:rsid w:val="0A5627EE"/>
    <w:rsid w:val="0A5922DF"/>
    <w:rsid w:val="0A595E3B"/>
    <w:rsid w:val="0A656ED5"/>
    <w:rsid w:val="0A765B64"/>
    <w:rsid w:val="0A841306"/>
    <w:rsid w:val="0A8A693C"/>
    <w:rsid w:val="0A9926DB"/>
    <w:rsid w:val="0AA07F0D"/>
    <w:rsid w:val="0AA3355A"/>
    <w:rsid w:val="0AA97090"/>
    <w:rsid w:val="0AC21C32"/>
    <w:rsid w:val="0AC428B6"/>
    <w:rsid w:val="0B0A4392"/>
    <w:rsid w:val="0B0B16BC"/>
    <w:rsid w:val="0B0F299D"/>
    <w:rsid w:val="0B183F48"/>
    <w:rsid w:val="0B1C3A38"/>
    <w:rsid w:val="0B253CB7"/>
    <w:rsid w:val="0B385D80"/>
    <w:rsid w:val="0B3F117A"/>
    <w:rsid w:val="0B446AEB"/>
    <w:rsid w:val="0B495EAF"/>
    <w:rsid w:val="0B4B60CB"/>
    <w:rsid w:val="0B786794"/>
    <w:rsid w:val="0B7C44D7"/>
    <w:rsid w:val="0B7D061D"/>
    <w:rsid w:val="0BA15CEB"/>
    <w:rsid w:val="0BAE77C9"/>
    <w:rsid w:val="0BB2757F"/>
    <w:rsid w:val="0BD709D6"/>
    <w:rsid w:val="0BE07B1B"/>
    <w:rsid w:val="0BE6222B"/>
    <w:rsid w:val="0BF56037"/>
    <w:rsid w:val="0C104C1F"/>
    <w:rsid w:val="0C236700"/>
    <w:rsid w:val="0C27068D"/>
    <w:rsid w:val="0C28640C"/>
    <w:rsid w:val="0C2F1549"/>
    <w:rsid w:val="0C605926"/>
    <w:rsid w:val="0C6A432F"/>
    <w:rsid w:val="0C6B5C82"/>
    <w:rsid w:val="0C6C00A7"/>
    <w:rsid w:val="0C727688"/>
    <w:rsid w:val="0C880C59"/>
    <w:rsid w:val="0C9A3917"/>
    <w:rsid w:val="0CA43CE5"/>
    <w:rsid w:val="0CAD246E"/>
    <w:rsid w:val="0CB821FB"/>
    <w:rsid w:val="0CC04897"/>
    <w:rsid w:val="0CCC76D6"/>
    <w:rsid w:val="0CEE31B2"/>
    <w:rsid w:val="0CEF2A86"/>
    <w:rsid w:val="0D0F2432"/>
    <w:rsid w:val="0D3253B3"/>
    <w:rsid w:val="0D466B4A"/>
    <w:rsid w:val="0D470B14"/>
    <w:rsid w:val="0D5A0848"/>
    <w:rsid w:val="0D605732"/>
    <w:rsid w:val="0D6671EC"/>
    <w:rsid w:val="0D6C6ADC"/>
    <w:rsid w:val="0D7A2C98"/>
    <w:rsid w:val="0D8E04B2"/>
    <w:rsid w:val="0D8E6743"/>
    <w:rsid w:val="0D906017"/>
    <w:rsid w:val="0DBD1C1A"/>
    <w:rsid w:val="0DD51EAF"/>
    <w:rsid w:val="0DE620DB"/>
    <w:rsid w:val="0DED6FC6"/>
    <w:rsid w:val="0DF052B3"/>
    <w:rsid w:val="0DF93BBD"/>
    <w:rsid w:val="0DFE5677"/>
    <w:rsid w:val="0E197DBB"/>
    <w:rsid w:val="0E2E1D8D"/>
    <w:rsid w:val="0E342E47"/>
    <w:rsid w:val="0E49262D"/>
    <w:rsid w:val="0E4D215A"/>
    <w:rsid w:val="0E511C4E"/>
    <w:rsid w:val="0E72396F"/>
    <w:rsid w:val="0E7C47EE"/>
    <w:rsid w:val="0E820056"/>
    <w:rsid w:val="0E9658AF"/>
    <w:rsid w:val="0E9C279A"/>
    <w:rsid w:val="0EAA4EB7"/>
    <w:rsid w:val="0EB977F0"/>
    <w:rsid w:val="0EBD108E"/>
    <w:rsid w:val="0EC43AF4"/>
    <w:rsid w:val="0EC87A33"/>
    <w:rsid w:val="0EEC1973"/>
    <w:rsid w:val="0EF12452"/>
    <w:rsid w:val="0F024CF3"/>
    <w:rsid w:val="0F264E85"/>
    <w:rsid w:val="0F2E7896"/>
    <w:rsid w:val="0F3375A2"/>
    <w:rsid w:val="0F360E40"/>
    <w:rsid w:val="0F3A7513"/>
    <w:rsid w:val="0F4F5A5E"/>
    <w:rsid w:val="0F7A0D2D"/>
    <w:rsid w:val="0F7F00F1"/>
    <w:rsid w:val="0F953DB9"/>
    <w:rsid w:val="0F957915"/>
    <w:rsid w:val="0FAB0EE6"/>
    <w:rsid w:val="0FB029A1"/>
    <w:rsid w:val="0FB21749"/>
    <w:rsid w:val="0FCD1B8A"/>
    <w:rsid w:val="0FD34C8F"/>
    <w:rsid w:val="0FD97434"/>
    <w:rsid w:val="0FE10DAC"/>
    <w:rsid w:val="0FF73936"/>
    <w:rsid w:val="10086339"/>
    <w:rsid w:val="100D394F"/>
    <w:rsid w:val="100D7DF3"/>
    <w:rsid w:val="101E5B5C"/>
    <w:rsid w:val="102E38C6"/>
    <w:rsid w:val="103435D2"/>
    <w:rsid w:val="104245E6"/>
    <w:rsid w:val="104B386B"/>
    <w:rsid w:val="10517C44"/>
    <w:rsid w:val="1058777E"/>
    <w:rsid w:val="107C2883"/>
    <w:rsid w:val="1081433D"/>
    <w:rsid w:val="1090632E"/>
    <w:rsid w:val="10A84015"/>
    <w:rsid w:val="10AF2C58"/>
    <w:rsid w:val="10BD33AC"/>
    <w:rsid w:val="10C35DC2"/>
    <w:rsid w:val="10CD7CA8"/>
    <w:rsid w:val="10DB57FB"/>
    <w:rsid w:val="10DE4159"/>
    <w:rsid w:val="10F23437"/>
    <w:rsid w:val="11390774"/>
    <w:rsid w:val="1162295B"/>
    <w:rsid w:val="116A324B"/>
    <w:rsid w:val="116B3023"/>
    <w:rsid w:val="118E6D12"/>
    <w:rsid w:val="11963E18"/>
    <w:rsid w:val="119D598C"/>
    <w:rsid w:val="11A025A1"/>
    <w:rsid w:val="11B86BB3"/>
    <w:rsid w:val="11B86D77"/>
    <w:rsid w:val="11C24C0D"/>
    <w:rsid w:val="11C5449D"/>
    <w:rsid w:val="11C72B5F"/>
    <w:rsid w:val="11ED4C12"/>
    <w:rsid w:val="12042B30"/>
    <w:rsid w:val="12072620"/>
    <w:rsid w:val="12137217"/>
    <w:rsid w:val="121D1E44"/>
    <w:rsid w:val="12254CFC"/>
    <w:rsid w:val="123245ED"/>
    <w:rsid w:val="123F000C"/>
    <w:rsid w:val="12415B32"/>
    <w:rsid w:val="12706417"/>
    <w:rsid w:val="127C6C43"/>
    <w:rsid w:val="12816535"/>
    <w:rsid w:val="128B5E33"/>
    <w:rsid w:val="129711ED"/>
    <w:rsid w:val="12BE0250"/>
    <w:rsid w:val="12C02EFB"/>
    <w:rsid w:val="12D70244"/>
    <w:rsid w:val="12D90460"/>
    <w:rsid w:val="12DA435D"/>
    <w:rsid w:val="12DE15D3"/>
    <w:rsid w:val="12F2507E"/>
    <w:rsid w:val="12F26E2C"/>
    <w:rsid w:val="13086650"/>
    <w:rsid w:val="13117BFA"/>
    <w:rsid w:val="131327BE"/>
    <w:rsid w:val="131F5D75"/>
    <w:rsid w:val="134B1F88"/>
    <w:rsid w:val="13533D6F"/>
    <w:rsid w:val="135D0ACA"/>
    <w:rsid w:val="13653AA2"/>
    <w:rsid w:val="136A730B"/>
    <w:rsid w:val="13912AE9"/>
    <w:rsid w:val="13BB4C89"/>
    <w:rsid w:val="13D21C0B"/>
    <w:rsid w:val="13D6674E"/>
    <w:rsid w:val="13DA4BC0"/>
    <w:rsid w:val="13E42C19"/>
    <w:rsid w:val="13F866C4"/>
    <w:rsid w:val="141D081A"/>
    <w:rsid w:val="14261672"/>
    <w:rsid w:val="142676D5"/>
    <w:rsid w:val="144C07BE"/>
    <w:rsid w:val="145E6E6F"/>
    <w:rsid w:val="146B6E9D"/>
    <w:rsid w:val="14706BBF"/>
    <w:rsid w:val="147541B9"/>
    <w:rsid w:val="14904534"/>
    <w:rsid w:val="149208C7"/>
    <w:rsid w:val="14956609"/>
    <w:rsid w:val="149B41B6"/>
    <w:rsid w:val="14A8633C"/>
    <w:rsid w:val="14C15ED1"/>
    <w:rsid w:val="14CA11C7"/>
    <w:rsid w:val="14D01011"/>
    <w:rsid w:val="14D64C58"/>
    <w:rsid w:val="14EB7FD7"/>
    <w:rsid w:val="14F20A8A"/>
    <w:rsid w:val="15094A6B"/>
    <w:rsid w:val="155344FA"/>
    <w:rsid w:val="155433DB"/>
    <w:rsid w:val="155F013F"/>
    <w:rsid w:val="156D6C3E"/>
    <w:rsid w:val="15932B49"/>
    <w:rsid w:val="15A563D8"/>
    <w:rsid w:val="15B66837"/>
    <w:rsid w:val="15BE749A"/>
    <w:rsid w:val="15E46F00"/>
    <w:rsid w:val="15E6711C"/>
    <w:rsid w:val="15FF3D3A"/>
    <w:rsid w:val="160937DE"/>
    <w:rsid w:val="161B48EC"/>
    <w:rsid w:val="162437A1"/>
    <w:rsid w:val="163A7083"/>
    <w:rsid w:val="166E7112"/>
    <w:rsid w:val="1672275E"/>
    <w:rsid w:val="167732E3"/>
    <w:rsid w:val="16777D74"/>
    <w:rsid w:val="16816E45"/>
    <w:rsid w:val="168D7598"/>
    <w:rsid w:val="169070D5"/>
    <w:rsid w:val="169E0EC8"/>
    <w:rsid w:val="169F1079"/>
    <w:rsid w:val="16AC51D4"/>
    <w:rsid w:val="16AE15BF"/>
    <w:rsid w:val="16C11714"/>
    <w:rsid w:val="16E11692"/>
    <w:rsid w:val="17035AAC"/>
    <w:rsid w:val="170C59DF"/>
    <w:rsid w:val="17173305"/>
    <w:rsid w:val="1719707D"/>
    <w:rsid w:val="172872C1"/>
    <w:rsid w:val="17514A69"/>
    <w:rsid w:val="17575DF8"/>
    <w:rsid w:val="17667DE9"/>
    <w:rsid w:val="176F3141"/>
    <w:rsid w:val="178A1D29"/>
    <w:rsid w:val="179B7A92"/>
    <w:rsid w:val="17B84AE8"/>
    <w:rsid w:val="17BB0135"/>
    <w:rsid w:val="17BE19D3"/>
    <w:rsid w:val="17C4465B"/>
    <w:rsid w:val="17C738B8"/>
    <w:rsid w:val="17E46B3D"/>
    <w:rsid w:val="17EA0A1A"/>
    <w:rsid w:val="17EB2EF1"/>
    <w:rsid w:val="17F673BF"/>
    <w:rsid w:val="18284FA3"/>
    <w:rsid w:val="1856495D"/>
    <w:rsid w:val="186A5AA4"/>
    <w:rsid w:val="186E33F9"/>
    <w:rsid w:val="18702CCD"/>
    <w:rsid w:val="18866623"/>
    <w:rsid w:val="188B7E25"/>
    <w:rsid w:val="189270E7"/>
    <w:rsid w:val="18957D76"/>
    <w:rsid w:val="189664AC"/>
    <w:rsid w:val="189A41EE"/>
    <w:rsid w:val="189B3AC2"/>
    <w:rsid w:val="189C1D14"/>
    <w:rsid w:val="18C94AD3"/>
    <w:rsid w:val="18CE3E98"/>
    <w:rsid w:val="18D55226"/>
    <w:rsid w:val="18DA6CE0"/>
    <w:rsid w:val="18F25579"/>
    <w:rsid w:val="18F25DD8"/>
    <w:rsid w:val="190873AA"/>
    <w:rsid w:val="190A6434"/>
    <w:rsid w:val="19121FD6"/>
    <w:rsid w:val="1931645A"/>
    <w:rsid w:val="193A32DB"/>
    <w:rsid w:val="194B54E8"/>
    <w:rsid w:val="196071E6"/>
    <w:rsid w:val="196B16E7"/>
    <w:rsid w:val="196B7938"/>
    <w:rsid w:val="196D2C99"/>
    <w:rsid w:val="198527A8"/>
    <w:rsid w:val="198B038F"/>
    <w:rsid w:val="19923DF5"/>
    <w:rsid w:val="19A03A86"/>
    <w:rsid w:val="19A05790"/>
    <w:rsid w:val="19A77F92"/>
    <w:rsid w:val="19AD7F51"/>
    <w:rsid w:val="19BD0194"/>
    <w:rsid w:val="19E420CD"/>
    <w:rsid w:val="19E8120E"/>
    <w:rsid w:val="1A023DF9"/>
    <w:rsid w:val="1A041314"/>
    <w:rsid w:val="1A147FD0"/>
    <w:rsid w:val="1A255D39"/>
    <w:rsid w:val="1A26242B"/>
    <w:rsid w:val="1A2C74FC"/>
    <w:rsid w:val="1A312930"/>
    <w:rsid w:val="1A46462D"/>
    <w:rsid w:val="1A773C92"/>
    <w:rsid w:val="1A8E38DF"/>
    <w:rsid w:val="1A924939"/>
    <w:rsid w:val="1AAF3C99"/>
    <w:rsid w:val="1AC6778B"/>
    <w:rsid w:val="1ADE4866"/>
    <w:rsid w:val="1AE94FB9"/>
    <w:rsid w:val="1AF5570C"/>
    <w:rsid w:val="1AFC6A9A"/>
    <w:rsid w:val="1B1517FB"/>
    <w:rsid w:val="1B430B6D"/>
    <w:rsid w:val="1B494EEE"/>
    <w:rsid w:val="1B4E306E"/>
    <w:rsid w:val="1B680151"/>
    <w:rsid w:val="1B6805D3"/>
    <w:rsid w:val="1B952083"/>
    <w:rsid w:val="1BC11B31"/>
    <w:rsid w:val="1BC577D4"/>
    <w:rsid w:val="1BCB1B5A"/>
    <w:rsid w:val="1C077DEC"/>
    <w:rsid w:val="1C1F09D8"/>
    <w:rsid w:val="1C274FAD"/>
    <w:rsid w:val="1C2C303B"/>
    <w:rsid w:val="1C542906"/>
    <w:rsid w:val="1C5F19D6"/>
    <w:rsid w:val="1C60574F"/>
    <w:rsid w:val="1C6E5776"/>
    <w:rsid w:val="1C8E2B70"/>
    <w:rsid w:val="1C9176B6"/>
    <w:rsid w:val="1C9F1DD3"/>
    <w:rsid w:val="1CAD0994"/>
    <w:rsid w:val="1CAD5857"/>
    <w:rsid w:val="1CB6536F"/>
    <w:rsid w:val="1CCE4466"/>
    <w:rsid w:val="1CDF6673"/>
    <w:rsid w:val="1CFC0FD3"/>
    <w:rsid w:val="1CFD5F86"/>
    <w:rsid w:val="1D010337"/>
    <w:rsid w:val="1D1F1166"/>
    <w:rsid w:val="1D2B3667"/>
    <w:rsid w:val="1D61352C"/>
    <w:rsid w:val="1D65301C"/>
    <w:rsid w:val="1D7414B2"/>
    <w:rsid w:val="1D770A6C"/>
    <w:rsid w:val="1D792624"/>
    <w:rsid w:val="1D8B2357"/>
    <w:rsid w:val="1D8B67FB"/>
    <w:rsid w:val="1D9237BA"/>
    <w:rsid w:val="1DB01E37"/>
    <w:rsid w:val="1DB775F0"/>
    <w:rsid w:val="1DDD1F7A"/>
    <w:rsid w:val="1DE32193"/>
    <w:rsid w:val="1DE63A32"/>
    <w:rsid w:val="1DF61E7C"/>
    <w:rsid w:val="1DFE1DCF"/>
    <w:rsid w:val="1E0C793C"/>
    <w:rsid w:val="1E207A26"/>
    <w:rsid w:val="1E3801C0"/>
    <w:rsid w:val="1E3B1FCF"/>
    <w:rsid w:val="1E535EBD"/>
    <w:rsid w:val="1E5A31BE"/>
    <w:rsid w:val="1E6911D1"/>
    <w:rsid w:val="1E7A2AF8"/>
    <w:rsid w:val="1E9516DF"/>
    <w:rsid w:val="1EA90CE7"/>
    <w:rsid w:val="1EC10BC1"/>
    <w:rsid w:val="1ECE699F"/>
    <w:rsid w:val="1EDE00FA"/>
    <w:rsid w:val="1EE315B4"/>
    <w:rsid w:val="1F0625DD"/>
    <w:rsid w:val="1F28557B"/>
    <w:rsid w:val="1F2B79A5"/>
    <w:rsid w:val="1F3C4E89"/>
    <w:rsid w:val="1F40014D"/>
    <w:rsid w:val="1F4B6242"/>
    <w:rsid w:val="1F790AB5"/>
    <w:rsid w:val="1F8B663F"/>
    <w:rsid w:val="1F9E5F6A"/>
    <w:rsid w:val="1FAF7367"/>
    <w:rsid w:val="1FC276A6"/>
    <w:rsid w:val="1FCA53B9"/>
    <w:rsid w:val="1FD01024"/>
    <w:rsid w:val="1FE06210"/>
    <w:rsid w:val="1FEA7809"/>
    <w:rsid w:val="1FF14B5B"/>
    <w:rsid w:val="20073974"/>
    <w:rsid w:val="20087C8F"/>
    <w:rsid w:val="200D3846"/>
    <w:rsid w:val="20340A84"/>
    <w:rsid w:val="204213F3"/>
    <w:rsid w:val="20445BB4"/>
    <w:rsid w:val="2050481D"/>
    <w:rsid w:val="20615FBF"/>
    <w:rsid w:val="20805846"/>
    <w:rsid w:val="208C08C0"/>
    <w:rsid w:val="208D3906"/>
    <w:rsid w:val="208F215E"/>
    <w:rsid w:val="209D0D1F"/>
    <w:rsid w:val="209D2ACD"/>
    <w:rsid w:val="20EB1A8B"/>
    <w:rsid w:val="21251DC7"/>
    <w:rsid w:val="213C22E6"/>
    <w:rsid w:val="2144119B"/>
    <w:rsid w:val="215A4A7E"/>
    <w:rsid w:val="218667B9"/>
    <w:rsid w:val="2188543A"/>
    <w:rsid w:val="218E2416"/>
    <w:rsid w:val="21943723"/>
    <w:rsid w:val="21A11ADD"/>
    <w:rsid w:val="21A90843"/>
    <w:rsid w:val="21BF4CC5"/>
    <w:rsid w:val="21C1459A"/>
    <w:rsid w:val="21F4496F"/>
    <w:rsid w:val="220E6876"/>
    <w:rsid w:val="220F17A9"/>
    <w:rsid w:val="220F3557"/>
    <w:rsid w:val="221C3EC6"/>
    <w:rsid w:val="221D32BE"/>
    <w:rsid w:val="222F3BF9"/>
    <w:rsid w:val="22345D77"/>
    <w:rsid w:val="2237521F"/>
    <w:rsid w:val="22415B78"/>
    <w:rsid w:val="224E3A65"/>
    <w:rsid w:val="225943EA"/>
    <w:rsid w:val="22934188"/>
    <w:rsid w:val="229879F0"/>
    <w:rsid w:val="229D0535"/>
    <w:rsid w:val="22A146F2"/>
    <w:rsid w:val="22A53EBB"/>
    <w:rsid w:val="22AC2486"/>
    <w:rsid w:val="22B257B3"/>
    <w:rsid w:val="22BB36DF"/>
    <w:rsid w:val="22D4654E"/>
    <w:rsid w:val="22D8603F"/>
    <w:rsid w:val="22D9606C"/>
    <w:rsid w:val="22E26EBD"/>
    <w:rsid w:val="230961F8"/>
    <w:rsid w:val="23403BE4"/>
    <w:rsid w:val="235356C5"/>
    <w:rsid w:val="236432F8"/>
    <w:rsid w:val="2369481E"/>
    <w:rsid w:val="236A47C7"/>
    <w:rsid w:val="2392443F"/>
    <w:rsid w:val="23A3264F"/>
    <w:rsid w:val="23B95E70"/>
    <w:rsid w:val="23C10881"/>
    <w:rsid w:val="23CE2F9E"/>
    <w:rsid w:val="23F702A1"/>
    <w:rsid w:val="23F70746"/>
    <w:rsid w:val="24264234"/>
    <w:rsid w:val="2438465A"/>
    <w:rsid w:val="243B5CA8"/>
    <w:rsid w:val="243E45C7"/>
    <w:rsid w:val="2443398C"/>
    <w:rsid w:val="24635DDC"/>
    <w:rsid w:val="246456B0"/>
    <w:rsid w:val="249D7540"/>
    <w:rsid w:val="24A75104"/>
    <w:rsid w:val="24A85EE5"/>
    <w:rsid w:val="24B30B11"/>
    <w:rsid w:val="24BA10D5"/>
    <w:rsid w:val="24C26FA6"/>
    <w:rsid w:val="24ED38F7"/>
    <w:rsid w:val="24FD5766"/>
    <w:rsid w:val="250749B9"/>
    <w:rsid w:val="250A6257"/>
    <w:rsid w:val="251D5F8B"/>
    <w:rsid w:val="25253091"/>
    <w:rsid w:val="25284930"/>
    <w:rsid w:val="25290DD3"/>
    <w:rsid w:val="25302162"/>
    <w:rsid w:val="25366F5D"/>
    <w:rsid w:val="25467036"/>
    <w:rsid w:val="25513E86"/>
    <w:rsid w:val="255D549F"/>
    <w:rsid w:val="256911D0"/>
    <w:rsid w:val="256E4A38"/>
    <w:rsid w:val="25753827"/>
    <w:rsid w:val="25942F28"/>
    <w:rsid w:val="25A771B4"/>
    <w:rsid w:val="25BA62B0"/>
    <w:rsid w:val="25EB489C"/>
    <w:rsid w:val="25F16E51"/>
    <w:rsid w:val="25F82554"/>
    <w:rsid w:val="2604186E"/>
    <w:rsid w:val="261A4BC0"/>
    <w:rsid w:val="262D2207"/>
    <w:rsid w:val="262E5F76"/>
    <w:rsid w:val="265312E5"/>
    <w:rsid w:val="26555BF8"/>
    <w:rsid w:val="2657371E"/>
    <w:rsid w:val="265754CC"/>
    <w:rsid w:val="26A863C6"/>
    <w:rsid w:val="26C134E5"/>
    <w:rsid w:val="26D01D06"/>
    <w:rsid w:val="26D47CC3"/>
    <w:rsid w:val="26D62895"/>
    <w:rsid w:val="26E96CED"/>
    <w:rsid w:val="26FB054E"/>
    <w:rsid w:val="270513CC"/>
    <w:rsid w:val="270F3FF9"/>
    <w:rsid w:val="2729330D"/>
    <w:rsid w:val="27336140"/>
    <w:rsid w:val="273E668C"/>
    <w:rsid w:val="27455C6D"/>
    <w:rsid w:val="27582EC8"/>
    <w:rsid w:val="275A646F"/>
    <w:rsid w:val="275E27E6"/>
    <w:rsid w:val="2762237B"/>
    <w:rsid w:val="2784748A"/>
    <w:rsid w:val="279D1605"/>
    <w:rsid w:val="27C60B5C"/>
    <w:rsid w:val="27D50D9F"/>
    <w:rsid w:val="27F136FF"/>
    <w:rsid w:val="27F356C9"/>
    <w:rsid w:val="27F84A8D"/>
    <w:rsid w:val="2801337D"/>
    <w:rsid w:val="28100029"/>
    <w:rsid w:val="281A2C55"/>
    <w:rsid w:val="281C5F77"/>
    <w:rsid w:val="282F2A87"/>
    <w:rsid w:val="283755B5"/>
    <w:rsid w:val="28463A4A"/>
    <w:rsid w:val="2859377E"/>
    <w:rsid w:val="28773211"/>
    <w:rsid w:val="28773C04"/>
    <w:rsid w:val="2879797C"/>
    <w:rsid w:val="288D14AD"/>
    <w:rsid w:val="289C7B0E"/>
    <w:rsid w:val="28A04C76"/>
    <w:rsid w:val="28A644E9"/>
    <w:rsid w:val="28B84786"/>
    <w:rsid w:val="28BE422E"/>
    <w:rsid w:val="28D7521A"/>
    <w:rsid w:val="28D9625E"/>
    <w:rsid w:val="28FB65E3"/>
    <w:rsid w:val="290977AB"/>
    <w:rsid w:val="291C47AB"/>
    <w:rsid w:val="292C10A2"/>
    <w:rsid w:val="292E2DBA"/>
    <w:rsid w:val="29341AF5"/>
    <w:rsid w:val="293715E5"/>
    <w:rsid w:val="293B131C"/>
    <w:rsid w:val="29583A35"/>
    <w:rsid w:val="29644EF0"/>
    <w:rsid w:val="29784008"/>
    <w:rsid w:val="29826D04"/>
    <w:rsid w:val="2984379C"/>
    <w:rsid w:val="298467E7"/>
    <w:rsid w:val="29936749"/>
    <w:rsid w:val="299F1664"/>
    <w:rsid w:val="29AC7DF7"/>
    <w:rsid w:val="29B50E88"/>
    <w:rsid w:val="29C42E79"/>
    <w:rsid w:val="29DD218D"/>
    <w:rsid w:val="29DF5F05"/>
    <w:rsid w:val="29E277A3"/>
    <w:rsid w:val="29E36910"/>
    <w:rsid w:val="29E654E5"/>
    <w:rsid w:val="29E74DB9"/>
    <w:rsid w:val="29E8151E"/>
    <w:rsid w:val="29F80D74"/>
    <w:rsid w:val="29F826BD"/>
    <w:rsid w:val="29FF65A7"/>
    <w:rsid w:val="2A050A91"/>
    <w:rsid w:val="2A3C6EB3"/>
    <w:rsid w:val="2A6B59EA"/>
    <w:rsid w:val="2A781EB5"/>
    <w:rsid w:val="2A8E16D9"/>
    <w:rsid w:val="2AA55A1A"/>
    <w:rsid w:val="2AAA4765"/>
    <w:rsid w:val="2AAD1E03"/>
    <w:rsid w:val="2AB90504"/>
    <w:rsid w:val="2ACC32B2"/>
    <w:rsid w:val="2AE5579D"/>
    <w:rsid w:val="2B367DA6"/>
    <w:rsid w:val="2B4B6845"/>
    <w:rsid w:val="2B4C73F1"/>
    <w:rsid w:val="2B627B9F"/>
    <w:rsid w:val="2B6A165E"/>
    <w:rsid w:val="2B7D4771"/>
    <w:rsid w:val="2B9A6089"/>
    <w:rsid w:val="2BA07916"/>
    <w:rsid w:val="2BA15BAA"/>
    <w:rsid w:val="2BBE7D9C"/>
    <w:rsid w:val="2BEA0B91"/>
    <w:rsid w:val="2BF10171"/>
    <w:rsid w:val="2BF33824"/>
    <w:rsid w:val="2BFA5CD2"/>
    <w:rsid w:val="2C025EDA"/>
    <w:rsid w:val="2C071743"/>
    <w:rsid w:val="2C0E0D23"/>
    <w:rsid w:val="2C0F23A5"/>
    <w:rsid w:val="2C1E6D99"/>
    <w:rsid w:val="2C211CC7"/>
    <w:rsid w:val="2C2E6CCF"/>
    <w:rsid w:val="2C3D6F12"/>
    <w:rsid w:val="2C504E98"/>
    <w:rsid w:val="2C534414"/>
    <w:rsid w:val="2C5F50DB"/>
    <w:rsid w:val="2C666469"/>
    <w:rsid w:val="2C7F577D"/>
    <w:rsid w:val="2C901738"/>
    <w:rsid w:val="2CB03B88"/>
    <w:rsid w:val="2CD258AD"/>
    <w:rsid w:val="2CDA0C05"/>
    <w:rsid w:val="2CE51A84"/>
    <w:rsid w:val="2D104627"/>
    <w:rsid w:val="2D3502A9"/>
    <w:rsid w:val="2D3946C6"/>
    <w:rsid w:val="2D42460C"/>
    <w:rsid w:val="2D460049"/>
    <w:rsid w:val="2D5704A8"/>
    <w:rsid w:val="2D5B1D46"/>
    <w:rsid w:val="2D71156A"/>
    <w:rsid w:val="2D7828F8"/>
    <w:rsid w:val="2D796670"/>
    <w:rsid w:val="2D8A6187"/>
    <w:rsid w:val="2D8C63A3"/>
    <w:rsid w:val="2D9E7E85"/>
    <w:rsid w:val="2DA835ED"/>
    <w:rsid w:val="2DAF5BEE"/>
    <w:rsid w:val="2DC518B5"/>
    <w:rsid w:val="2DC72F38"/>
    <w:rsid w:val="2DCE2518"/>
    <w:rsid w:val="2DE81100"/>
    <w:rsid w:val="2DF92249"/>
    <w:rsid w:val="2E0047C5"/>
    <w:rsid w:val="2E0221C2"/>
    <w:rsid w:val="2E101C77"/>
    <w:rsid w:val="2E262354"/>
    <w:rsid w:val="2E5A3DAC"/>
    <w:rsid w:val="2E5F7614"/>
    <w:rsid w:val="2E6A0CF1"/>
    <w:rsid w:val="2E76495E"/>
    <w:rsid w:val="2E782484"/>
    <w:rsid w:val="2EA80FBB"/>
    <w:rsid w:val="2EA96AE1"/>
    <w:rsid w:val="2EC27BA3"/>
    <w:rsid w:val="2ED973C6"/>
    <w:rsid w:val="2EDA6C9B"/>
    <w:rsid w:val="2EDD678B"/>
    <w:rsid w:val="2EF7784D"/>
    <w:rsid w:val="2F0F2DE8"/>
    <w:rsid w:val="2F152201"/>
    <w:rsid w:val="2F261BD5"/>
    <w:rsid w:val="2F3740ED"/>
    <w:rsid w:val="2F5051AF"/>
    <w:rsid w:val="2F61560E"/>
    <w:rsid w:val="2F633134"/>
    <w:rsid w:val="2F6B1FE9"/>
    <w:rsid w:val="2F7013AD"/>
    <w:rsid w:val="2F77098D"/>
    <w:rsid w:val="2F82124B"/>
    <w:rsid w:val="2F977505"/>
    <w:rsid w:val="2FE77BFC"/>
    <w:rsid w:val="2FFC737A"/>
    <w:rsid w:val="303D5733"/>
    <w:rsid w:val="307055DE"/>
    <w:rsid w:val="307F796E"/>
    <w:rsid w:val="309A2B85"/>
    <w:rsid w:val="30A252AF"/>
    <w:rsid w:val="30C10112"/>
    <w:rsid w:val="30C17E43"/>
    <w:rsid w:val="30C50109"/>
    <w:rsid w:val="30CC6AB7"/>
    <w:rsid w:val="30D51E0F"/>
    <w:rsid w:val="30ED53AB"/>
    <w:rsid w:val="30F77FD8"/>
    <w:rsid w:val="31075DC8"/>
    <w:rsid w:val="311741D6"/>
    <w:rsid w:val="312B7C81"/>
    <w:rsid w:val="31357A44"/>
    <w:rsid w:val="313758DC"/>
    <w:rsid w:val="313E527B"/>
    <w:rsid w:val="316C4247"/>
    <w:rsid w:val="31A0241D"/>
    <w:rsid w:val="31AC796C"/>
    <w:rsid w:val="31B71515"/>
    <w:rsid w:val="31BB2DB3"/>
    <w:rsid w:val="31CC3212"/>
    <w:rsid w:val="31D125D7"/>
    <w:rsid w:val="31D420C7"/>
    <w:rsid w:val="31E7004C"/>
    <w:rsid w:val="31EF6F01"/>
    <w:rsid w:val="32284F44"/>
    <w:rsid w:val="322F72FD"/>
    <w:rsid w:val="3236068C"/>
    <w:rsid w:val="323E76CC"/>
    <w:rsid w:val="32427031"/>
    <w:rsid w:val="32452250"/>
    <w:rsid w:val="32475B7C"/>
    <w:rsid w:val="324F5BF1"/>
    <w:rsid w:val="327E0433"/>
    <w:rsid w:val="3289141E"/>
    <w:rsid w:val="328C0BF4"/>
    <w:rsid w:val="329F4483"/>
    <w:rsid w:val="32AE46C6"/>
    <w:rsid w:val="32B36180"/>
    <w:rsid w:val="32B55A55"/>
    <w:rsid w:val="32BF68D3"/>
    <w:rsid w:val="32CC7242"/>
    <w:rsid w:val="32D06D32"/>
    <w:rsid w:val="32D87995"/>
    <w:rsid w:val="32DA55F0"/>
    <w:rsid w:val="32DD31FD"/>
    <w:rsid w:val="32EB1476"/>
    <w:rsid w:val="32F05BAA"/>
    <w:rsid w:val="32F3657D"/>
    <w:rsid w:val="331D7A9E"/>
    <w:rsid w:val="33226E62"/>
    <w:rsid w:val="336B6A5B"/>
    <w:rsid w:val="33977850"/>
    <w:rsid w:val="340C3D9A"/>
    <w:rsid w:val="34107796"/>
    <w:rsid w:val="341208C4"/>
    <w:rsid w:val="344D44BC"/>
    <w:rsid w:val="346E05B1"/>
    <w:rsid w:val="34784F8C"/>
    <w:rsid w:val="347B0F20"/>
    <w:rsid w:val="34AC37E8"/>
    <w:rsid w:val="34BD4515"/>
    <w:rsid w:val="34BF0E0C"/>
    <w:rsid w:val="34D523DE"/>
    <w:rsid w:val="34F7286D"/>
    <w:rsid w:val="35020CF9"/>
    <w:rsid w:val="350D52E7"/>
    <w:rsid w:val="35270760"/>
    <w:rsid w:val="35303AB8"/>
    <w:rsid w:val="35356CED"/>
    <w:rsid w:val="353D2F7C"/>
    <w:rsid w:val="354237EC"/>
    <w:rsid w:val="354B6B44"/>
    <w:rsid w:val="355A28E3"/>
    <w:rsid w:val="355F439E"/>
    <w:rsid w:val="35670D6E"/>
    <w:rsid w:val="357C4F4F"/>
    <w:rsid w:val="35840D23"/>
    <w:rsid w:val="358A766C"/>
    <w:rsid w:val="359009FB"/>
    <w:rsid w:val="35906305"/>
    <w:rsid w:val="35951AC8"/>
    <w:rsid w:val="35DC615C"/>
    <w:rsid w:val="35F25212"/>
    <w:rsid w:val="36017203"/>
    <w:rsid w:val="3604039F"/>
    <w:rsid w:val="36561765"/>
    <w:rsid w:val="36575075"/>
    <w:rsid w:val="36590DED"/>
    <w:rsid w:val="365D6B2F"/>
    <w:rsid w:val="365F3E95"/>
    <w:rsid w:val="366121CA"/>
    <w:rsid w:val="366C0EB3"/>
    <w:rsid w:val="36A04C6E"/>
    <w:rsid w:val="36A4650C"/>
    <w:rsid w:val="36B67FED"/>
    <w:rsid w:val="36BB0AE7"/>
    <w:rsid w:val="36C40101"/>
    <w:rsid w:val="36C409FD"/>
    <w:rsid w:val="36D30B9F"/>
    <w:rsid w:val="36EF4D24"/>
    <w:rsid w:val="36F654C5"/>
    <w:rsid w:val="37096BEE"/>
    <w:rsid w:val="370F2C2D"/>
    <w:rsid w:val="371B3041"/>
    <w:rsid w:val="371C758B"/>
    <w:rsid w:val="37227431"/>
    <w:rsid w:val="372E039B"/>
    <w:rsid w:val="374F2AF7"/>
    <w:rsid w:val="37976071"/>
    <w:rsid w:val="379B6786"/>
    <w:rsid w:val="379F6CD3"/>
    <w:rsid w:val="37B54557"/>
    <w:rsid w:val="37B643E4"/>
    <w:rsid w:val="37B876E9"/>
    <w:rsid w:val="37CD1A92"/>
    <w:rsid w:val="37D451C1"/>
    <w:rsid w:val="37DC713F"/>
    <w:rsid w:val="37E312B6"/>
    <w:rsid w:val="37F45271"/>
    <w:rsid w:val="380134EA"/>
    <w:rsid w:val="38060B00"/>
    <w:rsid w:val="38194CD8"/>
    <w:rsid w:val="38222A28"/>
    <w:rsid w:val="385C5F52"/>
    <w:rsid w:val="38685317"/>
    <w:rsid w:val="38726196"/>
    <w:rsid w:val="388E2CCE"/>
    <w:rsid w:val="388F6051"/>
    <w:rsid w:val="38A92E84"/>
    <w:rsid w:val="38AB2CA1"/>
    <w:rsid w:val="38B14F10"/>
    <w:rsid w:val="38B22A36"/>
    <w:rsid w:val="38C033A5"/>
    <w:rsid w:val="38C947C7"/>
    <w:rsid w:val="38CD7870"/>
    <w:rsid w:val="38EF77E6"/>
    <w:rsid w:val="38F60B75"/>
    <w:rsid w:val="390C2146"/>
    <w:rsid w:val="391058A3"/>
    <w:rsid w:val="39131727"/>
    <w:rsid w:val="39180AEB"/>
    <w:rsid w:val="391B4A7F"/>
    <w:rsid w:val="39222DEF"/>
    <w:rsid w:val="393E28D8"/>
    <w:rsid w:val="39521950"/>
    <w:rsid w:val="39534219"/>
    <w:rsid w:val="399E0CD7"/>
    <w:rsid w:val="39A04924"/>
    <w:rsid w:val="39B42EB5"/>
    <w:rsid w:val="39C36102"/>
    <w:rsid w:val="39C42A21"/>
    <w:rsid w:val="39E515E2"/>
    <w:rsid w:val="3A0F43F2"/>
    <w:rsid w:val="3A1A4D37"/>
    <w:rsid w:val="3A1E7DD3"/>
    <w:rsid w:val="3A267FED"/>
    <w:rsid w:val="3A5471B9"/>
    <w:rsid w:val="3A555D6F"/>
    <w:rsid w:val="3A5A10B4"/>
    <w:rsid w:val="3A7E52C6"/>
    <w:rsid w:val="3A84075A"/>
    <w:rsid w:val="3A8F1281"/>
    <w:rsid w:val="3AA94156"/>
    <w:rsid w:val="3ABB3B6F"/>
    <w:rsid w:val="3ABE1B66"/>
    <w:rsid w:val="3ACA050B"/>
    <w:rsid w:val="3ACB7CD4"/>
    <w:rsid w:val="3AEC0481"/>
    <w:rsid w:val="3AEF5227"/>
    <w:rsid w:val="3B000B6B"/>
    <w:rsid w:val="3B024BDF"/>
    <w:rsid w:val="3B066997"/>
    <w:rsid w:val="3B17100E"/>
    <w:rsid w:val="3B1F6FB3"/>
    <w:rsid w:val="3B353145"/>
    <w:rsid w:val="3B424545"/>
    <w:rsid w:val="3B506C62"/>
    <w:rsid w:val="3B5832E2"/>
    <w:rsid w:val="3B6E0E96"/>
    <w:rsid w:val="3B914B85"/>
    <w:rsid w:val="3B917494"/>
    <w:rsid w:val="3BB54D17"/>
    <w:rsid w:val="3BC46D08"/>
    <w:rsid w:val="3BF76B7F"/>
    <w:rsid w:val="3C025A83"/>
    <w:rsid w:val="3C065573"/>
    <w:rsid w:val="3C3B6FA3"/>
    <w:rsid w:val="3C510D92"/>
    <w:rsid w:val="3C5C1637"/>
    <w:rsid w:val="3C5F0D24"/>
    <w:rsid w:val="3C6E05B5"/>
    <w:rsid w:val="3C7779D7"/>
    <w:rsid w:val="3C9B3F0D"/>
    <w:rsid w:val="3CA60B04"/>
    <w:rsid w:val="3CBE19AA"/>
    <w:rsid w:val="3CD64F45"/>
    <w:rsid w:val="3CE024D8"/>
    <w:rsid w:val="3CEF12EA"/>
    <w:rsid w:val="3CF03B2D"/>
    <w:rsid w:val="3D142829"/>
    <w:rsid w:val="3D3D3216"/>
    <w:rsid w:val="3D485717"/>
    <w:rsid w:val="3D491BBB"/>
    <w:rsid w:val="3D4E0F7F"/>
    <w:rsid w:val="3D536596"/>
    <w:rsid w:val="3D5642D8"/>
    <w:rsid w:val="3D6A0EBD"/>
    <w:rsid w:val="3D6D77DB"/>
    <w:rsid w:val="3D6E33D0"/>
    <w:rsid w:val="3D6E737C"/>
    <w:rsid w:val="3D850719"/>
    <w:rsid w:val="3D863437"/>
    <w:rsid w:val="3D8B21D4"/>
    <w:rsid w:val="3D9F2F3F"/>
    <w:rsid w:val="3DAE5EC2"/>
    <w:rsid w:val="3DB334D8"/>
    <w:rsid w:val="3DB86D41"/>
    <w:rsid w:val="3DBF59D9"/>
    <w:rsid w:val="3DC254CA"/>
    <w:rsid w:val="3DC54FBA"/>
    <w:rsid w:val="3DE2791A"/>
    <w:rsid w:val="3DF17B5D"/>
    <w:rsid w:val="3E03620E"/>
    <w:rsid w:val="3E0D4FFF"/>
    <w:rsid w:val="3E155F41"/>
    <w:rsid w:val="3E2241BA"/>
    <w:rsid w:val="3E2E0DB1"/>
    <w:rsid w:val="3E391222"/>
    <w:rsid w:val="3E3F2FBE"/>
    <w:rsid w:val="3E4405D4"/>
    <w:rsid w:val="3E4928E7"/>
    <w:rsid w:val="3E595E2E"/>
    <w:rsid w:val="3E683F05"/>
    <w:rsid w:val="3E6B6EDF"/>
    <w:rsid w:val="3E7143D5"/>
    <w:rsid w:val="3E7E3800"/>
    <w:rsid w:val="3E85623E"/>
    <w:rsid w:val="3EB16D20"/>
    <w:rsid w:val="3EC62D97"/>
    <w:rsid w:val="3EC727C6"/>
    <w:rsid w:val="3EC84D62"/>
    <w:rsid w:val="3EEF2122"/>
    <w:rsid w:val="3EFA3DD4"/>
    <w:rsid w:val="3EFB0C93"/>
    <w:rsid w:val="3F275EC6"/>
    <w:rsid w:val="3F4036CA"/>
    <w:rsid w:val="3F471F29"/>
    <w:rsid w:val="3F577E93"/>
    <w:rsid w:val="3F71178A"/>
    <w:rsid w:val="3F7136AB"/>
    <w:rsid w:val="3F7A7E3B"/>
    <w:rsid w:val="3F8C3FE1"/>
    <w:rsid w:val="3FA4757D"/>
    <w:rsid w:val="3FA578FC"/>
    <w:rsid w:val="3FC51635"/>
    <w:rsid w:val="3FF676AC"/>
    <w:rsid w:val="3FFC231A"/>
    <w:rsid w:val="40061FE5"/>
    <w:rsid w:val="402266F3"/>
    <w:rsid w:val="403C5A07"/>
    <w:rsid w:val="405A0497"/>
    <w:rsid w:val="405D772B"/>
    <w:rsid w:val="407D3AA2"/>
    <w:rsid w:val="409E221E"/>
    <w:rsid w:val="40BE488F"/>
    <w:rsid w:val="40D553EA"/>
    <w:rsid w:val="40DB5220"/>
    <w:rsid w:val="40E816EB"/>
    <w:rsid w:val="40EA5463"/>
    <w:rsid w:val="410227F3"/>
    <w:rsid w:val="41061B71"/>
    <w:rsid w:val="410A05A4"/>
    <w:rsid w:val="412F2E76"/>
    <w:rsid w:val="41405083"/>
    <w:rsid w:val="4157061F"/>
    <w:rsid w:val="41572234"/>
    <w:rsid w:val="41596145"/>
    <w:rsid w:val="415E7BFF"/>
    <w:rsid w:val="4164347D"/>
    <w:rsid w:val="4168282C"/>
    <w:rsid w:val="416A3711"/>
    <w:rsid w:val="416C5E78"/>
    <w:rsid w:val="4177481D"/>
    <w:rsid w:val="417C1E33"/>
    <w:rsid w:val="419E1A27"/>
    <w:rsid w:val="41B11ADD"/>
    <w:rsid w:val="41BA0A99"/>
    <w:rsid w:val="41E53E7C"/>
    <w:rsid w:val="41E94BEF"/>
    <w:rsid w:val="41F52311"/>
    <w:rsid w:val="41F61BE6"/>
    <w:rsid w:val="4201502E"/>
    <w:rsid w:val="42125486"/>
    <w:rsid w:val="42134546"/>
    <w:rsid w:val="42156DF4"/>
    <w:rsid w:val="42164036"/>
    <w:rsid w:val="42186000"/>
    <w:rsid w:val="421A3D8C"/>
    <w:rsid w:val="421F738E"/>
    <w:rsid w:val="4230334A"/>
    <w:rsid w:val="42321EFA"/>
    <w:rsid w:val="423B3F88"/>
    <w:rsid w:val="423C31D0"/>
    <w:rsid w:val="42415557"/>
    <w:rsid w:val="4243581E"/>
    <w:rsid w:val="424944AD"/>
    <w:rsid w:val="424B1F31"/>
    <w:rsid w:val="424E37D0"/>
    <w:rsid w:val="42796199"/>
    <w:rsid w:val="42894808"/>
    <w:rsid w:val="42A210E1"/>
    <w:rsid w:val="42A42EE6"/>
    <w:rsid w:val="42A6360C"/>
    <w:rsid w:val="42BC2E2F"/>
    <w:rsid w:val="42C83582"/>
    <w:rsid w:val="42CC155D"/>
    <w:rsid w:val="42EA5233"/>
    <w:rsid w:val="42EE0B0F"/>
    <w:rsid w:val="42EE4CA2"/>
    <w:rsid w:val="42F425C9"/>
    <w:rsid w:val="430457F0"/>
    <w:rsid w:val="430D5439"/>
    <w:rsid w:val="4326474D"/>
    <w:rsid w:val="43345BA0"/>
    <w:rsid w:val="4341765D"/>
    <w:rsid w:val="434846C3"/>
    <w:rsid w:val="435272F0"/>
    <w:rsid w:val="4357078B"/>
    <w:rsid w:val="43770B04"/>
    <w:rsid w:val="438D657A"/>
    <w:rsid w:val="438F22F2"/>
    <w:rsid w:val="439671DC"/>
    <w:rsid w:val="43993170"/>
    <w:rsid w:val="43A713E9"/>
    <w:rsid w:val="43AA0EDA"/>
    <w:rsid w:val="43B16F20"/>
    <w:rsid w:val="43D441A9"/>
    <w:rsid w:val="43DB1093"/>
    <w:rsid w:val="43E73439"/>
    <w:rsid w:val="43EF0FE2"/>
    <w:rsid w:val="43FB34E3"/>
    <w:rsid w:val="440A7BCA"/>
    <w:rsid w:val="441427F7"/>
    <w:rsid w:val="44174B0E"/>
    <w:rsid w:val="442962A2"/>
    <w:rsid w:val="442C5D93"/>
    <w:rsid w:val="442E1B0B"/>
    <w:rsid w:val="4431259A"/>
    <w:rsid w:val="44391A2B"/>
    <w:rsid w:val="443B20A2"/>
    <w:rsid w:val="443D19A5"/>
    <w:rsid w:val="44427364"/>
    <w:rsid w:val="44476729"/>
    <w:rsid w:val="444C3D3F"/>
    <w:rsid w:val="444F55DD"/>
    <w:rsid w:val="446474FF"/>
    <w:rsid w:val="44781101"/>
    <w:rsid w:val="44804CC7"/>
    <w:rsid w:val="44A47395"/>
    <w:rsid w:val="44AC2A30"/>
    <w:rsid w:val="44BA482F"/>
    <w:rsid w:val="44D426B2"/>
    <w:rsid w:val="44D77311"/>
    <w:rsid w:val="44E16B7D"/>
    <w:rsid w:val="44FD328B"/>
    <w:rsid w:val="44FE57D7"/>
    <w:rsid w:val="451C7BB5"/>
    <w:rsid w:val="4521341D"/>
    <w:rsid w:val="453A628D"/>
    <w:rsid w:val="453E3B2A"/>
    <w:rsid w:val="45611DFB"/>
    <w:rsid w:val="45646A83"/>
    <w:rsid w:val="458319E2"/>
    <w:rsid w:val="45965BB9"/>
    <w:rsid w:val="459B4F7E"/>
    <w:rsid w:val="45A2455E"/>
    <w:rsid w:val="45C36283"/>
    <w:rsid w:val="45C67B21"/>
    <w:rsid w:val="45D6744D"/>
    <w:rsid w:val="45DE130F"/>
    <w:rsid w:val="45EA7CB3"/>
    <w:rsid w:val="45F11042"/>
    <w:rsid w:val="45F4643C"/>
    <w:rsid w:val="45F538B2"/>
    <w:rsid w:val="461F205A"/>
    <w:rsid w:val="46207231"/>
    <w:rsid w:val="46250CEB"/>
    <w:rsid w:val="4631143E"/>
    <w:rsid w:val="46342CDD"/>
    <w:rsid w:val="4635309F"/>
    <w:rsid w:val="46535859"/>
    <w:rsid w:val="46595A2E"/>
    <w:rsid w:val="46712183"/>
    <w:rsid w:val="467B090B"/>
    <w:rsid w:val="467D0B27"/>
    <w:rsid w:val="46873A95"/>
    <w:rsid w:val="46AE0CE1"/>
    <w:rsid w:val="46B9747D"/>
    <w:rsid w:val="46C202E8"/>
    <w:rsid w:val="46D34A3C"/>
    <w:rsid w:val="46F801AE"/>
    <w:rsid w:val="46F81F5C"/>
    <w:rsid w:val="46FA5243"/>
    <w:rsid w:val="46FC0A18"/>
    <w:rsid w:val="46FF6075"/>
    <w:rsid w:val="47060B1D"/>
    <w:rsid w:val="4708700F"/>
    <w:rsid w:val="47146CF3"/>
    <w:rsid w:val="4746364D"/>
    <w:rsid w:val="474977EC"/>
    <w:rsid w:val="474A1D1B"/>
    <w:rsid w:val="477B5067"/>
    <w:rsid w:val="478005D2"/>
    <w:rsid w:val="47AA14A8"/>
    <w:rsid w:val="47C22C96"/>
    <w:rsid w:val="47C6205A"/>
    <w:rsid w:val="47CA7D9C"/>
    <w:rsid w:val="47D67D23"/>
    <w:rsid w:val="47E250E6"/>
    <w:rsid w:val="47EC35F1"/>
    <w:rsid w:val="48174957"/>
    <w:rsid w:val="48362D3C"/>
    <w:rsid w:val="48382F58"/>
    <w:rsid w:val="48412A57"/>
    <w:rsid w:val="48523A6E"/>
    <w:rsid w:val="48541414"/>
    <w:rsid w:val="487815A6"/>
    <w:rsid w:val="489517E9"/>
    <w:rsid w:val="48AC579F"/>
    <w:rsid w:val="48B82203"/>
    <w:rsid w:val="48CC544E"/>
    <w:rsid w:val="48F14EB5"/>
    <w:rsid w:val="49110E87"/>
    <w:rsid w:val="491164F6"/>
    <w:rsid w:val="493A4AAE"/>
    <w:rsid w:val="49465201"/>
    <w:rsid w:val="49470F79"/>
    <w:rsid w:val="494B3A67"/>
    <w:rsid w:val="495518E8"/>
    <w:rsid w:val="4957740E"/>
    <w:rsid w:val="495E5F8D"/>
    <w:rsid w:val="49861AA1"/>
    <w:rsid w:val="49A63EF1"/>
    <w:rsid w:val="49B0304E"/>
    <w:rsid w:val="49C0324C"/>
    <w:rsid w:val="49C8030C"/>
    <w:rsid w:val="49DC7913"/>
    <w:rsid w:val="49DF26FD"/>
    <w:rsid w:val="4A072B32"/>
    <w:rsid w:val="4A1A1C49"/>
    <w:rsid w:val="4A2E52D8"/>
    <w:rsid w:val="4A3459A1"/>
    <w:rsid w:val="4A404346"/>
    <w:rsid w:val="4A4200BE"/>
    <w:rsid w:val="4A5B1180"/>
    <w:rsid w:val="4A783AE0"/>
    <w:rsid w:val="4A8204BA"/>
    <w:rsid w:val="4A857AC4"/>
    <w:rsid w:val="4A857FAB"/>
    <w:rsid w:val="4A8C1339"/>
    <w:rsid w:val="4A8C3685"/>
    <w:rsid w:val="4A92068D"/>
    <w:rsid w:val="4ADB0391"/>
    <w:rsid w:val="4ADE4890"/>
    <w:rsid w:val="4AEA40A1"/>
    <w:rsid w:val="4AF60EA8"/>
    <w:rsid w:val="4AFF7D5D"/>
    <w:rsid w:val="4B013980"/>
    <w:rsid w:val="4B0E73A1"/>
    <w:rsid w:val="4B1B4A28"/>
    <w:rsid w:val="4B3814C1"/>
    <w:rsid w:val="4B4614E8"/>
    <w:rsid w:val="4B5736F5"/>
    <w:rsid w:val="4B8F7333"/>
    <w:rsid w:val="4BB14998"/>
    <w:rsid w:val="4BB95C58"/>
    <w:rsid w:val="4BCB5E91"/>
    <w:rsid w:val="4BD4544C"/>
    <w:rsid w:val="4BD72E77"/>
    <w:rsid w:val="4BDC009E"/>
    <w:rsid w:val="4BE567F2"/>
    <w:rsid w:val="4BF423C5"/>
    <w:rsid w:val="4BF81DA0"/>
    <w:rsid w:val="4BFB49C8"/>
    <w:rsid w:val="4BFC24EE"/>
    <w:rsid w:val="4C007E38"/>
    <w:rsid w:val="4C3811C6"/>
    <w:rsid w:val="4C4A2D7F"/>
    <w:rsid w:val="4C6065D9"/>
    <w:rsid w:val="4C6267F5"/>
    <w:rsid w:val="4C6728AF"/>
    <w:rsid w:val="4C8C5620"/>
    <w:rsid w:val="4CD90ECF"/>
    <w:rsid w:val="4CE74FE6"/>
    <w:rsid w:val="4D090A1F"/>
    <w:rsid w:val="4D1216BD"/>
    <w:rsid w:val="4D1B28AC"/>
    <w:rsid w:val="4D243AAB"/>
    <w:rsid w:val="4D3A1520"/>
    <w:rsid w:val="4D4D167D"/>
    <w:rsid w:val="4D5D0D6B"/>
    <w:rsid w:val="4D5D2C38"/>
    <w:rsid w:val="4D6560B6"/>
    <w:rsid w:val="4D6C0776"/>
    <w:rsid w:val="4D720CBA"/>
    <w:rsid w:val="4D7367E0"/>
    <w:rsid w:val="4D866106"/>
    <w:rsid w:val="4D8B34B4"/>
    <w:rsid w:val="4D950BDF"/>
    <w:rsid w:val="4D9F068A"/>
    <w:rsid w:val="4D9F1383"/>
    <w:rsid w:val="4DA4699A"/>
    <w:rsid w:val="4DAB7D28"/>
    <w:rsid w:val="4DBE51FB"/>
    <w:rsid w:val="4DD42DC2"/>
    <w:rsid w:val="4DED20EF"/>
    <w:rsid w:val="4DED6593"/>
    <w:rsid w:val="4DEF4E33"/>
    <w:rsid w:val="4E031912"/>
    <w:rsid w:val="4E047438"/>
    <w:rsid w:val="4E1A4EAE"/>
    <w:rsid w:val="4E217FEA"/>
    <w:rsid w:val="4E241889"/>
    <w:rsid w:val="4E5B79A0"/>
    <w:rsid w:val="4E616639"/>
    <w:rsid w:val="4E6F51FA"/>
    <w:rsid w:val="4E7740AE"/>
    <w:rsid w:val="4E854A1D"/>
    <w:rsid w:val="4E9609D8"/>
    <w:rsid w:val="4E964534"/>
    <w:rsid w:val="4E9A049C"/>
    <w:rsid w:val="4E9E5ADF"/>
    <w:rsid w:val="4EAB0A5D"/>
    <w:rsid w:val="4EAF3848"/>
    <w:rsid w:val="4EB518F1"/>
    <w:rsid w:val="4EBD5F65"/>
    <w:rsid w:val="4EDA52FF"/>
    <w:rsid w:val="4EDB288F"/>
    <w:rsid w:val="4EE47996"/>
    <w:rsid w:val="4EEF633A"/>
    <w:rsid w:val="4F021BCA"/>
    <w:rsid w:val="4F0F2539"/>
    <w:rsid w:val="4F1E48A1"/>
    <w:rsid w:val="4F1E5D2D"/>
    <w:rsid w:val="4F2C30EB"/>
    <w:rsid w:val="4F302BDB"/>
    <w:rsid w:val="4F471CD3"/>
    <w:rsid w:val="4F624D5E"/>
    <w:rsid w:val="4F626B0C"/>
    <w:rsid w:val="4F6C798B"/>
    <w:rsid w:val="4F8B6063"/>
    <w:rsid w:val="4F912F4E"/>
    <w:rsid w:val="4FB76E58"/>
    <w:rsid w:val="4FC27754"/>
    <w:rsid w:val="4FC74BC1"/>
    <w:rsid w:val="4FC96B8B"/>
    <w:rsid w:val="4FD51916"/>
    <w:rsid w:val="4FD86900"/>
    <w:rsid w:val="4FDA2B47"/>
    <w:rsid w:val="4FDB7A46"/>
    <w:rsid w:val="4FF84D7B"/>
    <w:rsid w:val="50041972"/>
    <w:rsid w:val="501F4CAD"/>
    <w:rsid w:val="50373AF5"/>
    <w:rsid w:val="503B45C6"/>
    <w:rsid w:val="503F67DB"/>
    <w:rsid w:val="505446A7"/>
    <w:rsid w:val="50574197"/>
    <w:rsid w:val="505B23AE"/>
    <w:rsid w:val="505C355C"/>
    <w:rsid w:val="506553B9"/>
    <w:rsid w:val="506B7C43"/>
    <w:rsid w:val="50782C54"/>
    <w:rsid w:val="50854860"/>
    <w:rsid w:val="50AA076B"/>
    <w:rsid w:val="50AB003F"/>
    <w:rsid w:val="50B9275C"/>
    <w:rsid w:val="50C015B4"/>
    <w:rsid w:val="50D42D06"/>
    <w:rsid w:val="50DF3A5C"/>
    <w:rsid w:val="50E55689"/>
    <w:rsid w:val="50E84DEF"/>
    <w:rsid w:val="50F814D6"/>
    <w:rsid w:val="511107EA"/>
    <w:rsid w:val="511B51C5"/>
    <w:rsid w:val="511D2CEB"/>
    <w:rsid w:val="51234079"/>
    <w:rsid w:val="51245A1D"/>
    <w:rsid w:val="51273B6A"/>
    <w:rsid w:val="51295B34"/>
    <w:rsid w:val="51330FBE"/>
    <w:rsid w:val="51361FFF"/>
    <w:rsid w:val="514205CA"/>
    <w:rsid w:val="51525C4E"/>
    <w:rsid w:val="518C2E25"/>
    <w:rsid w:val="518E3BE9"/>
    <w:rsid w:val="518E3CBC"/>
    <w:rsid w:val="51921DE5"/>
    <w:rsid w:val="51956D25"/>
    <w:rsid w:val="519A258E"/>
    <w:rsid w:val="519B00B4"/>
    <w:rsid w:val="519D642F"/>
    <w:rsid w:val="51A258E6"/>
    <w:rsid w:val="51AC0513"/>
    <w:rsid w:val="51B01DB1"/>
    <w:rsid w:val="51BF1FF4"/>
    <w:rsid w:val="51CB0999"/>
    <w:rsid w:val="51D04201"/>
    <w:rsid w:val="51D13AD5"/>
    <w:rsid w:val="51D35A9F"/>
    <w:rsid w:val="51F85506"/>
    <w:rsid w:val="51FA302C"/>
    <w:rsid w:val="52020133"/>
    <w:rsid w:val="520B5239"/>
    <w:rsid w:val="520C6077"/>
    <w:rsid w:val="52132340"/>
    <w:rsid w:val="522B768A"/>
    <w:rsid w:val="52374280"/>
    <w:rsid w:val="5254032B"/>
    <w:rsid w:val="525564B4"/>
    <w:rsid w:val="525C5A95"/>
    <w:rsid w:val="527C45B1"/>
    <w:rsid w:val="529216F7"/>
    <w:rsid w:val="529C0587"/>
    <w:rsid w:val="52A03BD4"/>
    <w:rsid w:val="52B07B8F"/>
    <w:rsid w:val="52B32C33"/>
    <w:rsid w:val="52CC1D29"/>
    <w:rsid w:val="52D27C20"/>
    <w:rsid w:val="52D715BF"/>
    <w:rsid w:val="52D8548B"/>
    <w:rsid w:val="52DA2B85"/>
    <w:rsid w:val="53000B16"/>
    <w:rsid w:val="5305327E"/>
    <w:rsid w:val="530F0D59"/>
    <w:rsid w:val="531E0F9C"/>
    <w:rsid w:val="531F7EB4"/>
    <w:rsid w:val="53375D47"/>
    <w:rsid w:val="533C1422"/>
    <w:rsid w:val="53582700"/>
    <w:rsid w:val="536648BB"/>
    <w:rsid w:val="5373074A"/>
    <w:rsid w:val="5373753A"/>
    <w:rsid w:val="5382777D"/>
    <w:rsid w:val="53844EE2"/>
    <w:rsid w:val="538F3C48"/>
    <w:rsid w:val="539354E6"/>
    <w:rsid w:val="53966D85"/>
    <w:rsid w:val="53A01F83"/>
    <w:rsid w:val="53A93215"/>
    <w:rsid w:val="53C11F14"/>
    <w:rsid w:val="53C315D6"/>
    <w:rsid w:val="53C5766A"/>
    <w:rsid w:val="53CD2130"/>
    <w:rsid w:val="53CD7EDB"/>
    <w:rsid w:val="53D11CA9"/>
    <w:rsid w:val="53DE5943"/>
    <w:rsid w:val="53F243D4"/>
    <w:rsid w:val="540A4711"/>
    <w:rsid w:val="54176117"/>
    <w:rsid w:val="54330A77"/>
    <w:rsid w:val="543A1E06"/>
    <w:rsid w:val="545C4979"/>
    <w:rsid w:val="546D699A"/>
    <w:rsid w:val="547370C6"/>
    <w:rsid w:val="54790B80"/>
    <w:rsid w:val="547C5DBD"/>
    <w:rsid w:val="547D17C4"/>
    <w:rsid w:val="547F5A6B"/>
    <w:rsid w:val="54923B34"/>
    <w:rsid w:val="54994D7E"/>
    <w:rsid w:val="549F610D"/>
    <w:rsid w:val="54A159E1"/>
    <w:rsid w:val="54A86D6F"/>
    <w:rsid w:val="54BE1403"/>
    <w:rsid w:val="54DA405D"/>
    <w:rsid w:val="54DD4A5B"/>
    <w:rsid w:val="550A1042"/>
    <w:rsid w:val="55107147"/>
    <w:rsid w:val="55197C6D"/>
    <w:rsid w:val="55214D74"/>
    <w:rsid w:val="55236D3E"/>
    <w:rsid w:val="55357FE7"/>
    <w:rsid w:val="55376345"/>
    <w:rsid w:val="554F573D"/>
    <w:rsid w:val="55546EF7"/>
    <w:rsid w:val="555860BF"/>
    <w:rsid w:val="55687669"/>
    <w:rsid w:val="558A0B6B"/>
    <w:rsid w:val="55905455"/>
    <w:rsid w:val="55A84F8D"/>
    <w:rsid w:val="55B875E7"/>
    <w:rsid w:val="55CA71B9"/>
    <w:rsid w:val="55D50038"/>
    <w:rsid w:val="55F85AD5"/>
    <w:rsid w:val="561370F3"/>
    <w:rsid w:val="561A3126"/>
    <w:rsid w:val="562468CA"/>
    <w:rsid w:val="564C7BCE"/>
    <w:rsid w:val="56574EF1"/>
    <w:rsid w:val="5684052E"/>
    <w:rsid w:val="56A93273"/>
    <w:rsid w:val="56BA0FDC"/>
    <w:rsid w:val="56C1236A"/>
    <w:rsid w:val="56C70697"/>
    <w:rsid w:val="56DB6BDA"/>
    <w:rsid w:val="56E30533"/>
    <w:rsid w:val="56E8786F"/>
    <w:rsid w:val="56F664B8"/>
    <w:rsid w:val="57043EBC"/>
    <w:rsid w:val="570606C5"/>
    <w:rsid w:val="571C1C97"/>
    <w:rsid w:val="572528F9"/>
    <w:rsid w:val="57276D2E"/>
    <w:rsid w:val="572D5C52"/>
    <w:rsid w:val="57340D8E"/>
    <w:rsid w:val="57340DC6"/>
    <w:rsid w:val="573C40E7"/>
    <w:rsid w:val="57420997"/>
    <w:rsid w:val="574B60D8"/>
    <w:rsid w:val="5758470F"/>
    <w:rsid w:val="576527EF"/>
    <w:rsid w:val="57770C7B"/>
    <w:rsid w:val="5778511F"/>
    <w:rsid w:val="57825F9E"/>
    <w:rsid w:val="578379EC"/>
    <w:rsid w:val="57917F8F"/>
    <w:rsid w:val="57BD5228"/>
    <w:rsid w:val="57D1482F"/>
    <w:rsid w:val="581353CC"/>
    <w:rsid w:val="58214F74"/>
    <w:rsid w:val="582E3A30"/>
    <w:rsid w:val="58427D27"/>
    <w:rsid w:val="58615BB3"/>
    <w:rsid w:val="586E6522"/>
    <w:rsid w:val="587A1231"/>
    <w:rsid w:val="58803ECD"/>
    <w:rsid w:val="58897EE9"/>
    <w:rsid w:val="58A3441E"/>
    <w:rsid w:val="58BC103B"/>
    <w:rsid w:val="58CD149A"/>
    <w:rsid w:val="58D92C30"/>
    <w:rsid w:val="58DE2AF2"/>
    <w:rsid w:val="58DF11CE"/>
    <w:rsid w:val="58E278C8"/>
    <w:rsid w:val="58E30CBE"/>
    <w:rsid w:val="58FA6008"/>
    <w:rsid w:val="59140E77"/>
    <w:rsid w:val="591F7797"/>
    <w:rsid w:val="592E2F24"/>
    <w:rsid w:val="59376914"/>
    <w:rsid w:val="595E20F3"/>
    <w:rsid w:val="59617E35"/>
    <w:rsid w:val="59701E26"/>
    <w:rsid w:val="5980475F"/>
    <w:rsid w:val="59960F02"/>
    <w:rsid w:val="599B6EA3"/>
    <w:rsid w:val="59AE2A52"/>
    <w:rsid w:val="59B753C2"/>
    <w:rsid w:val="59CF4D9E"/>
    <w:rsid w:val="5A1A33AD"/>
    <w:rsid w:val="5A250854"/>
    <w:rsid w:val="5A43055A"/>
    <w:rsid w:val="5A47702B"/>
    <w:rsid w:val="5A5F48DF"/>
    <w:rsid w:val="5A673229"/>
    <w:rsid w:val="5A6E45B7"/>
    <w:rsid w:val="5A6F20DD"/>
    <w:rsid w:val="5A84202D"/>
    <w:rsid w:val="5A92474A"/>
    <w:rsid w:val="5A93401E"/>
    <w:rsid w:val="5AA224B3"/>
    <w:rsid w:val="5AAE70AA"/>
    <w:rsid w:val="5AB82725"/>
    <w:rsid w:val="5AC24111"/>
    <w:rsid w:val="5AC266B1"/>
    <w:rsid w:val="5AE14981"/>
    <w:rsid w:val="5AE34FA5"/>
    <w:rsid w:val="5AE40D1D"/>
    <w:rsid w:val="5AFA22EF"/>
    <w:rsid w:val="5AFD593B"/>
    <w:rsid w:val="5B0B0058"/>
    <w:rsid w:val="5B1C1151"/>
    <w:rsid w:val="5B1E3C02"/>
    <w:rsid w:val="5B2B06FA"/>
    <w:rsid w:val="5B321A89"/>
    <w:rsid w:val="5B351579"/>
    <w:rsid w:val="5B5714EF"/>
    <w:rsid w:val="5B5B0FE0"/>
    <w:rsid w:val="5B5F5138"/>
    <w:rsid w:val="5B615ECA"/>
    <w:rsid w:val="5B6559BA"/>
    <w:rsid w:val="5B8878FB"/>
    <w:rsid w:val="5B911E01"/>
    <w:rsid w:val="5B9871AA"/>
    <w:rsid w:val="5B9C5154"/>
    <w:rsid w:val="5BB71F8E"/>
    <w:rsid w:val="5BBA55DA"/>
    <w:rsid w:val="5BC85F49"/>
    <w:rsid w:val="5BDB5C7C"/>
    <w:rsid w:val="5BF22FC6"/>
    <w:rsid w:val="5BF44F90"/>
    <w:rsid w:val="5C0D7DAC"/>
    <w:rsid w:val="5C245875"/>
    <w:rsid w:val="5C57307F"/>
    <w:rsid w:val="5C586479"/>
    <w:rsid w:val="5C5E240A"/>
    <w:rsid w:val="5C645C72"/>
    <w:rsid w:val="5C750742"/>
    <w:rsid w:val="5C7F2AAC"/>
    <w:rsid w:val="5CAB2EB0"/>
    <w:rsid w:val="5CAD6BEE"/>
    <w:rsid w:val="5CAE3391"/>
    <w:rsid w:val="5CB47963"/>
    <w:rsid w:val="5CBE5C56"/>
    <w:rsid w:val="5CC20BEA"/>
    <w:rsid w:val="5CDC1CAC"/>
    <w:rsid w:val="5CDF06CE"/>
    <w:rsid w:val="5CE04040"/>
    <w:rsid w:val="5CE648D9"/>
    <w:rsid w:val="5CE9261B"/>
    <w:rsid w:val="5CFF599B"/>
    <w:rsid w:val="5D065CE3"/>
    <w:rsid w:val="5D290C69"/>
    <w:rsid w:val="5D2B2C34"/>
    <w:rsid w:val="5D2E6280"/>
    <w:rsid w:val="5D380EAD"/>
    <w:rsid w:val="5D3A0A08"/>
    <w:rsid w:val="5D485594"/>
    <w:rsid w:val="5D494E68"/>
    <w:rsid w:val="5D51568E"/>
    <w:rsid w:val="5D8660BC"/>
    <w:rsid w:val="5D964551"/>
    <w:rsid w:val="5DA44AD8"/>
    <w:rsid w:val="5DA65EFA"/>
    <w:rsid w:val="5DD9443E"/>
    <w:rsid w:val="5DE02710"/>
    <w:rsid w:val="5DEA43BA"/>
    <w:rsid w:val="5DF3054E"/>
    <w:rsid w:val="5DF50B4C"/>
    <w:rsid w:val="5DF653AC"/>
    <w:rsid w:val="5E0A45F7"/>
    <w:rsid w:val="5E20206C"/>
    <w:rsid w:val="5E282CCF"/>
    <w:rsid w:val="5E32697E"/>
    <w:rsid w:val="5E3478C6"/>
    <w:rsid w:val="5E391380"/>
    <w:rsid w:val="5E495DA0"/>
    <w:rsid w:val="5E5C7A94"/>
    <w:rsid w:val="5E5D6E1D"/>
    <w:rsid w:val="5E734892"/>
    <w:rsid w:val="5E8720EC"/>
    <w:rsid w:val="5E8A398A"/>
    <w:rsid w:val="5EA06D09"/>
    <w:rsid w:val="5EA762EA"/>
    <w:rsid w:val="5EC23124"/>
    <w:rsid w:val="5EC448B2"/>
    <w:rsid w:val="5EC501AE"/>
    <w:rsid w:val="5EC944B2"/>
    <w:rsid w:val="5ECF75EF"/>
    <w:rsid w:val="5EE035AA"/>
    <w:rsid w:val="5EE17A4E"/>
    <w:rsid w:val="5EEB267A"/>
    <w:rsid w:val="5EEE5AF1"/>
    <w:rsid w:val="5EFD415C"/>
    <w:rsid w:val="5F125E59"/>
    <w:rsid w:val="5F155949"/>
    <w:rsid w:val="5F2913F5"/>
    <w:rsid w:val="5F334021"/>
    <w:rsid w:val="5F3758C0"/>
    <w:rsid w:val="5F862461"/>
    <w:rsid w:val="5F8B79B9"/>
    <w:rsid w:val="5FA56CCD"/>
    <w:rsid w:val="5FAD7930"/>
    <w:rsid w:val="5FB93320"/>
    <w:rsid w:val="5FD70D84"/>
    <w:rsid w:val="5FDB141C"/>
    <w:rsid w:val="5FE61094"/>
    <w:rsid w:val="5FF53085"/>
    <w:rsid w:val="60003F04"/>
    <w:rsid w:val="6002548F"/>
    <w:rsid w:val="60031C46"/>
    <w:rsid w:val="601E082E"/>
    <w:rsid w:val="603242D9"/>
    <w:rsid w:val="603D6B66"/>
    <w:rsid w:val="604C5F43"/>
    <w:rsid w:val="60502191"/>
    <w:rsid w:val="605B7A0D"/>
    <w:rsid w:val="60786190"/>
    <w:rsid w:val="60895076"/>
    <w:rsid w:val="60983D59"/>
    <w:rsid w:val="60A2320D"/>
    <w:rsid w:val="60BB6482"/>
    <w:rsid w:val="60BF3DBF"/>
    <w:rsid w:val="60C03693"/>
    <w:rsid w:val="60CA62C0"/>
    <w:rsid w:val="60F075D2"/>
    <w:rsid w:val="610001B8"/>
    <w:rsid w:val="61031E60"/>
    <w:rsid w:val="610C13C4"/>
    <w:rsid w:val="610E79D9"/>
    <w:rsid w:val="61120671"/>
    <w:rsid w:val="611759A9"/>
    <w:rsid w:val="61363955"/>
    <w:rsid w:val="61447E20"/>
    <w:rsid w:val="6157037A"/>
    <w:rsid w:val="61654112"/>
    <w:rsid w:val="61693D2A"/>
    <w:rsid w:val="618D70C4"/>
    <w:rsid w:val="61915102"/>
    <w:rsid w:val="61A93055"/>
    <w:rsid w:val="61AC29D7"/>
    <w:rsid w:val="61B3760F"/>
    <w:rsid w:val="61BE4076"/>
    <w:rsid w:val="61C5466C"/>
    <w:rsid w:val="61C827FF"/>
    <w:rsid w:val="61D05B58"/>
    <w:rsid w:val="61FA2BD4"/>
    <w:rsid w:val="621E2EA0"/>
    <w:rsid w:val="62215048"/>
    <w:rsid w:val="62287742"/>
    <w:rsid w:val="622D2FAA"/>
    <w:rsid w:val="623600B0"/>
    <w:rsid w:val="624256AE"/>
    <w:rsid w:val="62436329"/>
    <w:rsid w:val="62984BF7"/>
    <w:rsid w:val="629A4FBB"/>
    <w:rsid w:val="62AF4B8E"/>
    <w:rsid w:val="62B24547"/>
    <w:rsid w:val="62C7549A"/>
    <w:rsid w:val="62E55633"/>
    <w:rsid w:val="63260125"/>
    <w:rsid w:val="63320EC8"/>
    <w:rsid w:val="63584057"/>
    <w:rsid w:val="635A392B"/>
    <w:rsid w:val="636E387A"/>
    <w:rsid w:val="63700AC7"/>
    <w:rsid w:val="637F5A87"/>
    <w:rsid w:val="63AC7690"/>
    <w:rsid w:val="63AF7ED5"/>
    <w:rsid w:val="63CE60C7"/>
    <w:rsid w:val="63D5074A"/>
    <w:rsid w:val="63ED69CA"/>
    <w:rsid w:val="64002BAD"/>
    <w:rsid w:val="641D4D7F"/>
    <w:rsid w:val="645E38EF"/>
    <w:rsid w:val="64654C7D"/>
    <w:rsid w:val="6468651B"/>
    <w:rsid w:val="646B7DB9"/>
    <w:rsid w:val="64A22F33"/>
    <w:rsid w:val="64BE25DF"/>
    <w:rsid w:val="64C972F9"/>
    <w:rsid w:val="64D230E8"/>
    <w:rsid w:val="64D70FAB"/>
    <w:rsid w:val="64EC4654"/>
    <w:rsid w:val="64F77C18"/>
    <w:rsid w:val="64F82DE4"/>
    <w:rsid w:val="65113339"/>
    <w:rsid w:val="65407FD2"/>
    <w:rsid w:val="6545060B"/>
    <w:rsid w:val="65474383"/>
    <w:rsid w:val="655B398A"/>
    <w:rsid w:val="658253BB"/>
    <w:rsid w:val="6583617C"/>
    <w:rsid w:val="659E01E2"/>
    <w:rsid w:val="65AE7F5E"/>
    <w:rsid w:val="65B71508"/>
    <w:rsid w:val="65C634F9"/>
    <w:rsid w:val="65CC7A0B"/>
    <w:rsid w:val="65EC11D9"/>
    <w:rsid w:val="65F91B21"/>
    <w:rsid w:val="66025F12"/>
    <w:rsid w:val="660404C6"/>
    <w:rsid w:val="660C1B7F"/>
    <w:rsid w:val="66252916"/>
    <w:rsid w:val="663C7C5F"/>
    <w:rsid w:val="66507267"/>
    <w:rsid w:val="66546D57"/>
    <w:rsid w:val="6661413C"/>
    <w:rsid w:val="66640D39"/>
    <w:rsid w:val="667411A7"/>
    <w:rsid w:val="66807B4C"/>
    <w:rsid w:val="668B64F1"/>
    <w:rsid w:val="669849AB"/>
    <w:rsid w:val="669B2BD8"/>
    <w:rsid w:val="66B477F6"/>
    <w:rsid w:val="66CA526B"/>
    <w:rsid w:val="66D63C10"/>
    <w:rsid w:val="66DE7CCD"/>
    <w:rsid w:val="66ED2D08"/>
    <w:rsid w:val="66EE4C37"/>
    <w:rsid w:val="670047E9"/>
    <w:rsid w:val="670F0ED0"/>
    <w:rsid w:val="67397CFB"/>
    <w:rsid w:val="6744501E"/>
    <w:rsid w:val="675B1706"/>
    <w:rsid w:val="6777188D"/>
    <w:rsid w:val="67780823"/>
    <w:rsid w:val="6780592A"/>
    <w:rsid w:val="67876CB8"/>
    <w:rsid w:val="679D472E"/>
    <w:rsid w:val="67C3450C"/>
    <w:rsid w:val="68060525"/>
    <w:rsid w:val="680D2E9C"/>
    <w:rsid w:val="682D3D04"/>
    <w:rsid w:val="682E0541"/>
    <w:rsid w:val="683D381B"/>
    <w:rsid w:val="684828EC"/>
    <w:rsid w:val="68490412"/>
    <w:rsid w:val="68556DB7"/>
    <w:rsid w:val="686456EB"/>
    <w:rsid w:val="687826F5"/>
    <w:rsid w:val="68784853"/>
    <w:rsid w:val="688769BD"/>
    <w:rsid w:val="688B27D8"/>
    <w:rsid w:val="689A62AC"/>
    <w:rsid w:val="689E3B55"/>
    <w:rsid w:val="68B37C43"/>
    <w:rsid w:val="68BC15BF"/>
    <w:rsid w:val="68D26659"/>
    <w:rsid w:val="68DC3034"/>
    <w:rsid w:val="68F44821"/>
    <w:rsid w:val="690E2973"/>
    <w:rsid w:val="690F51B7"/>
    <w:rsid w:val="69147503"/>
    <w:rsid w:val="6918017E"/>
    <w:rsid w:val="6938470E"/>
    <w:rsid w:val="6952727A"/>
    <w:rsid w:val="695B21AB"/>
    <w:rsid w:val="6978676C"/>
    <w:rsid w:val="697E209D"/>
    <w:rsid w:val="69831701"/>
    <w:rsid w:val="69A2427D"/>
    <w:rsid w:val="69BA15C7"/>
    <w:rsid w:val="69E623BC"/>
    <w:rsid w:val="69E82E61"/>
    <w:rsid w:val="69EB24FD"/>
    <w:rsid w:val="69EC54F9"/>
    <w:rsid w:val="69FF522C"/>
    <w:rsid w:val="6A035075"/>
    <w:rsid w:val="6A1D3904"/>
    <w:rsid w:val="6A3B3D8A"/>
    <w:rsid w:val="6A3D3FA6"/>
    <w:rsid w:val="6A411868"/>
    <w:rsid w:val="6A4D243B"/>
    <w:rsid w:val="6A520455"/>
    <w:rsid w:val="6A551957"/>
    <w:rsid w:val="6A64456C"/>
    <w:rsid w:val="6A6B466F"/>
    <w:rsid w:val="6A7E1191"/>
    <w:rsid w:val="6A820C95"/>
    <w:rsid w:val="6A8614A9"/>
    <w:rsid w:val="6A90057A"/>
    <w:rsid w:val="6AA302AD"/>
    <w:rsid w:val="6AB04778"/>
    <w:rsid w:val="6AB9187F"/>
    <w:rsid w:val="6ABF6769"/>
    <w:rsid w:val="6AC124E1"/>
    <w:rsid w:val="6AC61871"/>
    <w:rsid w:val="6ADC731B"/>
    <w:rsid w:val="6AFB4DE7"/>
    <w:rsid w:val="6B166CD1"/>
    <w:rsid w:val="6B2A0087"/>
    <w:rsid w:val="6B79052B"/>
    <w:rsid w:val="6B7A6903"/>
    <w:rsid w:val="6B823440"/>
    <w:rsid w:val="6B824366"/>
    <w:rsid w:val="6B833C3B"/>
    <w:rsid w:val="6B873957"/>
    <w:rsid w:val="6BA20565"/>
    <w:rsid w:val="6BA240C1"/>
    <w:rsid w:val="6BB51ADB"/>
    <w:rsid w:val="6BCA02B2"/>
    <w:rsid w:val="6BE0108D"/>
    <w:rsid w:val="6BE40B7D"/>
    <w:rsid w:val="6BF90704"/>
    <w:rsid w:val="6C0C3C30"/>
    <w:rsid w:val="6C1825D5"/>
    <w:rsid w:val="6C3F4006"/>
    <w:rsid w:val="6C511909"/>
    <w:rsid w:val="6C523D39"/>
    <w:rsid w:val="6C884A11"/>
    <w:rsid w:val="6C8B4066"/>
    <w:rsid w:val="6C937EAD"/>
    <w:rsid w:val="6CA83959"/>
    <w:rsid w:val="6CC369E5"/>
    <w:rsid w:val="6CC53479"/>
    <w:rsid w:val="6CD921A6"/>
    <w:rsid w:val="6CDC3602"/>
    <w:rsid w:val="6CE64481"/>
    <w:rsid w:val="6CFF29C7"/>
    <w:rsid w:val="6D036096"/>
    <w:rsid w:val="6D2A25C0"/>
    <w:rsid w:val="6D3C22F3"/>
    <w:rsid w:val="6D633D24"/>
    <w:rsid w:val="6D650061"/>
    <w:rsid w:val="6D6655C2"/>
    <w:rsid w:val="6D6F26C8"/>
    <w:rsid w:val="6D721FA5"/>
    <w:rsid w:val="6D7221B9"/>
    <w:rsid w:val="6D747C3E"/>
    <w:rsid w:val="6D7B2E1B"/>
    <w:rsid w:val="6D8C327A"/>
    <w:rsid w:val="6D8F4C71"/>
    <w:rsid w:val="6DAD30FB"/>
    <w:rsid w:val="6DB746AE"/>
    <w:rsid w:val="6DC9002B"/>
    <w:rsid w:val="6DDD3AD6"/>
    <w:rsid w:val="6DE17623"/>
    <w:rsid w:val="6DE36C13"/>
    <w:rsid w:val="6DED70C2"/>
    <w:rsid w:val="6DEE7A91"/>
    <w:rsid w:val="6E105C5A"/>
    <w:rsid w:val="6E1D2124"/>
    <w:rsid w:val="6E1F5E9D"/>
    <w:rsid w:val="6E4753F3"/>
    <w:rsid w:val="6E587601"/>
    <w:rsid w:val="6E8300C9"/>
    <w:rsid w:val="6E891568"/>
    <w:rsid w:val="6E9A19C7"/>
    <w:rsid w:val="6EA14B04"/>
    <w:rsid w:val="6EB26D11"/>
    <w:rsid w:val="6EB53936"/>
    <w:rsid w:val="6EB74327"/>
    <w:rsid w:val="6ECA762C"/>
    <w:rsid w:val="6ECE1671"/>
    <w:rsid w:val="6EE52BE1"/>
    <w:rsid w:val="6EE61554"/>
    <w:rsid w:val="6EEB2223"/>
    <w:rsid w:val="6EF2179C"/>
    <w:rsid w:val="6F062BB9"/>
    <w:rsid w:val="6F4B0F13"/>
    <w:rsid w:val="6F6462BB"/>
    <w:rsid w:val="6F685621"/>
    <w:rsid w:val="6F6D0E8A"/>
    <w:rsid w:val="6F6F075E"/>
    <w:rsid w:val="6F8C2FD9"/>
    <w:rsid w:val="6F8D32DA"/>
    <w:rsid w:val="6F992790"/>
    <w:rsid w:val="6FA26D85"/>
    <w:rsid w:val="6FA6675B"/>
    <w:rsid w:val="6FBC771B"/>
    <w:rsid w:val="6FC767EC"/>
    <w:rsid w:val="6FCF38F2"/>
    <w:rsid w:val="6FD15B87"/>
    <w:rsid w:val="6FD66A2F"/>
    <w:rsid w:val="6FDB4045"/>
    <w:rsid w:val="6FF46EB5"/>
    <w:rsid w:val="6FF70753"/>
    <w:rsid w:val="6FFE609A"/>
    <w:rsid w:val="701A7B50"/>
    <w:rsid w:val="701D28B0"/>
    <w:rsid w:val="7027728A"/>
    <w:rsid w:val="70313FB7"/>
    <w:rsid w:val="70433998"/>
    <w:rsid w:val="704B7E6C"/>
    <w:rsid w:val="704F058F"/>
    <w:rsid w:val="705F07AF"/>
    <w:rsid w:val="70657DB3"/>
    <w:rsid w:val="706856D7"/>
    <w:rsid w:val="70691651"/>
    <w:rsid w:val="70767CA5"/>
    <w:rsid w:val="707A385E"/>
    <w:rsid w:val="708E730A"/>
    <w:rsid w:val="70930CB0"/>
    <w:rsid w:val="70990C7B"/>
    <w:rsid w:val="709D1958"/>
    <w:rsid w:val="70A1528F"/>
    <w:rsid w:val="70A22DB5"/>
    <w:rsid w:val="70B14DA6"/>
    <w:rsid w:val="70BA245B"/>
    <w:rsid w:val="70BA281B"/>
    <w:rsid w:val="70BB257B"/>
    <w:rsid w:val="70CB71E9"/>
    <w:rsid w:val="70CC40EE"/>
    <w:rsid w:val="70D171F6"/>
    <w:rsid w:val="70D55A3D"/>
    <w:rsid w:val="70FD7FEB"/>
    <w:rsid w:val="71125845"/>
    <w:rsid w:val="71347EB1"/>
    <w:rsid w:val="71494532"/>
    <w:rsid w:val="714B15D8"/>
    <w:rsid w:val="715B338A"/>
    <w:rsid w:val="71866233"/>
    <w:rsid w:val="719134B1"/>
    <w:rsid w:val="71964699"/>
    <w:rsid w:val="719C7804"/>
    <w:rsid w:val="71A21034"/>
    <w:rsid w:val="71A54BF9"/>
    <w:rsid w:val="71B45453"/>
    <w:rsid w:val="71BC3694"/>
    <w:rsid w:val="71C254BD"/>
    <w:rsid w:val="71CE499D"/>
    <w:rsid w:val="71E33685"/>
    <w:rsid w:val="720A0C12"/>
    <w:rsid w:val="722241AD"/>
    <w:rsid w:val="72232FCF"/>
    <w:rsid w:val="72261931"/>
    <w:rsid w:val="722717C4"/>
    <w:rsid w:val="723F6274"/>
    <w:rsid w:val="724C2FE8"/>
    <w:rsid w:val="72532286"/>
    <w:rsid w:val="7257734C"/>
    <w:rsid w:val="726447C6"/>
    <w:rsid w:val="72676064"/>
    <w:rsid w:val="72A050D2"/>
    <w:rsid w:val="72A72905"/>
    <w:rsid w:val="72B97FD0"/>
    <w:rsid w:val="72C45265"/>
    <w:rsid w:val="72D1172F"/>
    <w:rsid w:val="72D80D10"/>
    <w:rsid w:val="72DB610A"/>
    <w:rsid w:val="72E74AAF"/>
    <w:rsid w:val="72EE22E1"/>
    <w:rsid w:val="72F571CC"/>
    <w:rsid w:val="730218E9"/>
    <w:rsid w:val="7309711B"/>
    <w:rsid w:val="732B3D6D"/>
    <w:rsid w:val="732E0930"/>
    <w:rsid w:val="73334198"/>
    <w:rsid w:val="733A6046"/>
    <w:rsid w:val="733C67EE"/>
    <w:rsid w:val="73520AC2"/>
    <w:rsid w:val="735760D9"/>
    <w:rsid w:val="737242A5"/>
    <w:rsid w:val="737547B1"/>
    <w:rsid w:val="7375655F"/>
    <w:rsid w:val="73921A7A"/>
    <w:rsid w:val="73951E16"/>
    <w:rsid w:val="73A34E7A"/>
    <w:rsid w:val="73AA26AC"/>
    <w:rsid w:val="73C3376E"/>
    <w:rsid w:val="73EA0EDA"/>
    <w:rsid w:val="73EE6966"/>
    <w:rsid w:val="73F14912"/>
    <w:rsid w:val="73FB285B"/>
    <w:rsid w:val="741E6BF6"/>
    <w:rsid w:val="74213FF1"/>
    <w:rsid w:val="74312486"/>
    <w:rsid w:val="7440091B"/>
    <w:rsid w:val="74406B6D"/>
    <w:rsid w:val="74420539"/>
    <w:rsid w:val="7446251D"/>
    <w:rsid w:val="7460720F"/>
    <w:rsid w:val="746E36DA"/>
    <w:rsid w:val="7470044D"/>
    <w:rsid w:val="747D391D"/>
    <w:rsid w:val="74995EC7"/>
    <w:rsid w:val="74C50E20"/>
    <w:rsid w:val="74D55507"/>
    <w:rsid w:val="74E25E76"/>
    <w:rsid w:val="74E4574A"/>
    <w:rsid w:val="74F02341"/>
    <w:rsid w:val="75181898"/>
    <w:rsid w:val="751A116C"/>
    <w:rsid w:val="752913AF"/>
    <w:rsid w:val="752A691F"/>
    <w:rsid w:val="7530273D"/>
    <w:rsid w:val="75355FA6"/>
    <w:rsid w:val="753F4EF4"/>
    <w:rsid w:val="754E350B"/>
    <w:rsid w:val="755C79D6"/>
    <w:rsid w:val="75695C4F"/>
    <w:rsid w:val="756D3991"/>
    <w:rsid w:val="756E2EC5"/>
    <w:rsid w:val="75A5137D"/>
    <w:rsid w:val="75D457BF"/>
    <w:rsid w:val="75E34162"/>
    <w:rsid w:val="75E672A0"/>
    <w:rsid w:val="75F0011F"/>
    <w:rsid w:val="760F2C9B"/>
    <w:rsid w:val="7610431D"/>
    <w:rsid w:val="761107C1"/>
    <w:rsid w:val="76120095"/>
    <w:rsid w:val="761476FB"/>
    <w:rsid w:val="764F3097"/>
    <w:rsid w:val="76674885"/>
    <w:rsid w:val="766A7ED1"/>
    <w:rsid w:val="766F3739"/>
    <w:rsid w:val="76764AC8"/>
    <w:rsid w:val="76805946"/>
    <w:rsid w:val="769A6A08"/>
    <w:rsid w:val="76A21419"/>
    <w:rsid w:val="76C577FD"/>
    <w:rsid w:val="76D11CFE"/>
    <w:rsid w:val="76D637B8"/>
    <w:rsid w:val="76D65566"/>
    <w:rsid w:val="76DE4712"/>
    <w:rsid w:val="76E15CC4"/>
    <w:rsid w:val="76E25CB9"/>
    <w:rsid w:val="76EC2FDC"/>
    <w:rsid w:val="76F45FBE"/>
    <w:rsid w:val="77071BC4"/>
    <w:rsid w:val="77142B4A"/>
    <w:rsid w:val="77167539"/>
    <w:rsid w:val="77253DF8"/>
    <w:rsid w:val="772B7660"/>
    <w:rsid w:val="772E0EFE"/>
    <w:rsid w:val="777802EC"/>
    <w:rsid w:val="777E78E1"/>
    <w:rsid w:val="77822FF8"/>
    <w:rsid w:val="77882D05"/>
    <w:rsid w:val="778E4093"/>
    <w:rsid w:val="779A3A7E"/>
    <w:rsid w:val="77A92C7B"/>
    <w:rsid w:val="77CA50CB"/>
    <w:rsid w:val="77D62B76"/>
    <w:rsid w:val="77E617D9"/>
    <w:rsid w:val="77ED0DBA"/>
    <w:rsid w:val="780A79D1"/>
    <w:rsid w:val="782D565A"/>
    <w:rsid w:val="782D7408"/>
    <w:rsid w:val="783339D9"/>
    <w:rsid w:val="78455BBA"/>
    <w:rsid w:val="785A4732"/>
    <w:rsid w:val="7860158C"/>
    <w:rsid w:val="786A3F3D"/>
    <w:rsid w:val="78706E4D"/>
    <w:rsid w:val="78770683"/>
    <w:rsid w:val="78794CDE"/>
    <w:rsid w:val="7880578A"/>
    <w:rsid w:val="788A03B6"/>
    <w:rsid w:val="789C71FC"/>
    <w:rsid w:val="78A07BDA"/>
    <w:rsid w:val="78BF68FB"/>
    <w:rsid w:val="78CE2999"/>
    <w:rsid w:val="78D37FAF"/>
    <w:rsid w:val="78DA64D4"/>
    <w:rsid w:val="78F85C68"/>
    <w:rsid w:val="790069A4"/>
    <w:rsid w:val="79224A93"/>
    <w:rsid w:val="79253247"/>
    <w:rsid w:val="79294073"/>
    <w:rsid w:val="796B643A"/>
    <w:rsid w:val="796C21B2"/>
    <w:rsid w:val="796F1BEE"/>
    <w:rsid w:val="797100EE"/>
    <w:rsid w:val="799211F9"/>
    <w:rsid w:val="7996457A"/>
    <w:rsid w:val="79A454A8"/>
    <w:rsid w:val="79B002F1"/>
    <w:rsid w:val="79B34B23"/>
    <w:rsid w:val="79CA08DE"/>
    <w:rsid w:val="79CB4278"/>
    <w:rsid w:val="79CE4C1B"/>
    <w:rsid w:val="79D129F2"/>
    <w:rsid w:val="79E461EC"/>
    <w:rsid w:val="79F20909"/>
    <w:rsid w:val="79FD60BE"/>
    <w:rsid w:val="7A045CD2"/>
    <w:rsid w:val="7A0B5527"/>
    <w:rsid w:val="7A1C147E"/>
    <w:rsid w:val="7A2465E9"/>
    <w:rsid w:val="7A2605B3"/>
    <w:rsid w:val="7A340F22"/>
    <w:rsid w:val="7A3B3CFF"/>
    <w:rsid w:val="7A441435"/>
    <w:rsid w:val="7A457395"/>
    <w:rsid w:val="7A523156"/>
    <w:rsid w:val="7A5C6203"/>
    <w:rsid w:val="7A6F02BC"/>
    <w:rsid w:val="7A707A80"/>
    <w:rsid w:val="7A7E563D"/>
    <w:rsid w:val="7A85177D"/>
    <w:rsid w:val="7A88301C"/>
    <w:rsid w:val="7A965738"/>
    <w:rsid w:val="7A9F1809"/>
    <w:rsid w:val="7AA137B0"/>
    <w:rsid w:val="7AAD6655"/>
    <w:rsid w:val="7ABB591A"/>
    <w:rsid w:val="7AC758F2"/>
    <w:rsid w:val="7AE00762"/>
    <w:rsid w:val="7AF4420D"/>
    <w:rsid w:val="7B362A78"/>
    <w:rsid w:val="7B4A207F"/>
    <w:rsid w:val="7B503B39"/>
    <w:rsid w:val="7B6252AA"/>
    <w:rsid w:val="7B670E83"/>
    <w:rsid w:val="7B89704B"/>
    <w:rsid w:val="7B8F3F36"/>
    <w:rsid w:val="7B971768"/>
    <w:rsid w:val="7BB506F7"/>
    <w:rsid w:val="7BB8348D"/>
    <w:rsid w:val="7BB9032D"/>
    <w:rsid w:val="7BC167E5"/>
    <w:rsid w:val="7BEE6EAE"/>
    <w:rsid w:val="7BF5648F"/>
    <w:rsid w:val="7BFD3595"/>
    <w:rsid w:val="7C062901"/>
    <w:rsid w:val="7C374CF9"/>
    <w:rsid w:val="7C417926"/>
    <w:rsid w:val="7C4F3DF1"/>
    <w:rsid w:val="7C5F732D"/>
    <w:rsid w:val="7C730425"/>
    <w:rsid w:val="7C896BD7"/>
    <w:rsid w:val="7CA659DB"/>
    <w:rsid w:val="7CA83501"/>
    <w:rsid w:val="7CB24380"/>
    <w:rsid w:val="7CB3762F"/>
    <w:rsid w:val="7CC83BA3"/>
    <w:rsid w:val="7CCC3693"/>
    <w:rsid w:val="7CD42548"/>
    <w:rsid w:val="7CDB637B"/>
    <w:rsid w:val="7CE05158"/>
    <w:rsid w:val="7CEC7892"/>
    <w:rsid w:val="7CF60710"/>
    <w:rsid w:val="7CFA449E"/>
    <w:rsid w:val="7CFB6E41"/>
    <w:rsid w:val="7D0C3A90"/>
    <w:rsid w:val="7D156AD2"/>
    <w:rsid w:val="7D1868D9"/>
    <w:rsid w:val="7D470F6C"/>
    <w:rsid w:val="7D887913"/>
    <w:rsid w:val="7DA52E96"/>
    <w:rsid w:val="7DB60B95"/>
    <w:rsid w:val="7DE23C75"/>
    <w:rsid w:val="7DE24FE7"/>
    <w:rsid w:val="7DE70059"/>
    <w:rsid w:val="7DE819F5"/>
    <w:rsid w:val="7DF509C8"/>
    <w:rsid w:val="7DF74740"/>
    <w:rsid w:val="7E01111B"/>
    <w:rsid w:val="7E064983"/>
    <w:rsid w:val="7E235535"/>
    <w:rsid w:val="7E260B81"/>
    <w:rsid w:val="7E395ABE"/>
    <w:rsid w:val="7E3C03A5"/>
    <w:rsid w:val="7E3E411D"/>
    <w:rsid w:val="7E5D031B"/>
    <w:rsid w:val="7E6D10D6"/>
    <w:rsid w:val="7E8104AE"/>
    <w:rsid w:val="7E885825"/>
    <w:rsid w:val="7E8A36FC"/>
    <w:rsid w:val="7E9401E1"/>
    <w:rsid w:val="7E9F2E81"/>
    <w:rsid w:val="7EE24644"/>
    <w:rsid w:val="7EF96296"/>
    <w:rsid w:val="7EFB3DBC"/>
    <w:rsid w:val="7F150416"/>
    <w:rsid w:val="7F1A39AC"/>
    <w:rsid w:val="7F4A08A0"/>
    <w:rsid w:val="7F663995"/>
    <w:rsid w:val="7F6A1361"/>
    <w:rsid w:val="7F6F6558"/>
    <w:rsid w:val="7F871AF4"/>
    <w:rsid w:val="7F8738A2"/>
    <w:rsid w:val="7F963AE5"/>
    <w:rsid w:val="7F9B734D"/>
    <w:rsid w:val="7FA52E69"/>
    <w:rsid w:val="7FA53D28"/>
    <w:rsid w:val="7FB04B26"/>
    <w:rsid w:val="7FC543CA"/>
    <w:rsid w:val="7FC811F1"/>
    <w:rsid w:val="7FCE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0" w:firstLineChars="200"/>
      <w:jc w:val="both"/>
    </w:pPr>
    <w:rPr>
      <w:rFonts w:eastAsia="仿宋" w:cs="仿宋" w:asciiTheme="minorAscii" w:hAnsiTheme="minorAscii"/>
      <w:kern w:val="2"/>
      <w:sz w:val="32"/>
      <w:szCs w:val="32"/>
      <w:lang w:val="en-US" w:eastAsia="zh-CN" w:bidi="ar-SA"/>
    </w:rPr>
  </w:style>
  <w:style w:type="paragraph" w:styleId="3">
    <w:name w:val="heading 1"/>
    <w:basedOn w:val="1"/>
    <w:next w:val="1"/>
    <w:link w:val="14"/>
    <w:qFormat/>
    <w:uiPriority w:val="0"/>
    <w:pPr>
      <w:keepNext/>
      <w:keepLines/>
      <w:spacing w:before="340" w:beforeLines="0" w:beforeAutospacing="0" w:afterLines="0" w:afterAutospacing="0" w:line="576" w:lineRule="auto"/>
      <w:ind w:firstLine="0" w:firstLineChars="0"/>
      <w:jc w:val="center"/>
      <w:outlineLvl w:val="0"/>
    </w:pPr>
    <w:rPr>
      <w:rFonts w:eastAsia="黑体"/>
      <w:b/>
      <w:kern w:val="44"/>
      <w:sz w:val="36"/>
    </w:rPr>
  </w:style>
  <w:style w:type="paragraph" w:styleId="4">
    <w:name w:val="heading 2"/>
    <w:basedOn w:val="1"/>
    <w:next w:val="1"/>
    <w:link w:val="15"/>
    <w:unhideWhenUsed/>
    <w:qFormat/>
    <w:uiPriority w:val="0"/>
    <w:pPr>
      <w:keepNext/>
      <w:keepLines/>
      <w:spacing w:beforeLines="0" w:beforeAutospacing="0" w:afterLines="0" w:afterAutospacing="0" w:line="413" w:lineRule="auto"/>
      <w:outlineLvl w:val="1"/>
    </w:pPr>
    <w:rPr>
      <w:rFonts w:ascii="Arial" w:hAnsi="Arial" w:eastAsia="楷体"/>
      <w:b/>
    </w:rPr>
  </w:style>
  <w:style w:type="paragraph" w:styleId="5">
    <w:name w:val="heading 3"/>
    <w:basedOn w:val="1"/>
    <w:next w:val="1"/>
    <w:unhideWhenUsed/>
    <w:qFormat/>
    <w:uiPriority w:val="0"/>
    <w:pPr>
      <w:keepNext/>
      <w:keepLines/>
      <w:spacing w:beforeLines="0" w:beforeAutospacing="0" w:afterLines="0" w:afterAutospacing="0" w:line="360" w:lineRule="auto"/>
      <w:outlineLvl w:val="2"/>
    </w:pPr>
    <w:rPr>
      <w:b/>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1 Char"/>
    <w:link w:val="3"/>
    <w:qFormat/>
    <w:uiPriority w:val="0"/>
    <w:rPr>
      <w:rFonts w:eastAsia="黑体"/>
      <w:b/>
      <w:kern w:val="44"/>
      <w:sz w:val="36"/>
    </w:rPr>
  </w:style>
  <w:style w:type="character" w:customStyle="1" w:styleId="15">
    <w:name w:val="标题 2 Char"/>
    <w:link w:val="4"/>
    <w:qFormat/>
    <w:uiPriority w:val="0"/>
    <w:rPr>
      <w:rFonts w:ascii="Arial" w:hAnsi="Arial" w:eastAsia="楷体"/>
      <w:b/>
    </w:rPr>
  </w:style>
  <w:style w:type="paragraph" w:customStyle="1" w:styleId="16">
    <w:name w:val="表格"/>
    <w:basedOn w:val="1"/>
    <w:qFormat/>
    <w:uiPriority w:val="0"/>
    <w:pPr>
      <w:pBdr>
        <w:top w:val="none" w:color="auto" w:sz="0" w:space="1"/>
        <w:left w:val="none" w:color="auto" w:sz="0" w:space="4"/>
        <w:bottom w:val="none" w:color="auto" w:sz="0" w:space="1"/>
        <w:right w:val="none" w:color="auto" w:sz="0" w:space="4"/>
      </w:pBdr>
      <w:ind w:firstLine="0" w:firstLineChars="0"/>
    </w:pPr>
    <w:rPr>
      <w:rFonts w:eastAsia="宋体"/>
      <w:sz w:val="24"/>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E9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24544</Words>
  <Characters>25543</Characters>
  <Lines>0</Lines>
  <Paragraphs>0</Paragraphs>
  <TotalTime>7</TotalTime>
  <ScaleCrop>false</ScaleCrop>
  <LinksUpToDate>false</LinksUpToDate>
  <CharactersWithSpaces>25807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2022-05-26T02:56:00Z</dcterms:created>
  <dc:creator>Administrator</dc:creator>
  <cp:lastModifiedBy>人生忽如寄</cp:lastModifiedBy>
  <cp:lastPrinted>2022-10-20T04:04:00Z</cp:lastPrinted>
  <dcterms:modified xsi:type="dcterms:W3CDTF">2022-10-21T09:03:07Z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7B2D060DB13148E9A85413BE1AC10926</vt:lpwstr>
  </property>
</Properties>
</file>